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17DD4">
      <w:pPr>
        <w:spacing w:before="0" w:after="280"/>
        <w:jc w:val="left"/>
      </w:pPr>
      <w:bookmarkStart w:id="0" w:name="_GoBack"/>
      <w:bookmarkEnd w:id="0"/>
      <w:r>
        <w:rPr>
          <w:rFonts w:ascii="Arial" w:hAnsi="Arial"/>
          <w:b/>
          <w:color w:val="000000"/>
          <w:sz w:val="30"/>
        </w:rPr>
        <w:t>TOPIC: CAMPUS PLACEMENT ANALYTICS DASHBOARD</w:t>
      </w:r>
    </w:p>
    <w:p w14:paraId="67A0CBC9">
      <w:pPr>
        <w:keepNext/>
        <w:spacing w:before="280" w:after="120"/>
      </w:pPr>
      <w:r>
        <w:rPr>
          <w:rFonts w:ascii="Arial" w:hAnsi="Arial"/>
          <w:b/>
          <w:color w:val="000000"/>
          <w:sz w:val="26"/>
        </w:rPr>
        <w:t>1. Introduction</w:t>
      </w:r>
    </w:p>
    <w:p w14:paraId="2FF1FFA4">
      <w:pPr>
        <w:spacing w:after="120" w:line="276" w:lineRule="auto"/>
      </w:pPr>
      <w:r>
        <w:rPr>
          <w:color w:val="000000"/>
        </w:rPr>
        <w:t>The Campus Placement Analytics dashboard provides a comprehensive view of student placement performance, academic trends, skill correlations, and recruiter distributions across academic years. It is designed to help university placement cells, academic department heads, and corporate recruiters monitor key performance metrics, analyze hiring trends, and make data-driven decisions. The dashboard offers interactive visualizations that highlight placement rates, academic benchmarks, technical/soft skill impacts, and employer-wise contributions.</w:t>
      </w:r>
    </w:p>
    <w:p w14:paraId="7DDD6360">
      <w:pPr>
        <w:keepNext/>
        <w:spacing w:before="280" w:after="120"/>
      </w:pPr>
      <w:r>
        <w:rPr>
          <w:rFonts w:ascii="Arial" w:hAnsi="Arial"/>
          <w:b/>
          <w:color w:val="000000"/>
          <w:sz w:val="26"/>
        </w:rPr>
        <w:t>2. Objectives of the Project</w:t>
      </w:r>
    </w:p>
    <w:p w14:paraId="2235715B">
      <w:pPr>
        <w:pStyle w:val="23"/>
        <w:spacing w:before="0" w:after="60" w:line="276" w:lineRule="auto"/>
      </w:pPr>
      <w:r>
        <w:rPr>
          <w:color w:val="000000"/>
        </w:rPr>
        <w:t>To visualize campus recruitment and placement performance effectively.</w:t>
      </w:r>
    </w:p>
    <w:p w14:paraId="422B2EB1">
      <w:pPr>
        <w:pStyle w:val="23"/>
        <w:spacing w:before="0" w:after="60" w:line="276" w:lineRule="auto"/>
      </w:pPr>
      <w:r>
        <w:rPr>
          <w:color w:val="000000"/>
        </w:rPr>
        <w:t>To track KPIs such as Total Students, Placed Students, Placement Percentage, and Unplaced Students.</w:t>
      </w:r>
    </w:p>
    <w:p w14:paraId="6619EE9D">
      <w:pPr>
        <w:pStyle w:val="23"/>
        <w:spacing w:before="0" w:after="60" w:line="276" w:lineRule="auto"/>
      </w:pPr>
      <w:r>
        <w:rPr>
          <w:color w:val="000000"/>
        </w:rPr>
        <w:t>To analyze trends across academic years, engineering branches, and gender demographics.</w:t>
      </w:r>
    </w:p>
    <w:p w14:paraId="47FE20A6">
      <w:pPr>
        <w:pStyle w:val="23"/>
        <w:spacing w:before="0" w:after="60" w:line="276" w:lineRule="auto"/>
      </w:pPr>
      <w:r>
        <w:rPr>
          <w:color w:val="000000"/>
        </w:rPr>
        <w:t>To identify top-performing technical/soft skills and high-demand corporate recruiters.</w:t>
      </w:r>
    </w:p>
    <w:p w14:paraId="383222E6">
      <w:pPr>
        <w:pStyle w:val="23"/>
        <w:spacing w:before="0" w:after="60" w:line="276" w:lineRule="auto"/>
      </w:pPr>
      <w:r>
        <w:rPr>
          <w:color w:val="000000"/>
        </w:rPr>
        <w:t>To support academic planning, training program design, and career guidance for students.</w:t>
      </w:r>
    </w:p>
    <w:p w14:paraId="2491671A">
      <w:pPr>
        <w:keepNext/>
        <w:spacing w:before="280" w:after="120"/>
      </w:pPr>
      <w:r>
        <w:rPr>
          <w:rFonts w:ascii="Arial" w:hAnsi="Arial"/>
          <w:b/>
          <w:color w:val="000000"/>
          <w:sz w:val="26"/>
        </w:rPr>
        <w:t>3. Dataset Description</w:t>
      </w:r>
    </w:p>
    <w:p w14:paraId="246AABCE">
      <w:pPr>
        <w:spacing w:after="80" w:line="276" w:lineRule="auto"/>
      </w:pPr>
      <w:r>
        <w:rPr>
          <w:color w:val="000000"/>
        </w:rPr>
        <w:t>The dataset consists of student records and recruitment outcomes, including the following attributes:</w:t>
      </w:r>
    </w:p>
    <w:p w14:paraId="71935AF3">
      <w:pPr>
        <w:pStyle w:val="23"/>
        <w:spacing w:before="0" w:after="60" w:line="276" w:lineRule="auto"/>
      </w:pPr>
      <w:r>
        <w:rPr>
          <w:b/>
          <w:color w:val="000000"/>
        </w:rPr>
        <w:t xml:space="preserve">Student ID – </w:t>
      </w:r>
      <w:r>
        <w:rPr>
          <w:color w:val="000000"/>
        </w:rPr>
        <w:t>Unique identifier for each student</w:t>
      </w:r>
    </w:p>
    <w:p w14:paraId="782FB234">
      <w:pPr>
        <w:pStyle w:val="23"/>
        <w:spacing w:before="0" w:after="60" w:line="276" w:lineRule="auto"/>
      </w:pPr>
      <w:r>
        <w:rPr>
          <w:b/>
          <w:color w:val="000000"/>
        </w:rPr>
        <w:t xml:space="preserve">Gender – </w:t>
      </w:r>
      <w:r>
        <w:rPr>
          <w:color w:val="000000"/>
        </w:rPr>
        <w:t>Student demographic classification</w:t>
      </w:r>
    </w:p>
    <w:p w14:paraId="746FEACE">
      <w:pPr>
        <w:pStyle w:val="23"/>
        <w:spacing w:before="0" w:after="60" w:line="276" w:lineRule="auto"/>
      </w:pPr>
      <w:r>
        <w:rPr>
          <w:b/>
          <w:color w:val="000000"/>
        </w:rPr>
        <w:t xml:space="preserve">Branch – </w:t>
      </w:r>
      <w:r>
        <w:rPr>
          <w:color w:val="000000"/>
        </w:rPr>
        <w:t>Academic engineering branch (Civil, CSE, ECE, Electrical, IT, Mechanical)</w:t>
      </w:r>
    </w:p>
    <w:p w14:paraId="59C0DD2F">
      <w:pPr>
        <w:pStyle w:val="23"/>
        <w:spacing w:before="0" w:after="60" w:line="276" w:lineRule="auto"/>
      </w:pPr>
      <w:r>
        <w:rPr>
          <w:b/>
          <w:color w:val="000000"/>
        </w:rPr>
        <w:t xml:space="preserve">CGPA – </w:t>
      </w:r>
      <w:r>
        <w:rPr>
          <w:color w:val="000000"/>
        </w:rPr>
        <w:t>Cumulative Grade Point Average representing academic performance</w:t>
      </w:r>
    </w:p>
    <w:p w14:paraId="710A45BD">
      <w:pPr>
        <w:pStyle w:val="23"/>
        <w:spacing w:before="0" w:after="60" w:line="276" w:lineRule="auto"/>
      </w:pPr>
      <w:r>
        <w:rPr>
          <w:b/>
          <w:color w:val="000000"/>
        </w:rPr>
        <w:t xml:space="preserve">Projects – </w:t>
      </w:r>
      <w:r>
        <w:rPr>
          <w:color w:val="000000"/>
        </w:rPr>
        <w:t>Total number of hands-on projects completed by the student</w:t>
      </w:r>
    </w:p>
    <w:p w14:paraId="1F733307">
      <w:pPr>
        <w:pStyle w:val="23"/>
        <w:spacing w:before="0" w:after="60" w:line="276" w:lineRule="auto"/>
      </w:pPr>
      <w:r>
        <w:rPr>
          <w:b/>
          <w:color w:val="000000"/>
        </w:rPr>
        <w:t xml:space="preserve">Internships – </w:t>
      </w:r>
      <w:r>
        <w:rPr>
          <w:color w:val="000000"/>
        </w:rPr>
        <w:t>Number of corporate internships undertaken</w:t>
      </w:r>
    </w:p>
    <w:p w14:paraId="700CCEF9">
      <w:pPr>
        <w:pStyle w:val="23"/>
        <w:spacing w:before="0" w:after="60" w:line="276" w:lineRule="auto"/>
      </w:pPr>
      <w:r>
        <w:rPr>
          <w:b/>
          <w:color w:val="000000"/>
        </w:rPr>
        <w:t xml:space="preserve">Technical Skills – </w:t>
      </w:r>
      <w:r>
        <w:rPr>
          <w:color w:val="000000"/>
        </w:rPr>
        <w:t>Proficiency tracking for tools and languages (Python, SQL, Machine Learning, Data Science, Java, C++)</w:t>
      </w:r>
    </w:p>
    <w:p w14:paraId="1EE9BAB9">
      <w:pPr>
        <w:pStyle w:val="23"/>
        <w:spacing w:before="0" w:after="60" w:line="276" w:lineRule="auto"/>
      </w:pPr>
      <w:r>
        <w:rPr>
          <w:b/>
          <w:color w:val="000000"/>
        </w:rPr>
        <w:t xml:space="preserve">Soft Skills – </w:t>
      </w:r>
      <w:r>
        <w:rPr>
          <w:color w:val="000000"/>
        </w:rPr>
        <w:t>Competency categories (Average, Good, Excellent, Poor)</w:t>
      </w:r>
    </w:p>
    <w:p w14:paraId="61D42505">
      <w:pPr>
        <w:pStyle w:val="23"/>
        <w:spacing w:before="0" w:after="60" w:line="276" w:lineRule="auto"/>
      </w:pPr>
      <w:r>
        <w:rPr>
          <w:b/>
          <w:color w:val="000000"/>
        </w:rPr>
        <w:t xml:space="preserve">Placed Company – </w:t>
      </w:r>
      <w:r>
        <w:rPr>
          <w:color w:val="000000"/>
        </w:rPr>
        <w:t>Name of the corporate recruiter for placed candidates (TCS, Microsoft, Amazon, Google, Wipro, Infosys)</w:t>
      </w:r>
    </w:p>
    <w:p w14:paraId="41CB549E">
      <w:pPr>
        <w:pStyle w:val="23"/>
        <w:spacing w:before="0" w:after="60" w:line="276" w:lineRule="auto"/>
      </w:pPr>
      <w:r>
        <w:rPr>
          <w:b/>
          <w:color w:val="000000"/>
        </w:rPr>
        <w:t xml:space="preserve">Placement Status – </w:t>
      </w:r>
      <w:r>
        <w:rPr>
          <w:color w:val="000000"/>
        </w:rPr>
        <w:t>Final recruitment outcome (Placed vs. Unplaced)</w:t>
      </w:r>
    </w:p>
    <w:p w14:paraId="79790FD2">
      <w:pPr>
        <w:keepNext/>
        <w:spacing w:before="280" w:after="120"/>
      </w:pPr>
      <w:r>
        <w:rPr>
          <w:rFonts w:ascii="Arial" w:hAnsi="Arial"/>
          <w:b/>
          <w:color w:val="000000"/>
          <w:sz w:val="26"/>
        </w:rPr>
        <w:t>4. Tools Used</w:t>
      </w:r>
    </w:p>
    <w:p w14:paraId="4F9C807D">
      <w:pPr>
        <w:pStyle w:val="23"/>
        <w:spacing w:before="0" w:after="60" w:line="276" w:lineRule="auto"/>
      </w:pPr>
      <w:r>
        <w:rPr>
          <w:b/>
          <w:color w:val="000000"/>
        </w:rPr>
        <w:t xml:space="preserve">Power BI Desktop – </w:t>
      </w:r>
      <w:r>
        <w:rPr>
          <w:color w:val="000000"/>
        </w:rPr>
        <w:t>For creating the multi-page interactive dashboard, data modeling, and DAX measures.</w:t>
      </w:r>
    </w:p>
    <w:p w14:paraId="5B40D950">
      <w:pPr>
        <w:pStyle w:val="23"/>
        <w:spacing w:before="0" w:after="60" w:line="276" w:lineRule="auto"/>
      </w:pPr>
      <w:r>
        <w:rPr>
          <w:b/>
          <w:color w:val="000000"/>
        </w:rPr>
        <w:t xml:space="preserve">Power Query – </w:t>
      </w:r>
      <w:r>
        <w:rPr>
          <w:color w:val="000000"/>
        </w:rPr>
        <w:t>For data cleaning, transformation, and structural modeling.</w:t>
      </w:r>
    </w:p>
    <w:p w14:paraId="66B08FC0">
      <w:pPr>
        <w:pStyle w:val="23"/>
        <w:spacing w:before="0" w:after="60" w:line="276" w:lineRule="auto"/>
      </w:pPr>
      <w:r>
        <w:rPr>
          <w:b/>
          <w:color w:val="000000"/>
        </w:rPr>
        <w:t xml:space="preserve">Slicers &amp; Tiles – </w:t>
      </w:r>
      <w:r>
        <w:rPr>
          <w:color w:val="000000"/>
        </w:rPr>
        <w:t>For interactive filtering (Year, Gender, Branch, Soft Skills, Placed Company) and dynamic visualization.</w:t>
      </w:r>
    </w:p>
    <w:p w14:paraId="2A5A22A2">
      <w:pPr>
        <w:pStyle w:val="23"/>
        <w:spacing w:before="0" w:after="60" w:line="276" w:lineRule="auto"/>
      </w:pPr>
      <w:r>
        <w:rPr>
          <w:b/>
          <w:color w:val="000000"/>
        </w:rPr>
        <w:t xml:space="preserve">Formatting Tools – </w:t>
      </w:r>
      <w:r>
        <w:rPr>
          <w:color w:val="000000"/>
        </w:rPr>
        <w:t>For clean and professional dashboard layout and title formatting.</w:t>
      </w:r>
    </w:p>
    <w:p w14:paraId="28256D09">
      <w:pPr>
        <w:keepNext/>
        <w:spacing w:before="280" w:after="120"/>
      </w:pPr>
      <w:r>
        <w:rPr>
          <w:rFonts w:ascii="Arial" w:hAnsi="Arial"/>
          <w:b/>
          <w:color w:val="000000"/>
          <w:sz w:val="26"/>
        </w:rPr>
        <w:t>5. Dashboard Features</w:t>
      </w:r>
    </w:p>
    <w:p w14:paraId="6F13365D">
      <w:pPr>
        <w:pStyle w:val="23"/>
        <w:spacing w:before="0" w:after="60" w:line="276" w:lineRule="auto"/>
      </w:pPr>
      <w:r>
        <w:rPr>
          <w:b/>
          <w:color w:val="000000"/>
        </w:rPr>
        <w:t xml:space="preserve">KPI Cards: </w:t>
      </w:r>
      <w:r>
        <w:rPr>
          <w:color w:val="000000"/>
        </w:rPr>
        <w:t>Total Students, Placed Students, Placement %, Unplaced Students, Avg CGPA, Avg Projects, Avg Internships.</w:t>
      </w:r>
    </w:p>
    <w:p w14:paraId="3DC9821A">
      <w:pPr>
        <w:pStyle w:val="23"/>
        <w:spacing w:before="0" w:after="60" w:line="276" w:lineRule="auto"/>
      </w:pPr>
      <w:r>
        <w:rPr>
          <w:b/>
          <w:color w:val="000000"/>
        </w:rPr>
        <w:t>Interactive Visualizations Across 4 Pages:</w:t>
      </w:r>
    </w:p>
    <w:p w14:paraId="5ABE79F8">
      <w:pPr>
        <w:pStyle w:val="24"/>
        <w:spacing w:before="0" w:after="40" w:line="276" w:lineRule="auto"/>
      </w:pPr>
      <w:r>
        <w:rPr>
          <w:b/>
          <w:i/>
          <w:color w:val="000000"/>
        </w:rPr>
        <w:t xml:space="preserve">Overview Page: </w:t>
      </w:r>
      <w:r>
        <w:rPr>
          <w:color w:val="000000"/>
        </w:rPr>
        <w:t>Placement Distribution Donut Chart and Executive Summary KPIs.</w:t>
      </w:r>
    </w:p>
    <w:p w14:paraId="50342876">
      <w:pPr>
        <w:pStyle w:val="24"/>
        <w:spacing w:before="0" w:after="40" w:line="276" w:lineRule="auto"/>
      </w:pPr>
      <w:r>
        <w:rPr>
          <w:b/>
          <w:i/>
          <w:color w:val="000000"/>
        </w:rPr>
        <w:t xml:space="preserve">Academic Performance Page: </w:t>
      </w:r>
      <w:r>
        <w:rPr>
          <w:color w:val="000000"/>
        </w:rPr>
        <w:t>Average CGPA by Branch Bar Chart, Multi-Year Placement Trend Line Chart, and Branch-wise Placements Contribution Bar Chart.</w:t>
      </w:r>
    </w:p>
    <w:p w14:paraId="001ABCD3">
      <w:pPr>
        <w:pStyle w:val="24"/>
        <w:spacing w:before="0" w:after="40" w:line="276" w:lineRule="auto"/>
      </w:pPr>
      <w:r>
        <w:rPr>
          <w:b/>
          <w:i/>
          <w:color w:val="000000"/>
        </w:rPr>
        <w:t xml:space="preserve">Skills &amp; Internships Page: </w:t>
      </w:r>
      <w:r>
        <w:rPr>
          <w:color w:val="000000"/>
        </w:rPr>
        <w:t>Technical Skills vs. Placement Bar Chart, Soft Skills Success Matrix, and Average Internship Exposure by Branch.</w:t>
      </w:r>
    </w:p>
    <w:p w14:paraId="3A45351A">
      <w:pPr>
        <w:pStyle w:val="24"/>
        <w:spacing w:before="0" w:after="40" w:line="276" w:lineRule="auto"/>
      </w:pPr>
      <w:r>
        <w:rPr>
          <w:b/>
          <w:i/>
          <w:color w:val="000000"/>
        </w:rPr>
        <w:t xml:space="preserve">Company Analysis Page: </w:t>
      </w:r>
      <w:r>
        <w:rPr>
          <w:color w:val="000000"/>
        </w:rPr>
        <w:t>Recruiter Volume Bar Chart (TCS &amp; Microsoft Lead Campus Hiring) and Candidate-Level Detail Inspection Tables.</w:t>
      </w:r>
    </w:p>
    <w:p w14:paraId="3BD1F26D">
      <w:pPr>
        <w:pStyle w:val="23"/>
        <w:spacing w:before="0" w:after="60" w:line="276" w:lineRule="auto"/>
      </w:pPr>
      <w:r>
        <w:rPr>
          <w:b/>
          <w:color w:val="000000"/>
        </w:rPr>
        <w:t xml:space="preserve">Interactive Slicers: </w:t>
      </w:r>
      <w:r>
        <w:rPr>
          <w:color w:val="000000"/>
        </w:rPr>
        <w:t>Year, Gender, Branch, Soft Skills, and Placed Company.</w:t>
      </w:r>
    </w:p>
    <w:p w14:paraId="67E70986">
      <w:pPr>
        <w:pStyle w:val="23"/>
        <w:spacing w:before="0" w:after="60" w:line="276" w:lineRule="auto"/>
      </w:pPr>
      <w:r>
        <w:rPr>
          <w:b/>
          <w:color w:val="000000"/>
        </w:rPr>
        <w:t xml:space="preserve">Dynamic Filtering: </w:t>
      </w:r>
      <w:r>
        <w:rPr>
          <w:color w:val="000000"/>
        </w:rPr>
        <w:t>All visuals and KPI cards update automatically with cross-filtering and slicer selections.</w:t>
      </w:r>
    </w:p>
    <w:p w14:paraId="215860F3">
      <w:pPr>
        <w:keepNext/>
        <w:spacing w:before="280" w:after="120"/>
      </w:pPr>
      <w:r>
        <w:rPr>
          <w:rFonts w:ascii="Arial" w:hAnsi="Arial"/>
          <w:b/>
          <w:color w:val="000000"/>
          <w:sz w:val="26"/>
        </w:rPr>
        <w:t>6. Analysis &amp; Insights</w:t>
      </w:r>
    </w:p>
    <w:p w14:paraId="5CC482E4">
      <w:pPr>
        <w:pStyle w:val="23"/>
        <w:spacing w:before="0" w:after="60" w:line="276" w:lineRule="auto"/>
      </w:pPr>
      <w:r>
        <w:rPr>
          <w:color w:val="000000"/>
        </w:rPr>
        <w:t>Achieved an overall institutional placement rate of 50% across engineering disciplines.</w:t>
      </w:r>
    </w:p>
    <w:p w14:paraId="71989DF1">
      <w:pPr>
        <w:pStyle w:val="23"/>
        <w:spacing w:before="0" w:after="60" w:line="276" w:lineRule="auto"/>
      </w:pPr>
      <w:r>
        <w:rPr>
          <w:color w:val="000000"/>
        </w:rPr>
        <w:t>TCS (93 students) and Microsoft (72 students) emerged as the leading volume recruiters during campus hiring.</w:t>
      </w:r>
    </w:p>
    <w:p w14:paraId="1869D83F">
      <w:pPr>
        <w:pStyle w:val="23"/>
        <w:spacing w:before="0" w:after="60" w:line="276" w:lineRule="auto"/>
      </w:pPr>
      <w:r>
        <w:rPr>
          <w:color w:val="000000"/>
        </w:rPr>
        <w:t>Technical skills in Python, Data Science, and Machine Learning directly correlate with higher placement counts.</w:t>
      </w:r>
    </w:p>
    <w:p w14:paraId="228DBB80">
      <w:pPr>
        <w:pStyle w:val="23"/>
        <w:spacing w:before="0" w:after="60" w:line="276" w:lineRule="auto"/>
      </w:pPr>
      <w:r>
        <w:rPr>
          <w:color w:val="000000"/>
        </w:rPr>
        <w:t>Placed candidates maintain a strong academic baseline with an average CGPA of ~7.52 alongside robust project and internship exposure.</w:t>
      </w:r>
    </w:p>
    <w:p w14:paraId="5ACA1469">
      <w:pPr>
        <w:pStyle w:val="23"/>
        <w:spacing w:before="0" w:after="60" w:line="276" w:lineRule="auto"/>
      </w:pPr>
      <w:r>
        <w:rPr>
          <w:color w:val="000000"/>
        </w:rPr>
        <w:t>Departmental analysis highlights variations in internship exposure and branch-wise placement volumes, identifying areas for targeted training interventions.</w:t>
      </w:r>
    </w:p>
    <w:p w14:paraId="47BF1C6B">
      <w:pPr>
        <w:keepNext/>
        <w:spacing w:before="280" w:after="120"/>
      </w:pPr>
      <w:r>
        <w:rPr>
          <w:rFonts w:ascii="Arial" w:hAnsi="Arial"/>
          <w:b/>
          <w:color w:val="000000"/>
          <w:sz w:val="26"/>
        </w:rPr>
        <w:t>7. Business Usefulness</w:t>
      </w:r>
    </w:p>
    <w:p w14:paraId="0EB2BAA8">
      <w:pPr>
        <w:pStyle w:val="23"/>
        <w:spacing w:before="0" w:after="60" w:line="276" w:lineRule="auto"/>
      </w:pPr>
      <w:r>
        <w:rPr>
          <w:color w:val="000000"/>
        </w:rPr>
        <w:t>Helps university placement cells evaluate institutional employability and track recruiter performance.</w:t>
      </w:r>
    </w:p>
    <w:p w14:paraId="0D621BC2">
      <w:pPr>
        <w:pStyle w:val="23"/>
        <w:spacing w:before="0" w:after="60" w:line="276" w:lineRule="auto"/>
      </w:pPr>
      <w:r>
        <w:rPr>
          <w:color w:val="000000"/>
        </w:rPr>
        <w:t>Supports academic departments in aligning curriculum and training programs with high-demand technical skill sets.</w:t>
      </w:r>
    </w:p>
    <w:p w14:paraId="7BBE63DB">
      <w:pPr>
        <w:pStyle w:val="23"/>
        <w:spacing w:before="0" w:after="60" w:line="276" w:lineRule="auto"/>
      </w:pPr>
      <w:r>
        <w:rPr>
          <w:color w:val="000000"/>
        </w:rPr>
        <w:t>Identifies top corporate partners to strengthen future campus recruitment pipelines.</w:t>
      </w:r>
    </w:p>
    <w:p w14:paraId="2033B381">
      <w:pPr>
        <w:pStyle w:val="23"/>
        <w:spacing w:before="0" w:after="60" w:line="276" w:lineRule="auto"/>
      </w:pPr>
      <w:r>
        <w:rPr>
          <w:color w:val="000000"/>
        </w:rPr>
        <w:t>Provides students with clear benchmarks regarding project counts, internships, and CGPA required for career success.</w:t>
      </w:r>
    </w:p>
    <w:p w14:paraId="3000C96C">
      <w:pPr>
        <w:keepNext/>
        <w:spacing w:before="280" w:after="120"/>
      </w:pPr>
      <w:r>
        <w:rPr>
          <w:rFonts w:ascii="Arial" w:hAnsi="Arial"/>
          <w:b/>
          <w:color w:val="000000"/>
          <w:sz w:val="26"/>
        </w:rPr>
        <w:t>8. Conclusion</w:t>
      </w:r>
    </w:p>
    <w:p w14:paraId="6E050466">
      <w:pPr>
        <w:spacing w:after="120" w:line="276" w:lineRule="auto"/>
      </w:pPr>
      <w:r>
        <w:rPr>
          <w:color w:val="000000"/>
        </w:rPr>
        <w:t>The Campus Placement Analytics dashboard provides an interactive and comprehensive view of recruitment performance. By combining executive KPIs, specialized multi-page charts, and dynamic slicers, it enables stakeholders to monitor trends, analyze high-demand skills, evaluate recruiter distributions, and make informed decisions to improve student placement outcomes. The dashboard serves as a valuable tool for tracking career readiness, evaluating institutional performance, and increasing overall placement success.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861A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624</Words>
  <Characters>4192</Characters>
  <Lines>0</Lines>
  <Paragraphs>0</Paragraphs>
  <TotalTime>0</TotalTime>
  <ScaleCrop>false</ScaleCrop>
  <LinksUpToDate>false</LinksUpToDate>
  <CharactersWithSpaces>4768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Mounika M</cp:lastModifiedBy>
  <dcterms:modified xsi:type="dcterms:W3CDTF">2026-10-13T19:17:37Z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A2435BAFFCAD47C49657364F6D30CF76_13</vt:lpwstr>
  </property>
</Properties>
</file>