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3864"/>
          <w:sz w:val="52"/>
          <w:szCs w:val="52"/>
        </w:rPr>
        <w:t xml:space="preserve">FINAL PROJECT REPORT</w:t>
      </w:r>
    </w:p>
    <w:p>
      <w:pPr>
        <w:spacing w:after="600" w:before="240"/>
        <w:jc w:val="center"/>
      </w:pPr>
      <w:r>
        <w:rPr>
          <w:rFonts w:ascii="Calibri" w:cs="Calibri" w:eastAsia="Calibri" w:hAnsi="Calibri"/>
          <w:b/>
          <w:bCs/>
          <w:color w:val="2E5496"/>
          <w:sz w:val="32"/>
          <w:szCs w:val="32"/>
        </w:rPr>
        <w:t xml:space="preserve">Online Learning Engagement and Student Performance Analysis</w:t>
      </w:r>
    </w:p>
    <w:p>
      <w:pPr>
        <w:spacing w:after="800"/>
        <w:jc w:val="center"/>
      </w:pPr>
      <w:r>
        <w:rPr>
          <w:rFonts w:ascii="Calibri" w:cs="Calibri" w:eastAsia="Calibri" w:hAnsi="Calibri"/>
          <w:i/>
          <w:iCs/>
          <w:color w:val="555555"/>
          <w:sz w:val="24"/>
          <w:szCs w:val="24"/>
        </w:rPr>
        <w:t xml:space="preserve">A Power BI Data Analytics Project</w:t>
      </w:r>
    </w:p>
    <w:tbl>
      <w:tblPr>
        <w:tblW w:type="dxa" w:w="72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4600"/>
      </w:tblGrid>
      <w:tr>
        <w:trPr>
          <w:tblHeader w:val="false"/>
        </w:trPr>
        <w:tc>
          <w:tcPr>
            <w:tcW w:type="dxa" w:w="2600"/>
            <w:tcMar>
              <w:top w:type="dxa" w:w="60"/>
              <w:left w:type="dxa" w:w="100"/>
              <w:bottom w:type="dxa" w:w="60"/>
              <w:right w:type="dxa" w:w="100"/>
            </w:tcMar>
          </w:tcPr>
          <w:p>
            <w:pPr>
              <w:spacing w:after="0" w:line="252"/>
            </w:pPr>
            <w:r>
              <w:rPr>
                <w:rFonts w:ascii="Calibri" w:cs="Calibri" w:eastAsia="Calibri" w:hAnsi="Calibri"/>
                <w:b/>
                <w:bCs/>
                <w:sz w:val="22"/>
                <w:szCs w:val="22"/>
              </w:rPr>
              <w:t xml:space="preserve">Date</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2"/>
                <w:szCs w:val="22"/>
              </w:rPr>
              <w:t xml:space="preserve">21 September 2026</w:t>
            </w:r>
          </w:p>
        </w:tc>
      </w:tr>
      <w:tr>
        <w:trPr>
          <w:tblHeader w:val="false"/>
        </w:trPr>
        <w:tc>
          <w:tcPr>
            <w:tcW w:type="dxa" w:w="2600"/>
            <w:tcMar>
              <w:top w:type="dxa" w:w="60"/>
              <w:left w:type="dxa" w:w="100"/>
              <w:bottom w:type="dxa" w:w="60"/>
              <w:right w:type="dxa" w:w="100"/>
            </w:tcMar>
          </w:tcPr>
          <w:p>
            <w:pPr>
              <w:spacing w:after="0" w:line="252"/>
            </w:pPr>
            <w:r>
              <w:rPr>
                <w:rFonts w:ascii="Calibri" w:cs="Calibri" w:eastAsia="Calibri" w:hAnsi="Calibri"/>
                <w:b/>
                <w:bCs/>
                <w:sz w:val="22"/>
                <w:szCs w:val="22"/>
              </w:rPr>
              <w:t xml:space="preserve">Team ID</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2"/>
                <w:szCs w:val="22"/>
              </w:rPr>
              <w:t xml:space="preserve">Master of Computer Applications (MCA)</w:t>
            </w:r>
          </w:p>
        </w:tc>
      </w:tr>
      <w:tr>
        <w:trPr>
          <w:tblHeader w:val="false"/>
        </w:trPr>
        <w:tc>
          <w:tcPr>
            <w:tcW w:type="dxa" w:w="2600"/>
            <w:tcMar>
              <w:top w:type="dxa" w:w="60"/>
              <w:left w:type="dxa" w:w="100"/>
              <w:bottom w:type="dxa" w:w="60"/>
              <w:right w:type="dxa" w:w="100"/>
            </w:tcMar>
          </w:tcPr>
          <w:p>
            <w:pPr>
              <w:spacing w:after="0" w:line="252"/>
            </w:pPr>
            <w:r>
              <w:rPr>
                <w:rFonts w:ascii="Calibri" w:cs="Calibri" w:eastAsia="Calibri" w:hAnsi="Calibri"/>
                <w:b/>
                <w:bCs/>
                <w:sz w:val="22"/>
                <w:szCs w:val="22"/>
              </w:rPr>
              <w:t xml:space="preserve">Project Name</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2"/>
                <w:szCs w:val="22"/>
              </w:rPr>
              <w:t xml:space="preserve">Online Learning Engagement and Student Performance Analysis</w:t>
            </w:r>
          </w:p>
        </w:tc>
      </w:tr>
      <w:tr>
        <w:trPr>
          <w:tblHeader w:val="false"/>
        </w:trPr>
        <w:tc>
          <w:tcPr>
            <w:tcW w:type="dxa" w:w="2600"/>
            <w:tcMar>
              <w:top w:type="dxa" w:w="60"/>
              <w:left w:type="dxa" w:w="100"/>
              <w:bottom w:type="dxa" w:w="60"/>
              <w:right w:type="dxa" w:w="100"/>
            </w:tcMar>
          </w:tcPr>
          <w:p>
            <w:pPr>
              <w:spacing w:after="0" w:line="252"/>
            </w:pPr>
            <w:r>
              <w:rPr>
                <w:rFonts w:ascii="Calibri" w:cs="Calibri" w:eastAsia="Calibri" w:hAnsi="Calibri"/>
                <w:b/>
                <w:bCs/>
                <w:sz w:val="22"/>
                <w:szCs w:val="22"/>
              </w:rPr>
              <w:t xml:space="preserve">Tool Used</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2"/>
                <w:szCs w:val="22"/>
              </w:rPr>
              <w:t xml:space="preserve">Microsoft Power BI Desktop / Power BI Service</w:t>
            </w:r>
          </w:p>
        </w:tc>
      </w:tr>
      <w:tr>
        <w:trPr>
          <w:tblHeader w:val="false"/>
        </w:trPr>
        <w:tc>
          <w:tcPr>
            <w:tcW w:type="dxa" w:w="2600"/>
            <w:tcMar>
              <w:top w:type="dxa" w:w="60"/>
              <w:left w:type="dxa" w:w="100"/>
              <w:bottom w:type="dxa" w:w="60"/>
              <w:right w:type="dxa" w:w="100"/>
            </w:tcMar>
          </w:tcPr>
          <w:p>
            <w:pPr>
              <w:spacing w:after="0" w:line="252"/>
            </w:pPr>
            <w:r>
              <w:rPr>
                <w:rFonts w:ascii="Calibri" w:cs="Calibri" w:eastAsia="Calibri" w:hAnsi="Calibri"/>
                <w:b/>
                <w:bCs/>
                <w:sz w:val="22"/>
                <w:szCs w:val="22"/>
              </w:rPr>
              <w:t xml:space="preserve">Dataset</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2"/>
                <w:szCs w:val="22"/>
              </w:rPr>
              <w:t xml:space="preserve">online_education_dataset (22,422 student records)</w:t>
            </w:r>
          </w:p>
        </w:tc>
      </w:tr>
      <w:tr>
        <w:trPr>
          <w:tblHeader w:val="false"/>
        </w:trPr>
        <w:tc>
          <w:tcPr>
            <w:tcW w:type="dxa" w:w="2600"/>
            <w:tcMar>
              <w:top w:type="dxa" w:w="60"/>
              <w:left w:type="dxa" w:w="100"/>
              <w:bottom w:type="dxa" w:w="60"/>
              <w:right w:type="dxa" w:w="100"/>
            </w:tcMar>
          </w:tcPr>
          <w:p>
            <w:pPr>
              <w:spacing w:after="0" w:line="252"/>
            </w:pPr>
            <w:r>
              <w:rPr>
                <w:rFonts w:ascii="Calibri" w:cs="Calibri" w:eastAsia="Calibri" w:hAnsi="Calibri"/>
                <w:b/>
                <w:bCs/>
                <w:sz w:val="22"/>
                <w:szCs w:val="22"/>
              </w:rPr>
              <w:t xml:space="preserve">Maximum Marks</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2"/>
                <w:szCs w:val="22"/>
              </w:rPr>
              <w:t xml:space="preserve">5 Marks</w:t>
            </w:r>
          </w:p>
        </w:tc>
      </w:tr>
    </w:tbl>
    <w:p>
      <w:pPr>
        <w:pStyle w:val="Heading1"/>
        <w:pageBreakBefore/>
        <w:spacing w:after="140" w:before="320"/>
      </w:pPr>
      <w:r>
        <w:rPr>
          <w:rFonts w:ascii="Calibri" w:cs="Calibri" w:eastAsia="Calibri" w:hAnsi="Calibri"/>
          <w:b/>
          <w:bCs/>
          <w:color w:val="1F3864"/>
          <w:sz w:val="32"/>
          <w:szCs w:val="32"/>
        </w:rPr>
        <w:t xml:space="preserve">Table of Contents</w:t>
      </w:r>
    </w:p>
    <w:p>
      <w:pPr>
        <w:spacing w:after="60"/>
      </w:pPr>
      <w:r>
        <w:rPr>
          <w:rFonts w:ascii="Calibri" w:cs="Calibri" w:eastAsia="Calibri" w:hAnsi="Calibri"/>
          <w:b/>
          <w:bCs/>
          <w:sz w:val="22"/>
          <w:szCs w:val="22"/>
        </w:rPr>
        <w:t xml:space="preserve">1.  Introduction</w:t>
      </w:r>
    </w:p>
    <w:p>
      <w:pPr>
        <w:spacing w:after="60"/>
        <w:ind w:left="400"/>
      </w:pPr>
      <w:r>
        <w:rPr>
          <w:rFonts w:ascii="Calibri" w:cs="Calibri" w:eastAsia="Calibri" w:hAnsi="Calibri"/>
          <w:b w:val="false"/>
          <w:bCs w:val="false"/>
          <w:sz w:val="22"/>
          <w:szCs w:val="22"/>
        </w:rPr>
        <w:t xml:space="preserve">1.1  Project Overview</w:t>
      </w:r>
    </w:p>
    <w:p>
      <w:pPr>
        <w:spacing w:after="60"/>
        <w:ind w:left="400"/>
      </w:pPr>
      <w:r>
        <w:rPr>
          <w:rFonts w:ascii="Calibri" w:cs="Calibri" w:eastAsia="Calibri" w:hAnsi="Calibri"/>
          <w:b w:val="false"/>
          <w:bCs w:val="false"/>
          <w:sz w:val="22"/>
          <w:szCs w:val="22"/>
        </w:rPr>
        <w:t xml:space="preserve">1.2  Objectives</w:t>
      </w:r>
    </w:p>
    <w:p>
      <w:pPr>
        <w:spacing w:after="60"/>
      </w:pPr>
      <w:r>
        <w:rPr>
          <w:rFonts w:ascii="Calibri" w:cs="Calibri" w:eastAsia="Calibri" w:hAnsi="Calibri"/>
          <w:b/>
          <w:bCs/>
          <w:sz w:val="22"/>
          <w:szCs w:val="22"/>
        </w:rPr>
        <w:t xml:space="preserve">2.  Project Initialization and Planning Phase</w:t>
      </w:r>
    </w:p>
    <w:p>
      <w:pPr>
        <w:spacing w:after="60"/>
        <w:ind w:left="400"/>
      </w:pPr>
      <w:r>
        <w:rPr>
          <w:rFonts w:ascii="Calibri" w:cs="Calibri" w:eastAsia="Calibri" w:hAnsi="Calibri"/>
          <w:b w:val="false"/>
          <w:bCs w:val="false"/>
          <w:sz w:val="22"/>
          <w:szCs w:val="22"/>
        </w:rPr>
        <w:t xml:space="preserve">2.1  Define Problem Statement</w:t>
      </w:r>
    </w:p>
    <w:p>
      <w:pPr>
        <w:spacing w:after="60"/>
        <w:ind w:left="400"/>
      </w:pPr>
      <w:r>
        <w:rPr>
          <w:rFonts w:ascii="Calibri" w:cs="Calibri" w:eastAsia="Calibri" w:hAnsi="Calibri"/>
          <w:b w:val="false"/>
          <w:bCs w:val="false"/>
          <w:sz w:val="22"/>
          <w:szCs w:val="22"/>
        </w:rPr>
        <w:t xml:space="preserve">2.2  Project Proposal (Proposed Solution)</w:t>
      </w:r>
    </w:p>
    <w:p>
      <w:pPr>
        <w:spacing w:after="60"/>
        <w:ind w:left="400"/>
      </w:pPr>
      <w:r>
        <w:rPr>
          <w:rFonts w:ascii="Calibri" w:cs="Calibri" w:eastAsia="Calibri" w:hAnsi="Calibri"/>
          <w:b w:val="false"/>
          <w:bCs w:val="false"/>
          <w:sz w:val="22"/>
          <w:szCs w:val="22"/>
        </w:rPr>
        <w:t xml:space="preserve">2.3  Initial Project Planning</w:t>
      </w:r>
    </w:p>
    <w:p>
      <w:pPr>
        <w:spacing w:after="60"/>
      </w:pPr>
      <w:r>
        <w:rPr>
          <w:rFonts w:ascii="Calibri" w:cs="Calibri" w:eastAsia="Calibri" w:hAnsi="Calibri"/>
          <w:b/>
          <w:bCs/>
          <w:sz w:val="22"/>
          <w:szCs w:val="22"/>
        </w:rPr>
        <w:t xml:space="preserve">3.  Data Collection and Preprocessing Phase</w:t>
      </w:r>
    </w:p>
    <w:p>
      <w:pPr>
        <w:spacing w:after="60"/>
        <w:ind w:left="400"/>
      </w:pPr>
      <w:r>
        <w:rPr>
          <w:rFonts w:ascii="Calibri" w:cs="Calibri" w:eastAsia="Calibri" w:hAnsi="Calibri"/>
          <w:b w:val="false"/>
          <w:bCs w:val="false"/>
          <w:sz w:val="22"/>
          <w:szCs w:val="22"/>
        </w:rPr>
        <w:t xml:space="preserve">3.1  Data Collection Plan and Raw Data Sources Identified</w:t>
      </w:r>
    </w:p>
    <w:p>
      <w:pPr>
        <w:spacing w:after="60"/>
        <w:ind w:left="400"/>
      </w:pPr>
      <w:r>
        <w:rPr>
          <w:rFonts w:ascii="Calibri" w:cs="Calibri" w:eastAsia="Calibri" w:hAnsi="Calibri"/>
          <w:b w:val="false"/>
          <w:bCs w:val="false"/>
          <w:sz w:val="22"/>
          <w:szCs w:val="22"/>
        </w:rPr>
        <w:t xml:space="preserve">3.2  Data Quality Report</w:t>
      </w:r>
    </w:p>
    <w:p>
      <w:pPr>
        <w:spacing w:after="60"/>
        <w:ind w:left="400"/>
      </w:pPr>
      <w:r>
        <w:rPr>
          <w:rFonts w:ascii="Calibri" w:cs="Calibri" w:eastAsia="Calibri" w:hAnsi="Calibri"/>
          <w:b w:val="false"/>
          <w:bCs w:val="false"/>
          <w:sz w:val="22"/>
          <w:szCs w:val="22"/>
        </w:rPr>
        <w:t xml:space="preserve">3.3  Data Exploration and Preprocessing</w:t>
      </w:r>
    </w:p>
    <w:p>
      <w:pPr>
        <w:spacing w:after="60"/>
      </w:pPr>
      <w:r>
        <w:rPr>
          <w:rFonts w:ascii="Calibri" w:cs="Calibri" w:eastAsia="Calibri" w:hAnsi="Calibri"/>
          <w:b/>
          <w:bCs/>
          <w:sz w:val="22"/>
          <w:szCs w:val="22"/>
        </w:rPr>
        <w:t xml:space="preserve">4.  Data Visualization</w:t>
      </w:r>
    </w:p>
    <w:p>
      <w:pPr>
        <w:spacing w:after="60"/>
        <w:ind w:left="400"/>
      </w:pPr>
      <w:r>
        <w:rPr>
          <w:rFonts w:ascii="Calibri" w:cs="Calibri" w:eastAsia="Calibri" w:hAnsi="Calibri"/>
          <w:b w:val="false"/>
          <w:bCs w:val="false"/>
          <w:sz w:val="22"/>
          <w:szCs w:val="22"/>
        </w:rPr>
        <w:t xml:space="preserve">4.1  Framing Business Questions</w:t>
      </w:r>
    </w:p>
    <w:p>
      <w:pPr>
        <w:spacing w:after="60"/>
        <w:ind w:left="400"/>
      </w:pPr>
      <w:r>
        <w:rPr>
          <w:rFonts w:ascii="Calibri" w:cs="Calibri" w:eastAsia="Calibri" w:hAnsi="Calibri"/>
          <w:b w:val="false"/>
          <w:bCs w:val="false"/>
          <w:sz w:val="22"/>
          <w:szCs w:val="22"/>
        </w:rPr>
        <w:t xml:space="preserve">4.2  Developing Visualizations</w:t>
      </w:r>
    </w:p>
    <w:p>
      <w:pPr>
        <w:spacing w:after="60"/>
      </w:pPr>
      <w:r>
        <w:rPr>
          <w:rFonts w:ascii="Calibri" w:cs="Calibri" w:eastAsia="Calibri" w:hAnsi="Calibri"/>
          <w:b/>
          <w:bCs/>
          <w:sz w:val="22"/>
          <w:szCs w:val="22"/>
        </w:rPr>
        <w:t xml:space="preserve">5.  Dashboard</w:t>
      </w:r>
    </w:p>
    <w:p>
      <w:pPr>
        <w:spacing w:after="60"/>
        <w:ind w:left="400"/>
      </w:pPr>
      <w:r>
        <w:rPr>
          <w:rFonts w:ascii="Calibri" w:cs="Calibri" w:eastAsia="Calibri" w:hAnsi="Calibri"/>
          <w:b w:val="false"/>
          <w:bCs w:val="false"/>
          <w:sz w:val="22"/>
          <w:szCs w:val="22"/>
        </w:rPr>
        <w:t xml:space="preserve">5.1  Dashboard Design Screenshot with Insights</w:t>
      </w:r>
    </w:p>
    <w:p>
      <w:pPr>
        <w:spacing w:after="60"/>
      </w:pPr>
      <w:r>
        <w:rPr>
          <w:rFonts w:ascii="Calibri" w:cs="Calibri" w:eastAsia="Calibri" w:hAnsi="Calibri"/>
          <w:b/>
          <w:bCs/>
          <w:sz w:val="22"/>
          <w:szCs w:val="22"/>
        </w:rPr>
        <w:t xml:space="preserve">6.  Report</w:t>
      </w:r>
    </w:p>
    <w:p>
      <w:pPr>
        <w:spacing w:after="60"/>
        <w:ind w:left="400"/>
      </w:pPr>
      <w:r>
        <w:rPr>
          <w:rFonts w:ascii="Calibri" w:cs="Calibri" w:eastAsia="Calibri" w:hAnsi="Calibri"/>
          <w:b w:val="false"/>
          <w:bCs w:val="false"/>
          <w:sz w:val="22"/>
          <w:szCs w:val="22"/>
        </w:rPr>
        <w:t xml:space="preserve">6.1  Report Design Screenshot with Insights</w:t>
      </w:r>
    </w:p>
    <w:p>
      <w:pPr>
        <w:spacing w:after="60"/>
      </w:pPr>
      <w:r>
        <w:rPr>
          <w:rFonts w:ascii="Calibri" w:cs="Calibri" w:eastAsia="Calibri" w:hAnsi="Calibri"/>
          <w:b/>
          <w:bCs/>
          <w:sz w:val="22"/>
          <w:szCs w:val="22"/>
        </w:rPr>
        <w:t xml:space="preserve">7.  Performance Testing</w:t>
      </w:r>
    </w:p>
    <w:p>
      <w:pPr>
        <w:spacing w:after="60"/>
        <w:ind w:left="400"/>
      </w:pPr>
      <w:r>
        <w:rPr>
          <w:rFonts w:ascii="Calibri" w:cs="Calibri" w:eastAsia="Calibri" w:hAnsi="Calibri"/>
          <w:b w:val="false"/>
          <w:bCs w:val="false"/>
          <w:sz w:val="22"/>
          <w:szCs w:val="22"/>
        </w:rPr>
        <w:t xml:space="preserve">7.1  Utilization of Data Filters</w:t>
      </w:r>
    </w:p>
    <w:p>
      <w:pPr>
        <w:spacing w:after="60"/>
        <w:ind w:left="400"/>
      </w:pPr>
      <w:r>
        <w:rPr>
          <w:rFonts w:ascii="Calibri" w:cs="Calibri" w:eastAsia="Calibri" w:hAnsi="Calibri"/>
          <w:b w:val="false"/>
          <w:bCs w:val="false"/>
          <w:sz w:val="22"/>
          <w:szCs w:val="22"/>
        </w:rPr>
        <w:t xml:space="preserve">7.2  No. of Calculated Columns / Measures</w:t>
      </w:r>
    </w:p>
    <w:p>
      <w:pPr>
        <w:spacing w:after="60"/>
        <w:ind w:left="400"/>
      </w:pPr>
      <w:r>
        <w:rPr>
          <w:rFonts w:ascii="Calibri" w:cs="Calibri" w:eastAsia="Calibri" w:hAnsi="Calibri"/>
          <w:b w:val="false"/>
          <w:bCs w:val="false"/>
          <w:sz w:val="22"/>
          <w:szCs w:val="22"/>
        </w:rPr>
        <w:t xml:space="preserve">7.3  No. of Visualizations</w:t>
      </w:r>
    </w:p>
    <w:p>
      <w:pPr>
        <w:spacing w:after="60"/>
      </w:pPr>
      <w:r>
        <w:rPr>
          <w:rFonts w:ascii="Calibri" w:cs="Calibri" w:eastAsia="Calibri" w:hAnsi="Calibri"/>
          <w:b/>
          <w:bCs/>
          <w:sz w:val="22"/>
          <w:szCs w:val="22"/>
        </w:rPr>
        <w:t xml:space="preserve">8.  Conclusion / Observation</w:t>
      </w:r>
    </w:p>
    <w:p>
      <w:pPr>
        <w:spacing w:after="60"/>
      </w:pPr>
      <w:r>
        <w:rPr>
          <w:rFonts w:ascii="Calibri" w:cs="Calibri" w:eastAsia="Calibri" w:hAnsi="Calibri"/>
          <w:b/>
          <w:bCs/>
          <w:sz w:val="22"/>
          <w:szCs w:val="22"/>
        </w:rPr>
        <w:t xml:space="preserve">9.  Future Scope</w:t>
      </w:r>
    </w:p>
    <w:p>
      <w:pPr>
        <w:spacing w:after="60"/>
      </w:pPr>
      <w:r>
        <w:rPr>
          <w:rFonts w:ascii="Calibri" w:cs="Calibri" w:eastAsia="Calibri" w:hAnsi="Calibri"/>
          <w:b/>
          <w:bCs/>
          <w:sz w:val="22"/>
          <w:szCs w:val="22"/>
        </w:rPr>
        <w:t xml:space="preserve">10.  Appendix</w:t>
      </w:r>
    </w:p>
    <w:p>
      <w:pPr>
        <w:spacing w:after="60"/>
        <w:ind w:left="400"/>
      </w:pPr>
      <w:r>
        <w:rPr>
          <w:rFonts w:ascii="Calibri" w:cs="Calibri" w:eastAsia="Calibri" w:hAnsi="Calibri"/>
          <w:b w:val="false"/>
          <w:bCs w:val="false"/>
          <w:sz w:val="22"/>
          <w:szCs w:val="22"/>
        </w:rPr>
        <w:t xml:space="preserve">10.1  Source Code (DAX)</w:t>
      </w:r>
    </w:p>
    <w:p>
      <w:pPr>
        <w:spacing w:after="60"/>
        <w:ind w:left="400"/>
      </w:pPr>
      <w:r>
        <w:rPr>
          <w:rFonts w:ascii="Calibri" w:cs="Calibri" w:eastAsia="Calibri" w:hAnsi="Calibri"/>
          <w:b w:val="false"/>
          <w:bCs w:val="false"/>
          <w:sz w:val="22"/>
          <w:szCs w:val="22"/>
        </w:rPr>
        <w:t xml:space="preserve">10.2  GitHub &amp; Project Demo Link</w:t>
      </w:r>
    </w:p>
    <w:p>
      <w:pPr>
        <w:pStyle w:val="Heading1"/>
        <w:pageBreakBefore/>
        <w:spacing w:after="140" w:before="320"/>
      </w:pPr>
      <w:r>
        <w:rPr>
          <w:rFonts w:ascii="Calibri" w:cs="Calibri" w:eastAsia="Calibri" w:hAnsi="Calibri"/>
          <w:b/>
          <w:bCs/>
          <w:color w:val="1F3864"/>
          <w:sz w:val="32"/>
          <w:szCs w:val="32"/>
        </w:rPr>
        <w:t xml:space="preserve">1. Introduction</w:t>
      </w:r>
    </w:p>
    <w:p>
      <w:pPr>
        <w:pStyle w:val="Heading2"/>
        <w:spacing w:after="140" w:before="240"/>
      </w:pPr>
      <w:r>
        <w:rPr>
          <w:rFonts w:ascii="Calibri" w:cs="Calibri" w:eastAsia="Calibri" w:hAnsi="Calibri"/>
          <w:b/>
          <w:bCs/>
          <w:color w:val="2E5496"/>
          <w:sz w:val="26"/>
          <w:szCs w:val="26"/>
        </w:rPr>
        <w:t xml:space="preserve">1.1 Project Overview</w:t>
      </w:r>
    </w:p>
    <w:p>
      <w:pPr>
        <w:spacing w:after="120" w:line="276"/>
      </w:pPr>
      <w:r>
        <w:rPr>
          <w:rFonts w:ascii="Calibri" w:cs="Calibri" w:eastAsia="Calibri" w:hAnsi="Calibri"/>
          <w:sz w:val="22"/>
          <w:szCs w:val="22"/>
        </w:rPr>
        <w:t xml:space="preserve">Online learning platforms generate large volumes of behavioural and academic data, but that data usually sits in separate systems and is rarely brought together into a single view. As a result, instructors and student-support teams often discover that a learner is struggling only after the learner has already failed or withdrawn from the course.</w:t>
      </w:r>
    </w:p>
    <w:p>
      <w:pPr>
        <w:spacing w:after="120" w:line="276"/>
      </w:pPr>
      <w:r>
        <w:rPr>
          <w:rFonts w:ascii="Calibri" w:cs="Calibri" w:eastAsia="Calibri" w:hAnsi="Calibri"/>
          <w:sz w:val="22"/>
          <w:szCs w:val="22"/>
        </w:rPr>
        <w:t xml:space="preserve">This project analyses an online learning dataset covering 22,422 students across 13 regions of the United Kingdom and Ireland. The dataset records how students interact with the learning platform (total clicks, average clicks and a derived engagement level), how they perform academically (average score, pass rate, dropout rate and final result), and who they are (gender, region and highest prior education). Using Microsoft Power BI, the raw data was cleaned, transformed, modelled and turned into a set of interactive dashboards and reports.</w:t>
      </w:r>
    </w:p>
    <w:p>
      <w:pPr>
        <w:spacing w:after="120" w:line="276"/>
      </w:pPr>
      <w:r>
        <w:rPr>
          <w:rFonts w:ascii="Calibri" w:cs="Calibri" w:eastAsia="Calibri" w:hAnsi="Calibri"/>
          <w:sz w:val="22"/>
          <w:szCs w:val="22"/>
        </w:rPr>
        <w:t xml:space="preserve">The final solution consists of three report pages: an Online Education Analytics Dashboard that presents the headline KPIs, a Student Performance &amp; Engagement Overview page, and a Risk, Dropout &amp; Demographic Analysis page. Together they let a user move from a single summary number down to an individual segment of learners through slicers and decomposition trees. The intended audience is course designers, academic leaders, programme managers and student-support advisers who need to know where early intervention will improve completion and success rates.</w:t>
      </w:r>
    </w:p>
    <w:p>
      <w:pPr>
        <w:pStyle w:val="Heading2"/>
        <w:spacing w:after="140" w:before="240"/>
      </w:pPr>
      <w:r>
        <w:rPr>
          <w:rFonts w:ascii="Calibri" w:cs="Calibri" w:eastAsia="Calibri" w:hAnsi="Calibri"/>
          <w:b/>
          <w:bCs/>
          <w:color w:val="2E5496"/>
          <w:sz w:val="26"/>
          <w:szCs w:val="26"/>
        </w:rPr>
        <w:t xml:space="preserve">1.2 Objectives</w:t>
      </w:r>
    </w:p>
    <w:p>
      <w:pPr>
        <w:spacing w:after="120" w:line="276"/>
      </w:pPr>
      <w:r>
        <w:rPr>
          <w:rFonts w:ascii="Calibri" w:cs="Calibri" w:eastAsia="Calibri" w:hAnsi="Calibri"/>
          <w:sz w:val="22"/>
          <w:szCs w:val="22"/>
        </w:rPr>
        <w:t xml:space="preserve">The specific objectives of the project are:</w:t>
      </w:r>
    </w:p>
    <w:p>
      <w:pPr>
        <w:pStyle w:val="ListParagraph"/>
        <w:numPr>
          <w:ilvl w:val="0"/>
          <w:numId w:val="2"/>
        </w:numPr>
        <w:spacing w:after="80" w:line="276"/>
      </w:pPr>
      <w:r>
        <w:rPr>
          <w:rFonts w:ascii="Calibri" w:cs="Calibri" w:eastAsia="Calibri" w:hAnsi="Calibri"/>
          <w:sz w:val="22"/>
          <w:szCs w:val="22"/>
        </w:rPr>
        <w:t xml:space="preserve">To collect, clean and preprocess the online learning engagement dataset so that it is accurate, consistent and ready for analysis in Power BI.</w:t>
      </w:r>
    </w:p>
    <w:p>
      <w:pPr>
        <w:pStyle w:val="ListParagraph"/>
        <w:numPr>
          <w:ilvl w:val="0"/>
          <w:numId w:val="2"/>
        </w:numPr>
        <w:spacing w:after="80" w:line="276"/>
      </w:pPr>
      <w:r>
        <w:rPr>
          <w:rFonts w:ascii="Calibri" w:cs="Calibri" w:eastAsia="Calibri" w:hAnsi="Calibri"/>
          <w:sz w:val="22"/>
          <w:szCs w:val="22"/>
        </w:rPr>
        <w:t xml:space="preserve">To derive meaningful analytical fields — engagement level, performance level and risk level — from raw click and score data.</w:t>
      </w:r>
    </w:p>
    <w:p>
      <w:pPr>
        <w:pStyle w:val="ListParagraph"/>
        <w:numPr>
          <w:ilvl w:val="0"/>
          <w:numId w:val="2"/>
        </w:numPr>
        <w:spacing w:after="80" w:line="276"/>
      </w:pPr>
      <w:r>
        <w:rPr>
          <w:rFonts w:ascii="Calibri" w:cs="Calibri" w:eastAsia="Calibri" w:hAnsi="Calibri"/>
          <w:sz w:val="22"/>
          <w:szCs w:val="22"/>
        </w:rPr>
        <w:t xml:space="preserve">To create DAX measures for Total Students, Average Score, Average Clicks, Pass Rate and Dropout Rate that drive all KPI cards and visuals.</w:t>
      </w:r>
    </w:p>
    <w:p>
      <w:pPr>
        <w:pStyle w:val="ListParagraph"/>
        <w:numPr>
          <w:ilvl w:val="0"/>
          <w:numId w:val="2"/>
        </w:numPr>
        <w:spacing w:after="80" w:line="276"/>
      </w:pPr>
      <w:r>
        <w:rPr>
          <w:rFonts w:ascii="Calibri" w:cs="Calibri" w:eastAsia="Calibri" w:hAnsi="Calibri"/>
          <w:sz w:val="22"/>
          <w:szCs w:val="22"/>
        </w:rPr>
        <w:t xml:space="preserve">To build an interactive, multi-page Power BI dashboard that shows engagement, performance, dropout risk and demographic breakdowns in one place.</w:t>
      </w:r>
    </w:p>
    <w:p>
      <w:pPr>
        <w:pStyle w:val="ListParagraph"/>
        <w:numPr>
          <w:ilvl w:val="0"/>
          <w:numId w:val="2"/>
        </w:numPr>
        <w:spacing w:after="80" w:line="276"/>
      </w:pPr>
      <w:r>
        <w:rPr>
          <w:rFonts w:ascii="Calibri" w:cs="Calibri" w:eastAsia="Calibri" w:hAnsi="Calibri"/>
          <w:sz w:val="22"/>
          <w:szCs w:val="22"/>
        </w:rPr>
        <w:t xml:space="preserve">To answer ten defined business questions about learner engagement, dropout risk and academic performance using appropriate visualizations.</w:t>
      </w:r>
    </w:p>
    <w:p>
      <w:pPr>
        <w:pStyle w:val="ListParagraph"/>
        <w:numPr>
          <w:ilvl w:val="0"/>
          <w:numId w:val="2"/>
        </w:numPr>
        <w:spacing w:after="80" w:line="276"/>
      </w:pPr>
      <w:r>
        <w:rPr>
          <w:rFonts w:ascii="Calibri" w:cs="Calibri" w:eastAsia="Calibri" w:hAnsi="Calibri"/>
          <w:sz w:val="22"/>
          <w:szCs w:val="22"/>
        </w:rPr>
        <w:t xml:space="preserve">To identify which student segments are most at risk of failing or withdrawing, so that support can be targeted rather than applied uniformly.</w:t>
      </w:r>
    </w:p>
    <w:p>
      <w:pPr>
        <w:pStyle w:val="ListParagraph"/>
        <w:numPr>
          <w:ilvl w:val="0"/>
          <w:numId w:val="2"/>
        </w:numPr>
        <w:spacing w:after="80" w:line="276"/>
      </w:pPr>
      <w:r>
        <w:rPr>
          <w:rFonts w:ascii="Calibri" w:cs="Calibri" w:eastAsia="Calibri" w:hAnsi="Calibri"/>
          <w:sz w:val="22"/>
          <w:szCs w:val="22"/>
        </w:rPr>
        <w:t xml:space="preserve">To provide drill-down capability through decomposition trees, slicers and a Q&amp;A visual so that non-technical stakeholders can explore the data themselves.</w:t>
      </w:r>
    </w:p>
    <w:p>
      <w:pPr>
        <w:pStyle w:val="ListParagraph"/>
        <w:numPr>
          <w:ilvl w:val="0"/>
          <w:numId w:val="2"/>
        </w:numPr>
        <w:spacing w:after="80" w:line="276"/>
      </w:pPr>
      <w:r>
        <w:rPr>
          <w:rFonts w:ascii="Calibri" w:cs="Calibri" w:eastAsia="Calibri" w:hAnsi="Calibri"/>
          <w:sz w:val="22"/>
          <w:szCs w:val="22"/>
        </w:rPr>
        <w:t xml:space="preserve">To translate the analytical findings into practical recommendations that can raise the pass rate and reduce the dropout rate.</w:t>
      </w:r>
    </w:p>
    <w:p>
      <w:pPr>
        <w:pStyle w:val="Heading1"/>
        <w:pageBreakBefore/>
        <w:spacing w:after="140" w:before="320"/>
      </w:pPr>
      <w:r>
        <w:rPr>
          <w:rFonts w:ascii="Calibri" w:cs="Calibri" w:eastAsia="Calibri" w:hAnsi="Calibri"/>
          <w:b/>
          <w:bCs/>
          <w:color w:val="1F3864"/>
          <w:sz w:val="32"/>
          <w:szCs w:val="32"/>
        </w:rPr>
        <w:t xml:space="preserve">2. Project Initialization and Planning Phase</w:t>
      </w:r>
    </w:p>
    <w:p>
      <w:pPr>
        <w:pStyle w:val="Heading2"/>
        <w:spacing w:after="140" w:before="240"/>
      </w:pPr>
      <w:r>
        <w:rPr>
          <w:rFonts w:ascii="Calibri" w:cs="Calibri" w:eastAsia="Calibri" w:hAnsi="Calibri"/>
          <w:b/>
          <w:bCs/>
          <w:color w:val="2E5496"/>
          <w:sz w:val="26"/>
          <w:szCs w:val="26"/>
        </w:rPr>
        <w:t xml:space="preserve">2.1 Define Problem Statement</w:t>
      </w:r>
    </w:p>
    <w:p>
      <w:pPr>
        <w:spacing w:after="120" w:line="276"/>
      </w:pPr>
      <w:r>
        <w:rPr>
          <w:rFonts w:ascii="Calibri" w:cs="Calibri" w:eastAsia="Calibri" w:hAnsi="Calibri"/>
          <w:sz w:val="22"/>
          <w:szCs w:val="22"/>
        </w:rPr>
        <w:t xml:space="preserve">A customer problem statement describes a real challenge from the customer’s point of view: who they are, what they are trying to achieve, what gets in the way, why it happens and how it makes them feel. For this project the customers are the instructors, student-support advisers, programme managers and learners of an online learning programme. The statements below are grounded in the Power BI analysis of 22,422 students and define what the dashboards must show so that low engagement, dropout risk and performance gaps can be spotted and acted on early.</w:t>
      </w:r>
    </w:p>
    <w:p>
      <w:pPr>
        <w:spacing w:after="120" w:line="276"/>
      </w:pPr>
      <w:r>
        <w:rPr>
          <w:rFonts w:ascii="Calibri" w:cs="Calibri" w:eastAsia="Calibri" w:hAnsi="Calibri"/>
          <w:b/>
          <w:bCs/>
          <w:sz w:val="22"/>
          <w:szCs w:val="22"/>
        </w:rPr>
        <w:t xml:space="preserve">Problem Context (from the Power BI analysis):</w:t>
      </w:r>
    </w:p>
    <w:p>
      <w:pPr>
        <w:pStyle w:val="ListParagraph"/>
        <w:numPr>
          <w:ilvl w:val="0"/>
          <w:numId w:val="2"/>
        </w:numPr>
        <w:spacing w:after="80" w:line="276"/>
      </w:pPr>
      <w:r>
        <w:rPr>
          <w:rFonts w:ascii="Calibri" w:cs="Calibri" w:eastAsia="Calibri" w:hAnsi="Calibri"/>
          <w:sz w:val="22"/>
          <w:szCs w:val="22"/>
        </w:rPr>
        <w:t xml:space="preserve">22,422 students are spread across three engagement levels — Medium (37.46%), High (33.95%) and Low (28.59%) — so about two-thirds of learners are not highly engaged.</w:t>
      </w:r>
    </w:p>
    <w:p>
      <w:pPr>
        <w:pStyle w:val="ListParagraph"/>
        <w:numPr>
          <w:ilvl w:val="0"/>
          <w:numId w:val="2"/>
        </w:numPr>
        <w:spacing w:after="80" w:line="276"/>
      </w:pPr>
      <w:r>
        <w:rPr>
          <w:rFonts w:ascii="Calibri" w:cs="Calibri" w:eastAsia="Calibri" w:hAnsi="Calibri"/>
          <w:sz w:val="22"/>
          <w:szCs w:val="22"/>
        </w:rPr>
        <w:t xml:space="preserve">Engagement is linked to results: high-engagement students fail or withdraw about half as often as students overall (about 22% versus roughly 40%).</w:t>
      </w:r>
    </w:p>
    <w:p>
      <w:pPr>
        <w:pStyle w:val="ListParagraph"/>
        <w:numPr>
          <w:ilvl w:val="0"/>
          <w:numId w:val="2"/>
        </w:numPr>
        <w:spacing w:after="80" w:line="276"/>
      </w:pPr>
      <w:r>
        <w:rPr>
          <w:rFonts w:ascii="Calibri" w:cs="Calibri" w:eastAsia="Calibri" w:hAnsi="Calibri"/>
          <w:sz w:val="22"/>
          <w:szCs w:val="22"/>
        </w:rPr>
        <w:t xml:space="preserve">10,691 students (about 48%) are at High or Very High risk of failing or dropping out.</w:t>
      </w:r>
    </w:p>
    <w:p>
      <w:pPr>
        <w:pStyle w:val="ListParagraph"/>
        <w:numPr>
          <w:ilvl w:val="0"/>
          <w:numId w:val="2"/>
        </w:numPr>
        <w:spacing w:after="80" w:line="276"/>
      </w:pPr>
      <w:r>
        <w:rPr>
          <w:rFonts w:ascii="Calibri" w:cs="Calibri" w:eastAsia="Calibri" w:hAnsi="Calibri"/>
          <w:sz w:val="22"/>
          <w:szCs w:val="22"/>
        </w:rPr>
        <w:t xml:space="preserve">Prior education shapes outcomes: students with no formal qualifications show about 28% dropout and about 42% pass rate, compared with about 18% and 67% for post-graduates.</w:t>
      </w:r>
    </w:p>
    <w:p>
      <w:pPr>
        <w:pStyle w:val="ListParagraph"/>
        <w:numPr>
          <w:ilvl w:val="0"/>
          <w:numId w:val="2"/>
        </w:numPr>
        <w:spacing w:after="80" w:line="276"/>
      </w:pPr>
      <w:r>
        <w:rPr>
          <w:rFonts w:ascii="Calibri" w:cs="Calibri" w:eastAsia="Calibri" w:hAnsi="Calibri"/>
          <w:sz w:val="22"/>
          <w:szCs w:val="22"/>
        </w:rPr>
        <w:t xml:space="preserve">Region is not the differentiator: average scores are roughly 71–75 in all 13 regions.</w:t>
      </w:r>
    </w:p>
    <w:p>
      <w:pPr>
        <w:spacing w:after="120" w:line="276"/>
      </w:pPr>
      <w:r>
        <w:rPr>
          <w:rFonts w:ascii="Calibri" w:cs="Calibri" w:eastAsia="Calibri" w:hAnsi="Calibri"/>
          <w:b/>
          <w:bCs/>
          <w:sz w:val="22"/>
          <w:szCs w:val="22"/>
        </w:rPr>
        <w:t xml:space="preserve">Problem Statements: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1500"/>
        <w:gridCol w:w="1500"/>
        <w:gridCol w:w="1900"/>
        <w:gridCol w:w="1900"/>
        <w:gridCol w:w="1860"/>
      </w:tblGrid>
      <w:tr>
        <w:trPr>
          <w:tblHeader/>
        </w:trPr>
        <w:tc>
          <w:tcPr>
            <w:tcW w:type="dxa" w:w="7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PS</w:t>
            </w:r>
          </w:p>
        </w:tc>
        <w:tc>
          <w:tcPr>
            <w:tcW w:type="dxa" w:w="15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I am (Customer)</w:t>
            </w:r>
          </w:p>
        </w:tc>
        <w:tc>
          <w:tcPr>
            <w:tcW w:type="dxa" w:w="15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I’m trying to</w:t>
            </w:r>
          </w:p>
        </w:tc>
        <w:tc>
          <w:tcPr>
            <w:tcW w:type="dxa" w:w="19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But</w:t>
            </w:r>
          </w:p>
        </w:tc>
        <w:tc>
          <w:tcPr>
            <w:tcW w:type="dxa" w:w="19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Because</w:t>
            </w:r>
          </w:p>
        </w:tc>
        <w:tc>
          <w:tcPr>
            <w:tcW w:type="dxa" w:w="186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Which makes me feel</w:t>
            </w:r>
          </w:p>
        </w:tc>
      </w:tr>
      <w:tr>
        <w:trPr>
          <w:tblHeader w:val="false"/>
        </w:trPr>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PS-1</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 course instructor at an online learning provider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Spot students who are losing interest early and keep them on track to finish the course</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28.59% of students (6,410) are at Low engagement and a further 37.46% at Medium, so many struggle without anyone noticing</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Activity data such as clicks is not linked to results in one view, so warning signs are seen too late</w:t>
            </w:r>
          </w:p>
        </w:tc>
        <w:tc>
          <w:tcPr>
            <w:tcW w:type="dxa" w:w="186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Worried and reactive, because I only see the problem after students fail or withdraw</w:t>
            </w:r>
          </w:p>
        </w:tc>
      </w:tr>
      <w:tr>
        <w:trPr>
          <w:tblHeader w:val="false"/>
        </w:trPr>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PS-2</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 student-support adviser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Focus my limited time on the learners most likely to drop out</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About 48% of students (10,691) are at High or Very High risk, which is too many to support one by one</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There is no simple way to filter risk by education, gender, region and engagement to pick priority groups</w:t>
            </w:r>
          </w:p>
        </w:tc>
        <w:tc>
          <w:tcPr>
            <w:tcW w:type="dxa" w:w="186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Overwhelmed and unsure where to start</w:t>
            </w:r>
          </w:p>
        </w:tc>
      </w:tr>
      <w:tr>
        <w:trPr>
          <w:tblHeader w:val="false"/>
        </w:trPr>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PS-3</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 learner with no formal qualifications, studying online</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Keep up with the course and pass it</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Learners like me drop out at about 28% and pass at only about 42%, against about 18% and 67% for post-graduates</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I have little prior study experience and receive little guidance matched to my starting point</w:t>
            </w:r>
          </w:p>
        </w:tc>
        <w:tc>
          <w:tcPr>
            <w:tcW w:type="dxa" w:w="186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Anxious and discouraged, as if I am more likely to fail</w:t>
            </w:r>
          </w:p>
        </w:tc>
      </w:tr>
      <w:tr>
        <w:trPr>
          <w:tblHeader w:val="false"/>
        </w:trPr>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PS-4</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 programme manager responsible for online learning outcomes</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Decide where to invest support and resources fairly across regions and student groups</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Average scores are almost the same in all 13 regions (roughly 71–75), so region does not show who needs help</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The real gaps lie in engagement, prior education and risk level, which a regional view hides</w:t>
            </w:r>
          </w:p>
        </w:tc>
        <w:tc>
          <w:tcPr>
            <w:tcW w:type="dxa" w:w="186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Uncertain about where extra effort will make the biggest difference</w:t>
            </w:r>
          </w:p>
        </w:tc>
      </w:tr>
    </w:tbl>
    <w:p>
      <w:pPr>
        <w:pStyle w:val="Heading2"/>
        <w:spacing w:after="140" w:before="240"/>
      </w:pPr>
      <w:r>
        <w:rPr>
          <w:rFonts w:ascii="Calibri" w:cs="Calibri" w:eastAsia="Calibri" w:hAnsi="Calibri"/>
          <w:b/>
          <w:bCs/>
          <w:color w:val="2E5496"/>
          <w:sz w:val="26"/>
          <w:szCs w:val="26"/>
        </w:rPr>
        <w:t xml:space="preserve">2.2 Project Proposal (Proposed Solution)</w:t>
      </w:r>
    </w:p>
    <w:p>
      <w:pPr>
        <w:spacing w:after="120" w:line="276"/>
      </w:pPr>
      <w:r>
        <w:rPr>
          <w:rFonts w:ascii="Calibri" w:cs="Calibri" w:eastAsia="Calibri" w:hAnsi="Calibri"/>
          <w:sz w:val="22"/>
          <w:szCs w:val="22"/>
        </w:rPr>
        <w:t xml:space="preserve">This proposal outlines the solution built to address the problem statements above. It sets out a clear objective, a defined scope, a concise problem description, the proposed approach and key features, and the hardware, software and data resources required.</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7360"/>
      </w:tblGrid>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Project Overview</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Objective</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Analyze student engagement and performance data from an online learning platform and build an interactive Power BI dashboard that surfaces at-risk students, tracks engagement trends, and helps improve course pass rates.</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Scope</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Covers cleaning and analyzing the online learning engagement dataset (clicks, scores, demographics and outcomes) and designing a multi-page Power BI dashboard with KPIs, visuals and filters. Excludes building a new LMS or a real-time data pipeline.</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Problem Statement</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Description</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Student engagement (clicks) and performance (scores) often decline as an online course progresses, but instructors and administrators lack one consolidated view combining activity, performance and demographic data to identify at-risk students early.</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Impact</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Without early visibility into disengagement and risk factors, more students fail or drop out, and institutions cannot proactively target support, which lowers overall pass rates and retention.</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Proposed Solution</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Approach</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Key Features</w:t>
            </w:r>
          </w:p>
        </w:tc>
        <w:tc>
          <w:tcPr>
            <w:tcW w:type="dxa" w:w="7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KPI cards for Total Students, Pass Rate, Dropout Rate, Average Score and Average Clicks; breakdowns by gender, region and education level; a decomposition tree for root-cause drill-down; interactive slicers; and a built-in Q&amp;A visual for natural-language queries.</w:t>
            </w:r>
          </w:p>
        </w:tc>
      </w:tr>
    </w:tbl>
    <w:p>
      <w:pPr>
        <w:spacing w:after="80" w:line="276"/>
      </w:pPr>
      <w:r>
        <w:rPr>
          <w:rFonts w:ascii="Calibri" w:cs="Calibri" w:eastAsia="Calibri" w:hAnsi="Calibri"/>
          <w:b/>
          <w:bCs/>
          <w:sz w:val="22"/>
          <w:szCs w:val="22"/>
        </w:rPr>
        <w:t xml:space="preserve">Resource Requirements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400"/>
        <w:gridCol w:w="3960"/>
      </w:tblGrid>
      <w:tr>
        <w:trPr>
          <w:tblHeader/>
        </w:trPr>
        <w:tc>
          <w:tcPr>
            <w:tcW w:type="dxa" w:w="2000"/>
            <w:shd w:fill="DCE6F1"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Resource Type</w:t>
            </w:r>
          </w:p>
        </w:tc>
        <w:tc>
          <w:tcPr>
            <w:tcW w:type="dxa" w:w="3400"/>
            <w:shd w:fill="DCE6F1"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Description</w:t>
            </w:r>
          </w:p>
        </w:tc>
        <w:tc>
          <w:tcPr>
            <w:tcW w:type="dxa" w:w="3960"/>
            <w:shd w:fill="DCE6F1"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Specification / Allocation</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Hardware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Computing Resources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CPU/GPU specification, number of cores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Standard laptop/desktop CPU, e.g. Intel i5 or higher, 4+ cores (no GPU required)</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Memory</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RAM specification</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 GB RAM minimum (16 GB recommended for larger datasets)</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Storage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Disk space for data, model and exports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 GB free disk space for the dataset, the .pbix file and exports</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Software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Frameworks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Reporting and transformation engine</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Power BI Desktop (report authoring), Power Query (M) for data transformation</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Libraries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Additional libraries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DAX for calculated measures and KPIs; optional Python/pandas for pre-processing</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Development Environment</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IDE, version control</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Power BI Desktop, Power BI Service (publishing/sharing), Git for version control</w:t>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Data</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rPr>
          <w:tblHeader w:val="false"/>
        </w:trPr>
        <w:tc>
          <w:tcPr>
            <w:tcW w:type="dxa" w:w="2000"/>
            <w:tcMar>
              <w:top w:type="dxa" w:w="60"/>
              <w:left w:type="dxa" w:w="100"/>
              <w:bottom w:type="dxa" w:w="60"/>
              <w:right w:type="dxa" w:w="100"/>
            </w:tcMar>
          </w:tcPr>
          <w:p>
            <w:pPr>
              <w:spacing w:after="0" w:line="252"/>
            </w:pPr>
            <w:r>
              <w:rPr>
                <w:rFonts w:ascii="Calibri" w:cs="Calibri" w:eastAsia="Calibri" w:hAnsi="Calibri"/>
                <w:b/>
                <w:bCs/>
                <w:sz w:val="20"/>
                <w:szCs w:val="20"/>
              </w:rPr>
              <w:t xml:space="preserve">Data</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Source, size, format</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Online learning engagement dataset — student clicks, scores, demographics, engagement/risk/performance levels and final result; CSV format; 22,422 student records</w:t>
            </w:r>
          </w:p>
        </w:tc>
      </w:tr>
    </w:tbl>
    <w:p>
      <w:pPr>
        <w:pStyle w:val="Heading2"/>
        <w:spacing w:after="140" w:before="240"/>
      </w:pPr>
      <w:r>
        <w:rPr>
          <w:rFonts w:ascii="Calibri" w:cs="Calibri" w:eastAsia="Calibri" w:hAnsi="Calibri"/>
          <w:b/>
          <w:bCs/>
          <w:color w:val="2E5496"/>
          <w:sz w:val="26"/>
          <w:szCs w:val="26"/>
        </w:rPr>
        <w:t xml:space="preserve">2.3 Initial Project Planning</w:t>
      </w:r>
    </w:p>
    <w:p>
      <w:pPr>
        <w:spacing w:after="120" w:line="276"/>
      </w:pPr>
      <w:r>
        <w:rPr>
          <w:rFonts w:ascii="Calibri" w:cs="Calibri" w:eastAsia="Calibri" w:hAnsi="Calibri"/>
          <w:sz w:val="22"/>
          <w:szCs w:val="22"/>
        </w:rPr>
        <w:t xml:space="preserve">The work was organised into two sprints using a product backlog of ten user stories. Each story was given a story point estimate and a priority, and was assigned to a team member with planned start and end dates.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80"/>
        <w:gridCol w:w="1300"/>
        <w:gridCol w:w="700"/>
        <w:gridCol w:w="2700"/>
        <w:gridCol w:w="650"/>
        <w:gridCol w:w="720"/>
        <w:gridCol w:w="900"/>
        <w:gridCol w:w="830"/>
        <w:gridCol w:w="780"/>
      </w:tblGrid>
      <w:tr>
        <w:trPr>
          <w:tblHeader/>
        </w:trPr>
        <w:tc>
          <w:tcPr>
            <w:tcW w:type="dxa" w:w="78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Sprint</w:t>
            </w:r>
          </w:p>
        </w:tc>
        <w:tc>
          <w:tcPr>
            <w:tcW w:type="dxa" w:w="130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Epic</w:t>
            </w:r>
          </w:p>
        </w:tc>
        <w:tc>
          <w:tcPr>
            <w:tcW w:type="dxa" w:w="70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USN</w:t>
            </w:r>
          </w:p>
        </w:tc>
        <w:tc>
          <w:tcPr>
            <w:tcW w:type="dxa" w:w="270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User Story / Task</w:t>
            </w:r>
          </w:p>
        </w:tc>
        <w:tc>
          <w:tcPr>
            <w:tcW w:type="dxa" w:w="65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Points</w:t>
            </w:r>
          </w:p>
        </w:tc>
        <w:tc>
          <w:tcPr>
            <w:tcW w:type="dxa" w:w="72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Priority</w:t>
            </w:r>
          </w:p>
        </w:tc>
        <w:tc>
          <w:tcPr>
            <w:tcW w:type="dxa" w:w="90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Member</w:t>
            </w:r>
          </w:p>
        </w:tc>
        <w:tc>
          <w:tcPr>
            <w:tcW w:type="dxa" w:w="83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Start</w:t>
            </w:r>
          </w:p>
        </w:tc>
        <w:tc>
          <w:tcPr>
            <w:tcW w:type="dxa" w:w="780"/>
            <w:shd w:fill="DCE6F1" w:color="auto" w:val="clear"/>
            <w:tcMar>
              <w:top w:type="dxa" w:w="60"/>
              <w:left w:type="dxa" w:w="100"/>
              <w:bottom w:type="dxa" w:w="60"/>
              <w:right w:type="dxa" w:w="100"/>
            </w:tcMar>
          </w:tcPr>
          <w:p>
            <w:pPr>
              <w:spacing w:after="0" w:line="252"/>
            </w:pPr>
            <w:r>
              <w:rPr>
                <w:rFonts w:ascii="Calibri" w:cs="Calibri" w:eastAsia="Calibri" w:hAnsi="Calibri"/>
                <w:b/>
                <w:bCs/>
                <w:sz w:val="15"/>
                <w:szCs w:val="15"/>
              </w:rPr>
              <w:t xml:space="preserve">End</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Sprint-1</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Data Collection &amp; Understanding</w:t>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USN-1</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collect the online learning engagement dataset (student clicks, scores, demographics and outcomes) from the source system.</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2</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1</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01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05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Sprint-1</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USN-2</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review and document the dataset’s attributes (gender, region, highest education, engagement level, final result) to understand what each field represents.</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2</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01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05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Sprint-1</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Data Cleaning &amp; Preprocessing</w:t>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USN-3</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clean the dataset by handling missing values, duplicates and inconsistent formats before analysis.</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2</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1</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02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06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Sprint-1</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USN-4</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derive calculated fields such as risk level, performance level, dropout rate and pass rate for use in the dashboard.</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2</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Medium</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2</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02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06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Sprint-1</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Dashboard Design</w:t>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USN-5</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design the dashboard layout with summary cards for Total Students, Average Score, Average Clicks, Dropout Rate and Pass Rate.</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1</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04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08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Sprint-2</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Data Visualization</w:t>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USN-6</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build column, pie and decomposition tree visuals to break down performance and dropout by gender, region and education level.</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3</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2</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04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08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Sprint-2</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USN-7</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add slicers for gender, region, engagement level and risk level so users can filter the dashboard interactively.</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2</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Medium</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1</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06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10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Sprint-2</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Insights &amp; Reporting</w:t>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USN-8</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stakeholder, I can view engagement and performance trends on the dashboard to identify at-risk student segments.</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2</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2</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06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10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Sprint-2</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USN-9</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stakeholder, I can ask natural-language questions about student performance using the Q&amp;A visual.</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Low</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1</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08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12 Sep 2026</w:t>
            </w:r>
          </w:p>
        </w:tc>
      </w:tr>
      <w:tr>
        <w:trPr>
          <w:tblHeader w:val="false"/>
        </w:trPr>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Sprint-2</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Testing &amp; Deployment</w:t>
            </w:r>
          </w:p>
        </w:tc>
        <w:tc>
          <w:tcPr>
            <w:tcW w:type="dxa" w:w="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USN-10</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As a developer, I can validate the dashboard’s figures against the source dataset and publish the report for stakeholders to access.</w:t>
            </w:r>
          </w:p>
        </w:tc>
        <w:tc>
          <w:tcPr>
            <w:tcW w:type="dxa" w:w="65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2</w:t>
            </w:r>
          </w:p>
        </w:tc>
        <w:tc>
          <w:tcPr>
            <w:tcW w:type="dxa" w:w="72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High</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Member 2</w:t>
            </w:r>
          </w:p>
        </w:tc>
        <w:tc>
          <w:tcPr>
            <w:tcW w:type="dxa" w:w="83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08 Sep 2026</w:t>
            </w:r>
          </w:p>
        </w:tc>
        <w:tc>
          <w:tcPr>
            <w:tcW w:type="dxa" w:w="780"/>
            <w:tcMar>
              <w:top w:type="dxa" w:w="60"/>
              <w:left w:type="dxa" w:w="100"/>
              <w:bottom w:type="dxa" w:w="60"/>
              <w:right w:type="dxa" w:w="100"/>
            </w:tcMar>
          </w:tcPr>
          <w:p>
            <w:pPr>
              <w:spacing w:after="0" w:line="252"/>
            </w:pPr>
            <w:r>
              <w:rPr>
                <w:rFonts w:ascii="Calibri" w:cs="Calibri" w:eastAsia="Calibri" w:hAnsi="Calibri"/>
                <w:b w:val="false"/>
                <w:bCs w:val="false"/>
                <w:sz w:val="15"/>
                <w:szCs w:val="15"/>
              </w:rPr>
              <w:t xml:space="preserve">12 Sep 2026</w:t>
            </w:r>
          </w:p>
        </w:tc>
      </w:tr>
    </w:tbl>
    <w:p>
      <w:pPr>
        <w:spacing w:after="120" w:line="276"/>
      </w:pPr>
      <w:r>
        <w:rPr>
          <w:rFonts w:ascii="Calibri" w:cs="Calibri" w:eastAsia="Calibri" w:hAnsi="Calibri"/>
          <w:sz w:val="20"/>
          <w:szCs w:val="20"/>
        </w:rPr>
        <w:t xml:space="preserve">Total story points: 18, delivered across two sprints of five working days each (Sprint-1 = 8 points, Sprint-2 = 10 points).</w:t>
      </w:r>
    </w:p>
    <w:p>
      <w:pPr>
        <w:pStyle w:val="Heading1"/>
        <w:pageBreakBefore/>
        <w:spacing w:after="140" w:before="320"/>
      </w:pPr>
      <w:r>
        <w:rPr>
          <w:rFonts w:ascii="Calibri" w:cs="Calibri" w:eastAsia="Calibri" w:hAnsi="Calibri"/>
          <w:b/>
          <w:bCs/>
          <w:color w:val="1F3864"/>
          <w:sz w:val="32"/>
          <w:szCs w:val="32"/>
        </w:rPr>
        <w:t xml:space="preserve">3. Data Collection and Preprocessing Phase</w:t>
      </w:r>
    </w:p>
    <w:p>
      <w:pPr>
        <w:pStyle w:val="Heading2"/>
        <w:spacing w:after="140" w:before="240"/>
      </w:pPr>
      <w:r>
        <w:rPr>
          <w:rFonts w:ascii="Calibri" w:cs="Calibri" w:eastAsia="Calibri" w:hAnsi="Calibri"/>
          <w:b/>
          <w:bCs/>
          <w:color w:val="2E5496"/>
          <w:sz w:val="26"/>
          <w:szCs w:val="26"/>
        </w:rPr>
        <w:t xml:space="preserve">3.1 Data Collection Plan and Raw Data Sources Identified</w:t>
      </w:r>
    </w:p>
    <w:p>
      <w:pPr>
        <w:spacing w:after="120" w:line="276"/>
      </w:pPr>
      <w:r>
        <w:rPr>
          <w:rFonts w:ascii="Calibri" w:cs="Calibri" w:eastAsia="Calibri" w:hAnsi="Calibri"/>
          <w:sz w:val="22"/>
          <w:szCs w:val="22"/>
        </w:rPr>
        <w:t xml:space="preserve">The data collection plan defines what data is required to answer the business questions, where it comes from, how it is accessed and in what format it is stored. A single consolidated source was used so that all student attributes, activity data and outcomes could be joined on one record per student.</w:t>
      </w:r>
    </w:p>
    <w:p>
      <w:pPr>
        <w:spacing w:after="80" w:line="276"/>
      </w:pPr>
      <w:r>
        <w:rPr>
          <w:rFonts w:ascii="Calibri" w:cs="Calibri" w:eastAsia="Calibri" w:hAnsi="Calibri"/>
          <w:b/>
          <w:bCs/>
          <w:sz w:val="22"/>
          <w:szCs w:val="22"/>
        </w:rPr>
        <w:t xml:space="preserve">Data Collection Plan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60"/>
      </w:tblGrid>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Item</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Description</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Project Overview</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Analyse online learning engagement and student performance to identify at-risk learners and improve pass and retention rates.</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Data Required</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Student demographics (gender, region, highest education), platform activity (total clicks, average clicks), academic outcome (average score, final result) and derived indicators (engagement level, performance level, risk level).</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Data Collection Plan</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Export the student-level extract from the online learning platform as a CSV file, load it into Power BI Desktop through Power Query, validate row counts and field types, then clean and enrich it before loading into the data model.</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Raw Data Sources Identified</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online_education_dataset — a single CSV extract containing one row per student per course, 22,422 records covering 13 regions.</w:t>
            </w:r>
          </w:p>
        </w:tc>
      </w:tr>
    </w:tbl>
    <w:p>
      <w:pPr>
        <w:spacing w:after="80" w:line="276"/>
      </w:pPr>
      <w:r>
        <w:rPr>
          <w:rFonts w:ascii="Calibri" w:cs="Calibri" w:eastAsia="Calibri" w:hAnsi="Calibri"/>
          <w:b/>
          <w:bCs/>
          <w:sz w:val="22"/>
          <w:szCs w:val="22"/>
        </w:rPr>
        <w:t xml:space="preserve">Raw Data Sources Identification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300"/>
        <w:gridCol w:w="1400"/>
        <w:gridCol w:w="1100"/>
        <w:gridCol w:w="1400"/>
        <w:gridCol w:w="1660"/>
      </w:tblGrid>
      <w:tr>
        <w:trPr>
          <w:tblHeader/>
        </w:trPr>
        <w:tc>
          <w:tcPr>
            <w:tcW w:type="dxa" w:w="15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Source Name</w:t>
            </w:r>
          </w:p>
        </w:tc>
        <w:tc>
          <w:tcPr>
            <w:tcW w:type="dxa" w:w="23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Description</w:t>
            </w:r>
          </w:p>
        </w:tc>
        <w:tc>
          <w:tcPr>
            <w:tcW w:type="dxa" w:w="14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Location / URL</w:t>
            </w:r>
          </w:p>
        </w:tc>
        <w:tc>
          <w:tcPr>
            <w:tcW w:type="dxa" w:w="11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Format</w:t>
            </w:r>
          </w:p>
        </w:tc>
        <w:tc>
          <w:tcPr>
            <w:tcW w:type="dxa" w:w="140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Size</w:t>
            </w:r>
          </w:p>
        </w:tc>
        <w:tc>
          <w:tcPr>
            <w:tcW w:type="dxa" w:w="1660"/>
            <w:shd w:fill="DCE6F1" w:color="auto" w:val="clear"/>
            <w:tcMar>
              <w:top w:type="dxa" w:w="60"/>
              <w:left w:type="dxa" w:w="100"/>
              <w:bottom w:type="dxa" w:w="60"/>
              <w:right w:type="dxa" w:w="100"/>
            </w:tcMar>
          </w:tcPr>
          <w:p>
            <w:pPr>
              <w:spacing w:after="0" w:line="252"/>
            </w:pPr>
            <w:r>
              <w:rPr>
                <w:rFonts w:ascii="Calibri" w:cs="Calibri" w:eastAsia="Calibri" w:hAnsi="Calibri"/>
                <w:b/>
                <w:bCs/>
                <w:sz w:val="18"/>
                <w:szCs w:val="18"/>
              </w:rPr>
              <w:t xml:space="preserve">Access Permissions</w:t>
            </w:r>
          </w:p>
        </w:tc>
      </w:tr>
      <w:tr>
        <w:trPr>
          <w:tblHeader w:val="false"/>
        </w:trPr>
        <w:tc>
          <w:tcPr>
            <w:tcW w:type="dxa" w:w="15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online_education_dataset</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Student-level records from the online learning platform: demographics, click activity, scores, final result and derived engagement / performance / risk levels.</w:t>
            </w:r>
          </w:p>
        </w:tc>
        <w:tc>
          <w:tcPr>
            <w:tcW w:type="dxa" w:w="14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Local project folder, loaded into Power BI via Power Query</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CSV</w:t>
            </w:r>
          </w:p>
        </w:tc>
        <w:tc>
          <w:tcPr>
            <w:tcW w:type="dxa" w:w="140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22,422 rows × ~15 columns (approx. 3 MB)</w:t>
            </w:r>
          </w:p>
        </w:tc>
        <w:tc>
          <w:tcPr>
            <w:tcW w:type="dxa" w:w="1660"/>
            <w:tcMar>
              <w:top w:type="dxa" w:w="60"/>
              <w:left w:type="dxa" w:w="100"/>
              <w:bottom w:type="dxa" w:w="60"/>
              <w:right w:type="dxa" w:w="100"/>
            </w:tcMar>
          </w:tcPr>
          <w:p>
            <w:pPr>
              <w:spacing w:after="0" w:line="252"/>
            </w:pPr>
            <w:r>
              <w:rPr>
                <w:rFonts w:ascii="Calibri" w:cs="Calibri" w:eastAsia="Calibri" w:hAnsi="Calibri"/>
                <w:b w:val="false"/>
                <w:bCs w:val="false"/>
                <w:sz w:val="18"/>
                <w:szCs w:val="18"/>
              </w:rPr>
              <w:t xml:space="preserve">Public / academic use — open for analysis</w:t>
            </w:r>
          </w:p>
        </w:tc>
      </w:tr>
    </w:tbl>
    <w:p>
      <w:pPr>
        <w:spacing w:after="120" w:line="276"/>
      </w:pPr>
      <w:r>
        <w:rPr>
          <w:rFonts w:ascii="Calibri" w:cs="Calibri" w:eastAsia="Calibri" w:hAnsi="Calibri"/>
          <w:b/>
          <w:bCs/>
          <w:sz w:val="19"/>
          <w:szCs w:val="19"/>
        </w:rPr>
        <w:t xml:space="preserve">Note: </w:t>
      </w:r>
      <w:r>
        <w:rPr>
          <w:rFonts w:ascii="Calibri" w:cs="Calibri" w:eastAsia="Calibri" w:hAnsi="Calibri"/>
          <w:sz w:val="19"/>
          <w:szCs w:val="19"/>
        </w:rPr>
        <w:t xml:space="preserve">the uploaded raw_data_sources_identification_report_template.docx contained a duplicate of the Data Quality Report table, so the two tables above were written to fit the standard template structure. Replace the location, size and permission values if your source differs.</w:t>
      </w:r>
    </w:p>
    <w:p>
      <w:pPr>
        <w:pStyle w:val="Heading2"/>
        <w:spacing w:after="140" w:before="240"/>
      </w:pPr>
      <w:r>
        <w:rPr>
          <w:rFonts w:ascii="Calibri" w:cs="Calibri" w:eastAsia="Calibri" w:hAnsi="Calibri"/>
          <w:b/>
          <w:bCs/>
          <w:color w:val="2E5496"/>
          <w:sz w:val="26"/>
          <w:szCs w:val="26"/>
        </w:rPr>
        <w:t xml:space="preserve">3.2 Data Quality Report</w:t>
      </w:r>
    </w:p>
    <w:p>
      <w:pPr>
        <w:spacing w:after="120" w:line="276"/>
      </w:pPr>
      <w:r>
        <w:rPr>
          <w:rFonts w:ascii="Calibri" w:cs="Calibri" w:eastAsia="Calibri" w:hAnsi="Calibri"/>
          <w:sz w:val="22"/>
          <w:szCs w:val="22"/>
        </w:rPr>
        <w:t xml:space="preserve">The Data Quality Report summarises the quality issues found in the selected source, the severity of each issue and the plan used to resolve it. This ensures data discrepancies were identified and rectified systematically before the model was built.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200"/>
        <w:gridCol w:w="3000"/>
        <w:gridCol w:w="1100"/>
        <w:gridCol w:w="4060"/>
      </w:tblGrid>
      <w:tr>
        <w:trPr>
          <w:tblHeader/>
        </w:trPr>
        <w:tc>
          <w:tcPr>
            <w:tcW w:type="dxa" w:w="1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Data Source</w:t>
            </w:r>
          </w:p>
        </w:tc>
        <w:tc>
          <w:tcPr>
            <w:tcW w:type="dxa" w:w="30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Data Quality Issue</w:t>
            </w:r>
          </w:p>
        </w:tc>
        <w:tc>
          <w:tcPr>
            <w:tcW w:type="dxa" w:w="11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Severity</w:t>
            </w:r>
          </w:p>
        </w:tc>
        <w:tc>
          <w:tcPr>
            <w:tcW w:type="dxa" w:w="40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Resolution Plan</w:t>
            </w:r>
          </w:p>
        </w:tc>
      </w:tr>
      <w:tr>
        <w:trPr>
          <w:tblHeader w:val="false"/>
        </w:trP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Dataset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Missing values in click, score and engagement fields for some student records</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Moderate</w:t>
            </w:r>
          </w:p>
        </w:tc>
        <w:tc>
          <w:tcPr>
            <w:tcW w:type="dxa" w:w="40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Impute missing numeric values with column averages/medians in Power Query, or exclude incomplete records from KPI calculations where imputation is not suitable.</w:t>
            </w:r>
          </w:p>
        </w:tc>
      </w:tr>
      <w:tr>
        <w:trPr>
          <w:tblHeader w:val="false"/>
        </w:trP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Dataset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Duplicate student records (the same student appearing more than once for a course)</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Moderate</w:t>
            </w:r>
          </w:p>
        </w:tc>
        <w:tc>
          <w:tcPr>
            <w:tcW w:type="dxa" w:w="40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 Power Query’s Remove Duplicates on a unique student/course identifier combination to keep a single record per student.</w:t>
            </w:r>
          </w:p>
        </w:tc>
      </w:tr>
      <w:tr>
        <w:trPr>
          <w:tblHeader w:val="false"/>
        </w:trP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Dataset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Inconsistent categorical labels (e.g. ‘Male’/‘M’/‘male’ for gender, mismatched casing in region and education fields)</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Low</w:t>
            </w:r>
          </w:p>
        </w:tc>
        <w:tc>
          <w:tcPr>
            <w:tcW w:type="dxa" w:w="40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Standardize category values using Power Query’s Replace Values, Trim and Capitalize Each Word transformations to enforce one consistent format.</w:t>
            </w:r>
          </w:p>
        </w:tc>
      </w:tr>
      <w:tr>
        <w:trPr>
          <w:tblHeader w:val="false"/>
        </w:trP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Dataset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Incorrect data types (numeric fields such as clicks and scores stored as text)</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w:t>
            </w:r>
          </w:p>
        </w:tc>
        <w:tc>
          <w:tcPr>
            <w:tcW w:type="dxa" w:w="40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Convert the affected columns to the correct Whole Number / Decimal Number type in Power Query so DAX measures and visuals aggregate correctly.</w:t>
            </w:r>
          </w:p>
        </w:tc>
      </w:tr>
      <w:tr>
        <w:trPr>
          <w:tblHeader w:val="false"/>
        </w:trP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Dataset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Outliers or unrealistic values (e.g. negative click counts, scores outside the 0–100 range)</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w:t>
            </w:r>
          </w:p>
        </w:tc>
        <w:tc>
          <w:tcPr>
            <w:tcW w:type="dxa" w:w="40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Apply validation rules in Power Query to filter out or cap values outside the valid range, flagging them for review before loading into the model.</w:t>
            </w:r>
          </w:p>
        </w:tc>
      </w:tr>
      <w:tr>
        <w:trPr>
          <w:tblHeader w:val="false"/>
        </w:trP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Dataset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Class imbalance across risk and engagement levels (e.g. very few ‘High Risk’ records compared with ‘Low Risk’)</w:t>
            </w:r>
          </w:p>
        </w:tc>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Low</w:t>
            </w:r>
          </w:p>
        </w:tc>
        <w:tc>
          <w:tcPr>
            <w:tcW w:type="dxa" w:w="40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Note the imbalance in reporting and use percentage-based measures rather than raw counts in visuals so comparisons stay proportionate.</w:t>
            </w:r>
          </w:p>
        </w:tc>
      </w:tr>
    </w:tbl>
    <w:p>
      <w:pPr>
        <w:pStyle w:val="Heading2"/>
        <w:spacing w:after="140" w:before="240"/>
      </w:pPr>
      <w:r>
        <w:rPr>
          <w:rFonts w:ascii="Calibri" w:cs="Calibri" w:eastAsia="Calibri" w:hAnsi="Calibri"/>
          <w:b/>
          <w:bCs/>
          <w:color w:val="2E5496"/>
          <w:sz w:val="26"/>
          <w:szCs w:val="26"/>
        </w:rPr>
        <w:t xml:space="preserve">3.3 Data Exploration and Preprocessing</w:t>
      </w:r>
    </w:p>
    <w:p>
      <w:pPr>
        <w:spacing w:after="120" w:line="276"/>
      </w:pPr>
      <w:r>
        <w:rPr>
          <w:rFonts w:ascii="Calibri" w:cs="Calibri" w:eastAsia="Calibri" w:hAnsi="Calibri"/>
          <w:sz w:val="22"/>
          <w:szCs w:val="22"/>
        </w:rPr>
        <w:t xml:space="preserve">This stage identifies the data source, assesses quality issues such as missing values and duplicates, and implements the resolution plans so that the analysis is accurate and reliable.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7160"/>
      </w:tblGrid>
      <w:tr>
        <w:trPr>
          <w:tblHeader/>
        </w:trPr>
        <w:tc>
          <w:tcPr>
            <w:tcW w:type="dxa" w:w="2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Section</w:t>
            </w:r>
          </w:p>
        </w:tc>
        <w:tc>
          <w:tcPr>
            <w:tcW w:type="dxa" w:w="71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Description</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Data Overview</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Data Cleaning</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Data Transformation</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Data Type Conversion</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Column Splitting and Merging</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Data Modeling</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sz w:val="19"/>
                <w:szCs w:val="19"/>
              </w:rPr>
              <w:t xml:space="preserve">Save Processed Data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cleaned dataset, along with its derived columns and DAX measures, was loaded into the Power BI data model and saved within the online_learning.pbix file, keeping the processed data available for future refreshes, dashboard updates and further analysis.</w:t>
            </w:r>
          </w:p>
        </w:tc>
      </w:tr>
    </w:tbl>
    <w:p>
      <w:pPr>
        <w:pStyle w:val="Heading1"/>
        <w:pageBreakBefore/>
        <w:spacing w:after="140" w:before="320"/>
      </w:pPr>
      <w:r>
        <w:rPr>
          <w:rFonts w:ascii="Calibri" w:cs="Calibri" w:eastAsia="Calibri" w:hAnsi="Calibri"/>
          <w:b/>
          <w:bCs/>
          <w:color w:val="1F3864"/>
          <w:sz w:val="32"/>
          <w:szCs w:val="32"/>
        </w:rPr>
        <w:t xml:space="preserve">4. Data Visualization</w:t>
      </w:r>
    </w:p>
    <w:p>
      <w:pPr>
        <w:pStyle w:val="Heading2"/>
        <w:spacing w:after="140" w:before="240"/>
      </w:pPr>
      <w:r>
        <w:rPr>
          <w:rFonts w:ascii="Calibri" w:cs="Calibri" w:eastAsia="Calibri" w:hAnsi="Calibri"/>
          <w:b/>
          <w:bCs/>
          <w:color w:val="2E5496"/>
          <w:sz w:val="26"/>
          <w:szCs w:val="26"/>
        </w:rPr>
        <w:t xml:space="preserve">4.1 Framing Business Questions</w:t>
      </w:r>
    </w:p>
    <w:p>
      <w:pPr>
        <w:spacing w:after="120" w:line="276"/>
      </w:pPr>
      <w:r>
        <w:rPr>
          <w:rFonts w:ascii="Calibri" w:cs="Calibri" w:eastAsia="Calibri" w:hAnsi="Calibri"/>
          <w:sz w:val="22"/>
          <w:szCs w:val="22"/>
        </w:rPr>
        <w:t xml:space="preserve">Visualization development is the process of creating graphical representations of data to support understanding, analysis and decision-making. In this project Power BI transforms the dataset of 22,422 students into interactive dashboards that show how students engage with the learning platform and how that engagement relates to their academic performance. Ten business questions were framed around learner engagement, dropout risk and academic performance to guide the creation of meaningful and actionable visualizations.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600"/>
        <w:gridCol w:w="4400"/>
        <w:gridCol w:w="2360"/>
        <w:gridCol w:w="2000"/>
      </w:tblGrid>
      <w:tr>
        <w:trPr>
          <w:tblHeader/>
        </w:trPr>
        <w:tc>
          <w:tcPr>
            <w:tcW w:type="dxa" w:w="6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No.</w:t>
            </w:r>
          </w:p>
        </w:tc>
        <w:tc>
          <w:tcPr>
            <w:tcW w:type="dxa" w:w="44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Business Question</w:t>
            </w:r>
          </w:p>
        </w:tc>
        <w:tc>
          <w:tcPr>
            <w:tcW w:type="dxa" w:w="23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Visualization</w:t>
            </w:r>
          </w:p>
        </w:tc>
        <w:tc>
          <w:tcPr>
            <w:tcW w:type="dxa" w:w="20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Dashboard</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are students distributed across engagement levels?</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Pie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1</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much learning activity (clicks) does each engagement level generate?</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Clustered column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1</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What is the distribution of final results (Pass, Fail, Withdrawn and Distinction)?</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Clustered column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1</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does engagement level affect final results?</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Decomposition tree</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2</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does the average student score vary across regions?</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Clustered column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1</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What share of students falls into each risk level?</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Pie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2</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Which types of students make up a risk level (by education, gender and region)?</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Decomposition tree</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1</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does the dropout rate vary with students’ highest education?</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Clustered column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2</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does the pass rate vary with students’ highest education?</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Clustered column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2</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w:t>
            </w:r>
          </w:p>
        </w:tc>
        <w:tc>
          <w:tcPr>
            <w:tcW w:type="dxa" w:w="4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 final results differ between male and female students?</w:t>
            </w:r>
          </w:p>
        </w:tc>
        <w:tc>
          <w:tcPr>
            <w:tcW w:type="dxa" w:w="23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100% stacked bar chart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2</w:t>
            </w:r>
          </w:p>
        </w:tc>
      </w:tr>
    </w:tbl>
    <w:p>
      <w:pPr>
        <w:pStyle w:val="Heading2"/>
        <w:pageBreakBefore/>
        <w:spacing w:after="140" w:before="240"/>
      </w:pPr>
      <w:r>
        <w:rPr>
          <w:rFonts w:ascii="Calibri" w:cs="Calibri" w:eastAsia="Calibri" w:hAnsi="Calibri"/>
          <w:b/>
          <w:bCs/>
          <w:color w:val="2E5496"/>
          <w:sz w:val="26"/>
          <w:szCs w:val="26"/>
        </w:rPr>
        <w:t xml:space="preserve">4.2 Developing Visualizations</w:t>
      </w:r>
    </w:p>
    <w:p>
      <w:pPr>
        <w:spacing w:after="120" w:line="276"/>
      </w:pPr>
      <w:r>
        <w:rPr>
          <w:rFonts w:ascii="Calibri" w:cs="Calibri" w:eastAsia="Calibri" w:hAnsi="Calibri"/>
          <w:sz w:val="22"/>
          <w:szCs w:val="22"/>
        </w:rPr>
        <w:t xml:space="preserve">For each of the ten questions below, the report gives the visualization used, the fields behind it, a screenshot taken from the dashboards, and the insight and business value it provides.</w:t>
      </w:r>
    </w:p>
    <w:p>
      <w:pPr>
        <w:pStyle w:val="Heading3"/>
        <w:spacing w:after="140" w:before="240"/>
      </w:pPr>
      <w:r>
        <w:rPr>
          <w:rFonts w:ascii="Calibri" w:cs="Calibri" w:eastAsia="Calibri" w:hAnsi="Calibri"/>
          <w:b/>
          <w:bCs/>
          <w:color w:val="333333"/>
          <w:sz w:val="23"/>
          <w:szCs w:val="23"/>
        </w:rPr>
        <w:t xml:space="preserve">Question 1: How are students distributed across engagement levels?</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Pie chart showing Total Students by engagement level (Dashboard 1: Student Performance &amp; Engagement Overview).</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Legend – engagement level; Values – Total Students.</w:t>
      </w:r>
    </w:p>
    <w:p>
      <w:pPr>
        <w:spacing w:after="80" w:before="12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048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How are students distributed across engagement levels?</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Of the 22,422 students, 8,400 (37.46%) have Medium engagement, 7,612 (33.95%) have High engagement and 6,410 (28.59%) have Low engagement. The split looks fairly even, but 14,810 students (66.05%) sit at Medium or Low, so about two-thirds of learners are not fully engaged with their course.</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This shows how large the engagement gap is and sizes the group that should receive reminders, nudges and more interactive content.</w:t>
      </w:r>
    </w:p>
    <w:p>
      <w:pPr>
        <w:pStyle w:val="Heading3"/>
        <w:spacing w:after="140" w:before="240"/>
      </w:pPr>
      <w:r>
        <w:rPr>
          <w:rFonts w:ascii="Calibri" w:cs="Calibri" w:eastAsia="Calibri" w:hAnsi="Calibri"/>
          <w:b/>
          <w:bCs/>
          <w:color w:val="333333"/>
          <w:sz w:val="23"/>
          <w:szCs w:val="23"/>
        </w:rPr>
        <w:t xml:space="preserve">Question 2: How much learning activity (clicks) does each engagement level generate?</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Clustered column chart showing Sum of total clicks by engagement level (Dashboard 1: Student Performance &amp; Engagement Overview).</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Axis – engagement level; Values – Sum of total clicks.</w:t>
      </w:r>
    </w:p>
    <w:p>
      <w:pPr>
        <w:spacing w:after="80" w:before="12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124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How much learning activity (clicks) does each engagement level generate?</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High-engagement students generate about 32M clicks, compared with about 9M for Medium and about 2M for Low — roughly three-quarters of all platform clicks coming from about a third of the students. Per student this works out at roughly 4,000 clicks for High engagement, about 1,000 for Medium and fewer than 300 for Low.</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Click activity is a clear early indicator of engagement, so a sharp drop in a student’s clicks can be used as an early-warning signal for support teams.</w:t>
      </w:r>
    </w:p>
    <w:p>
      <w:pPr>
        <w:pStyle w:val="Heading3"/>
        <w:spacing w:after="140" w:before="240"/>
      </w:pPr>
      <w:r>
        <w:rPr>
          <w:rFonts w:ascii="Calibri" w:cs="Calibri" w:eastAsia="Calibri" w:hAnsi="Calibri"/>
          <w:b/>
          <w:bCs/>
          <w:color w:val="333333"/>
          <w:sz w:val="23"/>
          <w:szCs w:val="23"/>
        </w:rPr>
        <w:t xml:space="preserve">Question 3: What is the distribution of final results (Pass, Fail, Withdrawn and Distinction)?</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Clustered column chart showing Total Students by final result (Dashboard 1: Student Performance &amp; Engagement Overview).</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Axis – final result; Values – Total Students.</w:t>
      </w:r>
    </w:p>
    <w:p>
      <w:pPr>
        <w:spacing w:after="80" w:before="12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48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What is the distribution of final results (Pass, Fail, Withdrawn and Distinction)?</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Pass is the most common result at about 11K students, followed by Fail (about 5.5K), Withdrawn (about 4.7K) and Distinction (about 2.8K). Roughly 47% of outcomes are Pass and about 11% are Distinction, while Fail and Withdrawn together make up around 41%.</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Fail and Withdrawn together are almost as large as Pass, so course completion and retention are the biggest opportunities for improvement.</w:t>
      </w:r>
    </w:p>
    <w:p>
      <w:pPr>
        <w:pStyle w:val="Heading3"/>
        <w:spacing w:after="140" w:before="240"/>
      </w:pPr>
      <w:r>
        <w:rPr>
          <w:rFonts w:ascii="Calibri" w:cs="Calibri" w:eastAsia="Calibri" w:hAnsi="Calibri"/>
          <w:b/>
          <w:bCs/>
          <w:color w:val="333333"/>
          <w:sz w:val="23"/>
          <w:szCs w:val="23"/>
        </w:rPr>
        <w:t xml:space="preserve">Question 4: How does engagement level affect final results?</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Decomposition tree showing Total Students split by engagement level and then by final result (Dashboard 2: Risk, Dropout &amp; Demographic Analysis).</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Analyze – Total Students; Explain by – engagement level, final result.</w:t>
      </w:r>
    </w:p>
    <w:p>
      <w:pPr>
        <w:spacing w:after="80" w:before="120"/>
        <w:jc w:val="center"/>
      </w:pPr>
      <w:r>
        <w:drawing>
          <wp:inline distT="0" distB="0" distL="0" distR="0">
            <wp:extent cx="4095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1813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How does engagement level affect final results?</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Selecting High engagement (7,612 students) shows Pass 5,168, Distinction 1,595, Withdrawn 967 and Fail 915. About 78% of these students finish with a Pass or Distinction and only about 22% fail or withdraw, compared with roughly 40% across all students in Question 3. The tree can be re-rooted on Medium (8,400) or Low (6,410) engagement to compare the same outcomes.</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Higher engagement is associated with roughly half the rate of failure or withdrawal, which supports prioritising measures that raise engagement.</w:t>
      </w:r>
    </w:p>
    <w:p>
      <w:pPr>
        <w:pStyle w:val="Heading3"/>
        <w:spacing w:after="140" w:before="240"/>
      </w:pPr>
      <w:r>
        <w:rPr>
          <w:rFonts w:ascii="Calibri" w:cs="Calibri" w:eastAsia="Calibri" w:hAnsi="Calibri"/>
          <w:b/>
          <w:bCs/>
          <w:color w:val="333333"/>
          <w:sz w:val="23"/>
          <w:szCs w:val="23"/>
        </w:rPr>
        <w:t xml:space="preserve">Question 5: How does the average student score vary across regions?</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Clustered column chart showing Average Score by region (Dashboard 1: Student Performance &amp; Engagement Overview).</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Axis – region (13 regions); Values – Average Score.</w:t>
      </w:r>
    </w:p>
    <w:p>
      <w:pPr>
        <w:spacing w:after="80" w:before="12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48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How does the average student score vary across regions?</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Average scores are high and tightly grouped at roughly 71–75 in all 13 regions. The South East Region and Scotland are at the top and the North Region is lowest — a spread of only about four points.</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Because regional differences are small, support should be targeted using engagement, risk and education level rather than region.</w:t>
      </w:r>
    </w:p>
    <w:p>
      <w:pPr>
        <w:pStyle w:val="Heading3"/>
        <w:spacing w:after="140" w:before="240"/>
      </w:pPr>
      <w:r>
        <w:rPr>
          <w:rFonts w:ascii="Calibri" w:cs="Calibri" w:eastAsia="Calibri" w:hAnsi="Calibri"/>
          <w:b/>
          <w:bCs/>
          <w:color w:val="333333"/>
          <w:sz w:val="23"/>
          <w:szCs w:val="23"/>
        </w:rPr>
        <w:t xml:space="preserve">Question 6: What share of students falls into each risk level?</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Pie chart showing Total Students by risk level (Dashboard 2: Risk, Dropout &amp; Demographic Analysis).</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Legend – risk level; Values – Total Students.</w:t>
      </w:r>
    </w:p>
    <w:p>
      <w:pPr>
        <w:spacing w:after="80" w:before="120"/>
        <w:jc w:val="center"/>
      </w:pPr>
      <w:r>
        <w:drawing>
          <wp:inline distT="0" distB="0" distL="0" distR="0">
            <wp:extent cx="4095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409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What share of students falls into each risk level?</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High Risk has 6,391 students (28.5%), Low Risk 6,099 (27.2%), Safe 5,632 (25.12%) and Very High Risk 4,300 (19.18%). High Risk and Very High Risk together account for 10,691 students, about 48% of all learners.</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This sizes the intervention workload for advisers and helps them decide which at-risk groups to contact first.</w:t>
      </w:r>
    </w:p>
    <w:p>
      <w:pPr>
        <w:pStyle w:val="Heading3"/>
        <w:spacing w:after="140" w:before="240"/>
      </w:pPr>
      <w:r>
        <w:rPr>
          <w:rFonts w:ascii="Calibri" w:cs="Calibri" w:eastAsia="Calibri" w:hAnsi="Calibri"/>
          <w:b/>
          <w:bCs/>
          <w:color w:val="333333"/>
          <w:sz w:val="23"/>
          <w:szCs w:val="23"/>
        </w:rPr>
        <w:t xml:space="preserve">Question 7: Which types of students make up a risk level (by education, gender and region)?</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Decomposition tree showing Total Students by risk level, then highest education, gender and region (Dashboard 1: Student Performance &amp; Engagement Overview).</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Analyze – Total Students; Explain by – risk level, highest education, gender, region.</w:t>
      </w:r>
    </w:p>
    <w:p>
      <w:pPr>
        <w:spacing w:after="80" w:before="120"/>
        <w:jc w:val="center"/>
      </w:pPr>
      <w:r>
        <w:drawing>
          <wp:inline distT="0" distB="0" distL="0" distR="0">
            <wp:extent cx="40957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8859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Which types of students make up a risk level (by education, gender and region)?</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Drilling into Low Risk (6,099 students) shows education groups of A Level or Equivalent (2,834), Lower Than A Level (2,172) and HE Qualification (1,016), with only 39 students holding No Formal quals. Within HE Qualification, 612 are male and 404 are female; among the women, Scotland (116) has the most, followed by Wales (45), London Region (43) and East Anglian Region (31).</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Advisers can drill into any risk segment and see exactly who is in it, so support can be aimed at the right group and region.</w:t>
      </w:r>
    </w:p>
    <w:p>
      <w:pPr>
        <w:pStyle w:val="Heading3"/>
        <w:spacing w:after="140" w:before="240"/>
      </w:pPr>
      <w:r>
        <w:rPr>
          <w:rFonts w:ascii="Calibri" w:cs="Calibri" w:eastAsia="Calibri" w:hAnsi="Calibri"/>
          <w:b/>
          <w:bCs/>
          <w:color w:val="333333"/>
          <w:sz w:val="23"/>
          <w:szCs w:val="23"/>
        </w:rPr>
        <w:t xml:space="preserve">Question 8: How does the dropout rate vary with students’ highest education?</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Clustered column chart showing Dropout Rate by highest education (Dashboard 2: Risk, Dropout &amp; Demographic Analysis).</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Axis – highest education; Values – Dropout Rate.</w:t>
      </w:r>
    </w:p>
    <w:p>
      <w:pPr>
        <w:spacing w:after="80" w:before="120"/>
        <w:jc w:val="center"/>
      </w:pPr>
      <w:r>
        <w:drawing>
          <wp:inline distT="0" distB="0" distL="0" distR="0">
            <wp:extent cx="40957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1051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8: How does the dropout rate vary with students’ highest education?</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Dropout falls steadily as prior education rises: about 28% for No Formal quals, about 24% for Lower Than A Level, about 20% for both A Level or Equivalent and HE Qualification, and about 18% for Post Graduate. Learners with no formal qualifications drop out about 1.5 times as often as post-graduates.</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Learners with weaker educational backgrounds are the group most in need of bridging modules, mentoring and study-skills support.</w:t>
      </w:r>
    </w:p>
    <w:p>
      <w:pPr>
        <w:pStyle w:val="Heading3"/>
        <w:spacing w:after="140" w:before="240"/>
      </w:pPr>
      <w:r>
        <w:rPr>
          <w:rFonts w:ascii="Calibri" w:cs="Calibri" w:eastAsia="Calibri" w:hAnsi="Calibri"/>
          <w:b/>
          <w:bCs/>
          <w:color w:val="333333"/>
          <w:sz w:val="23"/>
          <w:szCs w:val="23"/>
        </w:rPr>
        <w:t xml:space="preserve">Question 9: How does the pass rate vary with students’ highest education?</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Clustered column chart showing Pass Rate by highest education (Dashboard 2: Risk, Dropout &amp; Demographic Analysis).</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Axis – highest education; Values – Pass Rate.</w:t>
      </w:r>
    </w:p>
    <w:p>
      <w:pPr>
        <w:spacing w:after="80" w:before="120"/>
        <w:jc w:val="center"/>
      </w:pPr>
      <w:r>
        <w:drawing>
          <wp:inline distT="0" distB="0" distL="0" distR="0">
            <wp:extent cx="40957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1146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9: How does the pass rate vary with students’ highest education?</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The pass rate rises with prior education: about 67% for Post Graduate, 65% for HE Qualification, 62% for A Level or Equivalent, 50% for Lower Than A Level and only about 42% for No Formal quals — a gap of roughly 25 percentage points. This mirrors the dropout pattern in Question 8.</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Prior education is the strongest demographic predictor of success, so entry-level support should be matched to a learner’s starting point rather than applied uniformly.</w:t>
      </w:r>
    </w:p>
    <w:p>
      <w:pPr>
        <w:pStyle w:val="Heading3"/>
        <w:spacing w:after="140" w:before="240"/>
      </w:pPr>
      <w:r>
        <w:rPr>
          <w:rFonts w:ascii="Calibri" w:cs="Calibri" w:eastAsia="Calibri" w:hAnsi="Calibri"/>
          <w:b/>
          <w:bCs/>
          <w:color w:val="333333"/>
          <w:sz w:val="23"/>
          <w:szCs w:val="23"/>
        </w:rPr>
        <w:t xml:space="preserve">Question 10: Do final results differ between male and female students?</w:t>
      </w:r>
    </w:p>
    <w:p>
      <w:pPr>
        <w:pStyle w:val="ListParagraph"/>
        <w:numPr>
          <w:ilvl w:val="0"/>
          <w:numId w:val="2"/>
        </w:numPr>
        <w:spacing w:after="80" w:line="276"/>
      </w:pPr>
      <w:r>
        <w:rPr>
          <w:rFonts w:ascii="Calibri" w:cs="Calibri" w:eastAsia="Calibri" w:hAnsi="Calibri"/>
          <w:b/>
          <w:bCs/>
          <w:sz w:val="22"/>
          <w:szCs w:val="22"/>
        </w:rPr>
        <w:t xml:space="preserve">Visualization: </w:t>
      </w:r>
      <w:r>
        <w:rPr>
          <w:rFonts w:ascii="Calibri" w:cs="Calibri" w:eastAsia="Calibri" w:hAnsi="Calibri"/>
          <w:sz w:val="22"/>
          <w:szCs w:val="22"/>
        </w:rPr>
        <w:t xml:space="preserve">100% stacked bar chart showing Total Students by gender and final result (Dashboard 2: Risk, Dropout &amp; Demographic Analysis).</w:t>
      </w:r>
    </w:p>
    <w:p>
      <w:pPr>
        <w:pStyle w:val="ListParagraph"/>
        <w:numPr>
          <w:ilvl w:val="0"/>
          <w:numId w:val="2"/>
        </w:numPr>
        <w:spacing w:after="80" w:line="276"/>
      </w:pPr>
      <w:r>
        <w:rPr>
          <w:rFonts w:ascii="Calibri" w:cs="Calibri" w:eastAsia="Calibri" w:hAnsi="Calibri"/>
          <w:b/>
          <w:bCs/>
          <w:sz w:val="22"/>
          <w:szCs w:val="22"/>
        </w:rPr>
        <w:t xml:space="preserve">Fields used: </w:t>
      </w:r>
      <w:r>
        <w:rPr>
          <w:rFonts w:ascii="Calibri" w:cs="Calibri" w:eastAsia="Calibri" w:hAnsi="Calibri"/>
          <w:sz w:val="22"/>
          <w:szCs w:val="22"/>
        </w:rPr>
        <w:t xml:space="preserve">Axis – gender; Legend – final result; Values – Total Students.</w:t>
      </w:r>
    </w:p>
    <w:p>
      <w:pPr>
        <w:spacing w:after="80" w:before="120"/>
        <w:jc w:val="center"/>
      </w:pPr>
      <w:r>
        <w:drawing>
          <wp:inline distT="0" distB="0" distL="0" distR="0">
            <wp:extent cx="4095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886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10: Do final results differ between male and female students?</w:t>
      </w:r>
    </w:p>
    <w:p>
      <w:pPr>
        <w:pStyle w:val="ListParagraph"/>
        <w:numPr>
          <w:ilvl w:val="0"/>
          <w:numId w:val="2"/>
        </w:numPr>
        <w:spacing w:after="80" w:line="276"/>
      </w:pPr>
      <w:r>
        <w:rPr>
          <w:rFonts w:ascii="Calibri" w:cs="Calibri" w:eastAsia="Calibri" w:hAnsi="Calibri"/>
          <w:b/>
          <w:bCs/>
          <w:sz w:val="22"/>
          <w:szCs w:val="22"/>
        </w:rPr>
        <w:t xml:space="preserve">Insights: </w:t>
      </w:r>
      <w:r>
        <w:rPr>
          <w:rFonts w:ascii="Calibri" w:cs="Calibri" w:eastAsia="Calibri" w:hAnsi="Calibri"/>
          <w:sz w:val="22"/>
          <w:szCs w:val="22"/>
        </w:rPr>
        <w:t xml:space="preserve">Outcome patterns are broadly similar, but female students do slightly better: about 49% of women Pass compared with about 45% of men, and about 17% of women Withdraw compared with about 21% of men. Distinction (about 11–12%) and Fail (about 22–23%) are close for both genders.</w:t>
      </w:r>
    </w:p>
    <w:p>
      <w:pPr>
        <w:pStyle w:val="ListParagraph"/>
        <w:numPr>
          <w:ilvl w:val="0"/>
          <w:numId w:val="2"/>
        </w:numPr>
        <w:spacing w:after="80" w:line="276"/>
      </w:pPr>
      <w:r>
        <w:rPr>
          <w:rFonts w:ascii="Calibri" w:cs="Calibri" w:eastAsia="Calibri" w:hAnsi="Calibri"/>
          <w:b/>
          <w:bCs/>
          <w:sz w:val="22"/>
          <w:szCs w:val="22"/>
        </w:rPr>
        <w:t xml:space="preserve">Business value: </w:t>
      </w:r>
      <w:r>
        <w:rPr>
          <w:rFonts w:ascii="Calibri" w:cs="Calibri" w:eastAsia="Calibri" w:hAnsi="Calibri"/>
          <w:sz w:val="22"/>
          <w:szCs w:val="22"/>
        </w:rPr>
        <w:t xml:space="preserve">There is no large gender gap in results, but the higher withdrawal rate among men suggests retention efforts for male learners deserve attention.</w:t>
      </w:r>
    </w:p>
    <w:p>
      <w:pPr>
        <w:pStyle w:val="Heading1"/>
        <w:pageBreakBefore/>
        <w:spacing w:after="140" w:before="320"/>
      </w:pPr>
      <w:r>
        <w:rPr>
          <w:rFonts w:ascii="Calibri" w:cs="Calibri" w:eastAsia="Calibri" w:hAnsi="Calibri"/>
          <w:b/>
          <w:bCs/>
          <w:color w:val="1F3864"/>
          <w:sz w:val="32"/>
          <w:szCs w:val="32"/>
        </w:rPr>
        <w:t xml:space="preserve">5. Dashboard</w:t>
      </w:r>
    </w:p>
    <w:p>
      <w:pPr>
        <w:pStyle w:val="Heading2"/>
        <w:spacing w:after="140" w:before="240"/>
      </w:pPr>
      <w:r>
        <w:rPr>
          <w:rFonts w:ascii="Calibri" w:cs="Calibri" w:eastAsia="Calibri" w:hAnsi="Calibri"/>
          <w:b/>
          <w:bCs/>
          <w:color w:val="2E5496"/>
          <w:sz w:val="26"/>
          <w:szCs w:val="26"/>
        </w:rPr>
        <w:t xml:space="preserve">5.1 Dashboard Design Screenshot with Insights</w:t>
      </w:r>
    </w:p>
    <w:p>
      <w:pPr>
        <w:spacing w:after="120" w:line="276"/>
      </w:pPr>
      <w:r>
        <w:rPr>
          <w:rFonts w:ascii="Calibri" w:cs="Calibri" w:eastAsia="Calibri" w:hAnsi="Calibri"/>
          <w:sz w:val="22"/>
          <w:szCs w:val="22"/>
        </w:rPr>
        <w:t xml:space="preserve">Creating an effective dashboard involves thoughtful design so that the presented information is clear, relevant and easily understandable for the intended audience. The Online Education Analytics Dashboard was built around the following design principles: a clear and intuitive layout, appropriate visualization types for each measure, consistent colour and theming, interactive filters and slicers, drill-down capability, responsive design, and custom visuals and icons.</w:t>
      </w:r>
    </w:p>
    <w:p>
      <w:pPr>
        <w:spacing w:after="80" w:before="12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11: Online Education Analytics Dashboard — Student Performance, Engagement &amp; Dropout Analysis</w:t>
      </w:r>
    </w:p>
    <w:p>
      <w:pPr>
        <w:spacing w:after="120" w:line="276"/>
      </w:pPr>
      <w:r>
        <w:rPr>
          <w:rFonts w:ascii="Calibri" w:cs="Calibri" w:eastAsia="Calibri" w:hAnsi="Calibri"/>
          <w:b/>
          <w:bCs/>
          <w:sz w:val="22"/>
          <w:szCs w:val="22"/>
        </w:rPr>
        <w:t xml:space="preserve">Key outcomes from the dashboard:</w:t>
      </w:r>
    </w:p>
    <w:p>
      <w:pPr>
        <w:pStyle w:val="ListParagraph"/>
        <w:numPr>
          <w:ilvl w:val="0"/>
          <w:numId w:val="2"/>
        </w:numPr>
        <w:spacing w:after="80" w:line="276"/>
      </w:pPr>
      <w:r>
        <w:rPr>
          <w:rFonts w:ascii="Calibri" w:cs="Calibri" w:eastAsia="Calibri" w:hAnsi="Calibri"/>
          <w:b/>
          <w:bCs/>
          <w:sz w:val="22"/>
          <w:szCs w:val="22"/>
        </w:rPr>
        <w:t xml:space="preserve">Overall scale and retention risk: </w:t>
      </w:r>
      <w:r>
        <w:rPr>
          <w:rFonts w:ascii="Calibri" w:cs="Calibri" w:eastAsia="Calibri" w:hAnsi="Calibri"/>
          <w:sz w:val="22"/>
          <w:szCs w:val="22"/>
        </w:rPr>
        <w:t xml:space="preserve">The dashboard tracks 22K enrolled students with a dropout rate of 20.40%, meaning roughly one in five learners disengage before completing their course — flagging retention as a priority area for intervention.</w:t>
      </w:r>
    </w:p>
    <w:p>
      <w:pPr>
        <w:pStyle w:val="ListParagraph"/>
        <w:numPr>
          <w:ilvl w:val="0"/>
          <w:numId w:val="2"/>
        </w:numPr>
        <w:spacing w:after="80" w:line="276"/>
      </w:pPr>
      <w:r>
        <w:rPr>
          <w:rFonts w:ascii="Calibri" w:cs="Calibri" w:eastAsia="Calibri" w:hAnsi="Calibri"/>
          <w:b/>
          <w:bCs/>
          <w:sz w:val="22"/>
          <w:szCs w:val="22"/>
        </w:rPr>
        <w:t xml:space="preserve">Final result distribution: </w:t>
      </w:r>
      <w:r>
        <w:rPr>
          <w:rFonts w:ascii="Calibri" w:cs="Calibri" w:eastAsia="Calibri" w:hAnsi="Calibri"/>
          <w:sz w:val="22"/>
          <w:szCs w:val="22"/>
        </w:rPr>
        <w:t xml:space="preserve">Of all students, 46.24% achieved a Pass, 22.32% Failed, 20.4% Withdrew and 11.04% earned Distinction. Combined, Fail and Withdrawn outcomes account for over 42% of students, reinforcing the dropout concern above.</w:t>
      </w:r>
    </w:p>
    <w:p>
      <w:pPr>
        <w:pStyle w:val="ListParagraph"/>
        <w:numPr>
          <w:ilvl w:val="0"/>
          <w:numId w:val="2"/>
        </w:numPr>
        <w:spacing w:after="80" w:line="276"/>
      </w:pPr>
      <w:r>
        <w:rPr>
          <w:rFonts w:ascii="Calibri" w:cs="Calibri" w:eastAsia="Calibri" w:hAnsi="Calibri"/>
          <w:b/>
          <w:bCs/>
          <w:sz w:val="22"/>
          <w:szCs w:val="22"/>
        </w:rPr>
        <w:t xml:space="preserve">Engagement drives performance: </w:t>
      </w:r>
      <w:r>
        <w:rPr>
          <w:rFonts w:ascii="Calibri" w:cs="Calibri" w:eastAsia="Calibri" w:hAnsi="Calibri"/>
          <w:sz w:val="22"/>
          <w:szCs w:val="22"/>
        </w:rPr>
        <w:t xml:space="preserve">Students with High engagement generate close to 4K average clicks and the highest average scores, while Low-engagement students click under 1K times on average and score noticeably lower — a clear positive link between platform activity and academic outcome.</w:t>
      </w:r>
    </w:p>
    <w:p>
      <w:pPr>
        <w:pStyle w:val="ListParagraph"/>
        <w:numPr>
          <w:ilvl w:val="0"/>
          <w:numId w:val="2"/>
        </w:numPr>
        <w:spacing w:after="80" w:line="276"/>
      </w:pPr>
      <w:r>
        <w:rPr>
          <w:rFonts w:ascii="Calibri" w:cs="Calibri" w:eastAsia="Calibri" w:hAnsi="Calibri"/>
          <w:b/>
          <w:bCs/>
          <w:sz w:val="22"/>
          <w:szCs w:val="22"/>
        </w:rPr>
        <w:t xml:space="preserve">Regional enrolment variation: </w:t>
      </w:r>
      <w:r>
        <w:rPr>
          <w:rFonts w:ascii="Calibri" w:cs="Calibri" w:eastAsia="Calibri" w:hAnsi="Calibri"/>
          <w:sz w:val="22"/>
          <w:szCs w:val="22"/>
        </w:rPr>
        <w:t xml:space="preserve">Scotland and the East Anglian Region report the highest student counts, while Wales and the East Midlands Region show the smallest cohorts, indicating uneven regional reach that could guide targeted enrolment or support campaigns.</w:t>
      </w:r>
    </w:p>
    <w:p>
      <w:pPr>
        <w:pStyle w:val="ListParagraph"/>
        <w:numPr>
          <w:ilvl w:val="0"/>
          <w:numId w:val="2"/>
        </w:numPr>
        <w:spacing w:after="80" w:line="276"/>
      </w:pPr>
      <w:r>
        <w:rPr>
          <w:rFonts w:ascii="Calibri" w:cs="Calibri" w:eastAsia="Calibri" w:hAnsi="Calibri"/>
          <w:b/>
          <w:bCs/>
          <w:sz w:val="22"/>
          <w:szCs w:val="22"/>
        </w:rPr>
        <w:t xml:space="preserve">Score gaps by performance band: </w:t>
      </w:r>
      <w:r>
        <w:rPr>
          <w:rFonts w:ascii="Calibri" w:cs="Calibri" w:eastAsia="Calibri" w:hAnsi="Calibri"/>
          <w:sz w:val="22"/>
          <w:szCs w:val="22"/>
        </w:rPr>
        <w:t xml:space="preserve">Average score declines steadily from the Distinction band down to the Fail band, and the same pattern repeats across engagement levels — together these confirm that consistent participation is the strongest visible driver of the 73.07 overall average score.</w:t>
      </w:r>
    </w:p>
    <w:p>
      <w:pPr>
        <w:pStyle w:val="ListParagraph"/>
        <w:numPr>
          <w:ilvl w:val="0"/>
          <w:numId w:val="2"/>
        </w:numPr>
        <w:spacing w:after="80" w:line="276"/>
      </w:pPr>
      <w:r>
        <w:rPr>
          <w:rFonts w:ascii="Calibri" w:cs="Calibri" w:eastAsia="Calibri" w:hAnsi="Calibri"/>
          <w:b/>
          <w:bCs/>
          <w:sz w:val="22"/>
          <w:szCs w:val="22"/>
        </w:rPr>
        <w:t xml:space="preserve">Moderate pass rate signals room for support: </w:t>
      </w:r>
      <w:r>
        <w:rPr>
          <w:rFonts w:ascii="Calibri" w:cs="Calibri" w:eastAsia="Calibri" w:hAnsi="Calibri"/>
          <w:sz w:val="22"/>
          <w:szCs w:val="22"/>
        </w:rPr>
        <w:t xml:space="preserve">With an overall Pass Rate of 57.27%, less than two-thirds of students are passing outright, suggesting that early-warning triggers based on clicks and engagement level could help advisers identify at-risk students before they withdraw.</w:t>
      </w:r>
    </w:p>
    <w:p>
      <w:pPr>
        <w:pStyle w:val="Heading1"/>
        <w:pageBreakBefore/>
        <w:spacing w:after="140" w:before="320"/>
      </w:pPr>
      <w:r>
        <w:rPr>
          <w:rFonts w:ascii="Calibri" w:cs="Calibri" w:eastAsia="Calibri" w:hAnsi="Calibri"/>
          <w:b/>
          <w:bCs/>
          <w:color w:val="1F3864"/>
          <w:sz w:val="32"/>
          <w:szCs w:val="32"/>
        </w:rPr>
        <w:t xml:space="preserve">6. Report</w:t>
      </w:r>
    </w:p>
    <w:p>
      <w:pPr>
        <w:pStyle w:val="Heading2"/>
        <w:spacing w:after="140" w:before="240"/>
      </w:pPr>
      <w:r>
        <w:rPr>
          <w:rFonts w:ascii="Calibri" w:cs="Calibri" w:eastAsia="Calibri" w:hAnsi="Calibri"/>
          <w:b/>
          <w:bCs/>
          <w:color w:val="2E5496"/>
          <w:sz w:val="26"/>
          <w:szCs w:val="26"/>
        </w:rPr>
        <w:t xml:space="preserve">6.1 Report Design Screenshot with Insights</w:t>
      </w:r>
    </w:p>
    <w:p>
      <w:pPr>
        <w:spacing w:after="120" w:line="276"/>
      </w:pPr>
      <w:r>
        <w:rPr>
          <w:rFonts w:ascii="Calibri" w:cs="Calibri" w:eastAsia="Calibri" w:hAnsi="Calibri"/>
          <w:sz w:val="22"/>
          <w:szCs w:val="22"/>
        </w:rPr>
        <w:t xml:space="preserve">The report was designed in Power BI and is organised into two interactive report pages.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pPr>
        <w:pStyle w:val="Heading3"/>
        <w:spacing w:after="140" w:before="240"/>
      </w:pPr>
      <w:r>
        <w:rPr>
          <w:rFonts w:ascii="Calibri" w:cs="Calibri" w:eastAsia="Calibri" w:hAnsi="Calibri"/>
          <w:b/>
          <w:bCs/>
          <w:color w:val="333333"/>
          <w:sz w:val="23"/>
          <w:szCs w:val="23"/>
        </w:rPr>
        <w:t xml:space="preserve">Report Page 1: Student Performance &amp; Engagement Overview</w:t>
      </w: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12: Global Online Learning – Student Performance &amp; Engagement Overview</w:t>
      </w:r>
    </w:p>
    <w:p>
      <w:pPr>
        <w:spacing w:after="120" w:line="276"/>
      </w:pPr>
      <w:r>
        <w:rPr>
          <w:rFonts w:ascii="Calibri" w:cs="Calibri" w:eastAsia="Calibri" w:hAnsi="Calibri"/>
          <w:b/>
          <w:bCs/>
          <w:sz w:val="22"/>
          <w:szCs w:val="22"/>
        </w:rPr>
        <w:t xml:space="preserve">Observations drawn from this page:</w:t>
      </w:r>
    </w:p>
    <w:p>
      <w:pPr>
        <w:pStyle w:val="ListParagraph"/>
        <w:numPr>
          <w:ilvl w:val="0"/>
          <w:numId w:val="2"/>
        </w:numPr>
        <w:spacing w:after="80" w:line="276"/>
      </w:pPr>
      <w:r>
        <w:rPr>
          <w:rFonts w:ascii="Calibri" w:cs="Calibri" w:eastAsia="Calibri" w:hAnsi="Calibri"/>
          <w:b/>
          <w:bCs/>
          <w:sz w:val="22"/>
          <w:szCs w:val="22"/>
        </w:rPr>
        <w:t xml:space="preserve">Regional performance: </w:t>
      </w:r>
      <w:r>
        <w:rPr>
          <w:rFonts w:ascii="Calibri" w:cs="Calibri" w:eastAsia="Calibri" w:hAnsi="Calibri"/>
          <w:sz w:val="22"/>
          <w:szCs w:val="22"/>
        </w:rPr>
        <w:t xml:space="preserve">Average scores are high and tightly clustered across all 13 regions, at roughly 71–75. The South East Region and Scotland lead and the North Region is lowest, so region does not appear to be a major driver of differences in performance.</w:t>
      </w:r>
    </w:p>
    <w:p>
      <w:pPr>
        <w:pStyle w:val="ListParagraph"/>
        <w:numPr>
          <w:ilvl w:val="0"/>
          <w:numId w:val="2"/>
        </w:numPr>
        <w:spacing w:after="80" w:line="276"/>
      </w:pPr>
      <w:r>
        <w:rPr>
          <w:rFonts w:ascii="Calibri" w:cs="Calibri" w:eastAsia="Calibri" w:hAnsi="Calibri"/>
          <w:b/>
          <w:bCs/>
          <w:sz w:val="22"/>
          <w:szCs w:val="22"/>
        </w:rPr>
        <w:t xml:space="preserve">Engagement levels: </w:t>
      </w:r>
      <w:r>
        <w:rPr>
          <w:rFonts w:ascii="Calibri" w:cs="Calibri" w:eastAsia="Calibri" w:hAnsi="Calibri"/>
          <w:sz w:val="22"/>
          <w:szCs w:val="22"/>
        </w:rPr>
        <w:t xml:space="preserve">Of 22,422 students, 8,400 (37.46%) show Medium engagement, 7,612 (33.95%) High and 6,410 (28.59%) Low. About two-thirds of learners are therefore at Medium or Low engagement.</w:t>
      </w:r>
    </w:p>
    <w:p>
      <w:pPr>
        <w:pStyle w:val="ListParagraph"/>
        <w:numPr>
          <w:ilvl w:val="0"/>
          <w:numId w:val="2"/>
        </w:numPr>
        <w:spacing w:after="80" w:line="276"/>
      </w:pPr>
      <w:r>
        <w:rPr>
          <w:rFonts w:ascii="Calibri" w:cs="Calibri" w:eastAsia="Calibri" w:hAnsi="Calibri"/>
          <w:b/>
          <w:bCs/>
          <w:sz w:val="22"/>
          <w:szCs w:val="22"/>
        </w:rPr>
        <w:t xml:space="preserve">Platform activity (clicks): </w:t>
      </w:r>
      <w:r>
        <w:rPr>
          <w:rFonts w:ascii="Calibri" w:cs="Calibri" w:eastAsia="Calibri" w:hAnsi="Calibri"/>
          <w:sz w:val="22"/>
          <w:szCs w:val="22"/>
        </w:rPr>
        <w:t xml:space="preserve">High-engagement students generate about 32M clicks, compared with about 9M for Medium and about 2M for Low. Roughly three-quarters of all clicks come from about a third of the students, showing how concentrated learning activity is.</w:t>
      </w:r>
    </w:p>
    <w:p>
      <w:pPr>
        <w:pStyle w:val="ListParagraph"/>
        <w:numPr>
          <w:ilvl w:val="0"/>
          <w:numId w:val="2"/>
        </w:numPr>
        <w:spacing w:after="80" w:line="276"/>
      </w:pPr>
      <w:r>
        <w:rPr>
          <w:rFonts w:ascii="Calibri" w:cs="Calibri" w:eastAsia="Calibri" w:hAnsi="Calibri"/>
          <w:b/>
          <w:bCs/>
          <w:sz w:val="22"/>
          <w:szCs w:val="22"/>
        </w:rPr>
        <w:t xml:space="preserve">Final results: </w:t>
      </w:r>
      <w:r>
        <w:rPr>
          <w:rFonts w:ascii="Calibri" w:cs="Calibri" w:eastAsia="Calibri" w:hAnsi="Calibri"/>
          <w:sz w:val="22"/>
          <w:szCs w:val="22"/>
        </w:rPr>
        <w:t xml:space="preserve">Pass is the most common outcome (about 11K students), followed by Fail (about 5.5K), Withdrawn (about 4.7K) and Distinction (about 2.8K). Fail and Withdrawn together are almost as large as Pass, which makes retention a significant challenge.</w:t>
      </w:r>
    </w:p>
    <w:p>
      <w:pPr>
        <w:pStyle w:val="ListParagraph"/>
        <w:numPr>
          <w:ilvl w:val="0"/>
          <w:numId w:val="2"/>
        </w:numPr>
        <w:spacing w:after="80" w:line="276"/>
      </w:pPr>
      <w:r>
        <w:rPr>
          <w:rFonts w:ascii="Calibri" w:cs="Calibri" w:eastAsia="Calibri" w:hAnsi="Calibri"/>
          <w:b/>
          <w:bCs/>
          <w:sz w:val="22"/>
          <w:szCs w:val="22"/>
        </w:rPr>
        <w:t xml:space="preserve">Risk level drill-down: </w:t>
      </w:r>
      <w:r>
        <w:rPr>
          <w:rFonts w:ascii="Calibri" w:cs="Calibri" w:eastAsia="Calibri" w:hAnsi="Calibri"/>
          <w:sz w:val="22"/>
          <w:szCs w:val="22"/>
        </w:rPr>
        <w:t xml:space="preserve">Students are spread across four risk levels: High Risk (6,391), Low Risk (6,099), Safe (5,632) and Very High Risk (4,300). Drilling into Low Risk students with an HE Qualification (1,016) shows 612 male and 404 female learners; among the women, Scotland has the most (116), followed by Wales (45) and London Region (43).</w:t>
      </w:r>
    </w:p>
    <w:p>
      <w:pPr>
        <w:pStyle w:val="Heading3"/>
        <w:pageBreakBefore/>
        <w:spacing w:after="140" w:before="240"/>
      </w:pPr>
      <w:r>
        <w:rPr>
          <w:rFonts w:ascii="Calibri" w:cs="Calibri" w:eastAsia="Calibri" w:hAnsi="Calibri"/>
          <w:b/>
          <w:bCs/>
          <w:color w:val="333333"/>
          <w:sz w:val="23"/>
          <w:szCs w:val="23"/>
        </w:rPr>
        <w:t xml:space="preserve">Report Page 2: Risk, Dropout &amp; Demographic Analysis</w:t>
      </w:r>
    </w:p>
    <w:p>
      <w:pPr>
        <w:spacing w:after="8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13: Risk, Dropout &amp; Demographic Analysis Dashboard</w:t>
      </w:r>
    </w:p>
    <w:p>
      <w:pPr>
        <w:spacing w:after="120" w:line="276"/>
      </w:pPr>
      <w:r>
        <w:rPr>
          <w:rFonts w:ascii="Calibri" w:cs="Calibri" w:eastAsia="Calibri" w:hAnsi="Calibri"/>
          <w:b/>
          <w:bCs/>
          <w:sz w:val="22"/>
          <w:szCs w:val="22"/>
        </w:rPr>
        <w:t xml:space="preserve">Observations drawn from this page:</w:t>
      </w:r>
    </w:p>
    <w:p>
      <w:pPr>
        <w:pStyle w:val="ListParagraph"/>
        <w:numPr>
          <w:ilvl w:val="0"/>
          <w:numId w:val="2"/>
        </w:numPr>
        <w:spacing w:after="80" w:line="276"/>
      </w:pPr>
      <w:r>
        <w:rPr>
          <w:rFonts w:ascii="Calibri" w:cs="Calibri" w:eastAsia="Calibri" w:hAnsi="Calibri"/>
          <w:b/>
          <w:bCs/>
          <w:sz w:val="22"/>
          <w:szCs w:val="22"/>
        </w:rPr>
        <w:t xml:space="preserve">Dropout rate by prior education: </w:t>
      </w:r>
      <w:r>
        <w:rPr>
          <w:rFonts w:ascii="Calibri" w:cs="Calibri" w:eastAsia="Calibri" w:hAnsi="Calibri"/>
          <w:sz w:val="22"/>
          <w:szCs w:val="22"/>
        </w:rPr>
        <w:t xml:space="preserve">Dropout falls steadily as prior education rises: about 28% for students with No Formal quals, about 24% for Lower Than A Level, about 20% for both A Level and HE Qualification, and about 18% for Post Graduate learners. Students with no formal qualifications drop out about 1.5 times as often as post-graduates.</w:t>
      </w:r>
    </w:p>
    <w:p>
      <w:pPr>
        <w:pStyle w:val="ListParagraph"/>
        <w:numPr>
          <w:ilvl w:val="0"/>
          <w:numId w:val="2"/>
        </w:numPr>
        <w:spacing w:after="80" w:line="276"/>
      </w:pPr>
      <w:r>
        <w:rPr>
          <w:rFonts w:ascii="Calibri" w:cs="Calibri" w:eastAsia="Calibri" w:hAnsi="Calibri"/>
          <w:b/>
          <w:bCs/>
          <w:sz w:val="22"/>
          <w:szCs w:val="22"/>
        </w:rPr>
        <w:t xml:space="preserve">Pass rate by prior education: </w:t>
      </w:r>
      <w:r>
        <w:rPr>
          <w:rFonts w:ascii="Calibri" w:cs="Calibri" w:eastAsia="Calibri" w:hAnsi="Calibri"/>
          <w:sz w:val="22"/>
          <w:szCs w:val="22"/>
        </w:rPr>
        <w:t xml:space="preserve">The pass rate mirrors this pattern: about 67% for Post Graduate, 65% for HE Qualification, 62% for A Level, 50% for Lower Than A Level and only about 42% for No Formal quals — a gap of roughly 25 percentage points between the highest and lowest groups.</w:t>
      </w:r>
    </w:p>
    <w:p>
      <w:pPr>
        <w:pStyle w:val="ListParagraph"/>
        <w:numPr>
          <w:ilvl w:val="0"/>
          <w:numId w:val="2"/>
        </w:numPr>
        <w:spacing w:after="80" w:line="276"/>
      </w:pPr>
      <w:r>
        <w:rPr>
          <w:rFonts w:ascii="Calibri" w:cs="Calibri" w:eastAsia="Calibri" w:hAnsi="Calibri"/>
          <w:b/>
          <w:bCs/>
          <w:sz w:val="22"/>
          <w:szCs w:val="22"/>
        </w:rPr>
        <w:t xml:space="preserve">Risk profile: </w:t>
      </w:r>
      <w:r>
        <w:rPr>
          <w:rFonts w:ascii="Calibri" w:cs="Calibri" w:eastAsia="Calibri" w:hAnsi="Calibri"/>
          <w:sz w:val="22"/>
          <w:szCs w:val="22"/>
        </w:rPr>
        <w:t xml:space="preserve">High Risk (28.5%) and Very High Risk (19.18%) students together total 10,691, nearly 48% of all learners. Low Risk (27.2%) and Safe (25.12%) make up the remaining, just over half.</w:t>
      </w:r>
    </w:p>
    <w:p>
      <w:pPr>
        <w:pStyle w:val="ListParagraph"/>
        <w:numPr>
          <w:ilvl w:val="0"/>
          <w:numId w:val="2"/>
        </w:numPr>
        <w:spacing w:after="80" w:line="276"/>
      </w:pPr>
      <w:r>
        <w:rPr>
          <w:rFonts w:ascii="Calibri" w:cs="Calibri" w:eastAsia="Calibri" w:hAnsi="Calibri"/>
          <w:b/>
          <w:bCs/>
          <w:sz w:val="22"/>
          <w:szCs w:val="22"/>
        </w:rPr>
        <w:t xml:space="preserve">Gender and final result: </w:t>
      </w:r>
      <w:r>
        <w:rPr>
          <w:rFonts w:ascii="Calibri" w:cs="Calibri" w:eastAsia="Calibri" w:hAnsi="Calibri"/>
          <w:sz w:val="22"/>
          <w:szCs w:val="22"/>
        </w:rPr>
        <w:t xml:space="preserve">Outcomes are broadly similar for both genders, but women do slightly better: about 49% of female students Pass compared with about 45% of male students, and about 17% of women Withdraw compared with about 21% of men. Distinction rates are close (about 11–12%).</w:t>
      </w:r>
    </w:p>
    <w:p>
      <w:pPr>
        <w:pStyle w:val="ListParagraph"/>
        <w:numPr>
          <w:ilvl w:val="0"/>
          <w:numId w:val="2"/>
        </w:numPr>
        <w:spacing w:after="80" w:line="276"/>
      </w:pPr>
      <w:r>
        <w:rPr>
          <w:rFonts w:ascii="Calibri" w:cs="Calibri" w:eastAsia="Calibri" w:hAnsi="Calibri"/>
          <w:b/>
          <w:bCs/>
          <w:sz w:val="22"/>
          <w:szCs w:val="22"/>
        </w:rPr>
        <w:t xml:space="preserve">Engagement and final result: </w:t>
      </w:r>
      <w:r>
        <w:rPr>
          <w:rFonts w:ascii="Calibri" w:cs="Calibri" w:eastAsia="Calibri" w:hAnsi="Calibri"/>
          <w:sz w:val="22"/>
          <w:szCs w:val="22"/>
        </w:rPr>
        <w:t xml:space="preserve">For High-engagement students the decomposition tree shows Pass (5,168), Distinction (1,595), Withdrawn (967) and Fail (915). About 78% finish with a Pass or Distinction and only about 22% fail or withdraw, compared with roughly 40% across all students on Page 1.</w:t>
      </w:r>
    </w:p>
    <w:p>
      <w:pPr>
        <w:pStyle w:val="Heading1"/>
        <w:pageBreakBefore/>
        <w:spacing w:after="140" w:before="320"/>
      </w:pPr>
      <w:r>
        <w:rPr>
          <w:rFonts w:ascii="Calibri" w:cs="Calibri" w:eastAsia="Calibri" w:hAnsi="Calibri"/>
          <w:b/>
          <w:bCs/>
          <w:color w:val="1F3864"/>
          <w:sz w:val="32"/>
          <w:szCs w:val="32"/>
        </w:rPr>
        <w:t xml:space="preserve">7. Performance Testing</w:t>
      </w:r>
    </w:p>
    <w:p>
      <w:pPr>
        <w:spacing w:after="120" w:line="276"/>
      </w:pPr>
      <w:r>
        <w:rPr>
          <w:rFonts w:ascii="Calibri" w:cs="Calibri" w:eastAsia="Calibri" w:hAnsi="Calibri"/>
          <w:sz w:val="22"/>
          <w:szCs w:val="22"/>
        </w:rPr>
        <w:t xml:space="preserve">Performance testing checked that the report responds quickly to user interaction, that every filter and measure returns the correct value, and that the figures displayed match the source dataset. The report loads and cross-filters in under two seconds on a standard 8 GB machine because the model contains a single fact table of 22,422 rows and all aggregations are handled by lightweight DAX measures rather than row-level calculations at query time.</w:t>
      </w:r>
    </w:p>
    <w:p>
      <w:pPr>
        <w:pStyle w:val="Heading2"/>
        <w:spacing w:after="140" w:before="240"/>
      </w:pPr>
      <w:r>
        <w:rPr>
          <w:rFonts w:ascii="Calibri" w:cs="Calibri" w:eastAsia="Calibri" w:hAnsi="Calibri"/>
          <w:b/>
          <w:bCs/>
          <w:color w:val="2E5496"/>
          <w:sz w:val="26"/>
          <w:szCs w:val="26"/>
        </w:rPr>
        <w:t xml:space="preserve">7.1 Utilization of Data Filters</w:t>
      </w:r>
    </w:p>
    <w:p>
      <w:pPr>
        <w:spacing w:after="120" w:line="276"/>
      </w:pPr>
      <w:r>
        <w:rPr>
          <w:rFonts w:ascii="Calibri" w:cs="Calibri" w:eastAsia="Calibri" w:hAnsi="Calibri"/>
          <w:sz w:val="22"/>
          <w:szCs w:val="22"/>
        </w:rPr>
        <w:t xml:space="preserve">Five slicers and a set of interaction-based filters were applied so that users can narrow the report to any segment of learners. All visuals on a page cross-filter each other, and the decomposition trees support unlimited drill-down paths.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600"/>
        <w:gridCol w:w="2000"/>
        <w:gridCol w:w="2200"/>
        <w:gridCol w:w="4560"/>
      </w:tblGrid>
      <w:tr>
        <w:trPr>
          <w:tblHeader/>
        </w:trPr>
        <w:tc>
          <w:tcPr>
            <w:tcW w:type="dxa" w:w="6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No.</w:t>
            </w:r>
          </w:p>
        </w:tc>
        <w:tc>
          <w:tcPr>
            <w:tcW w:type="dxa" w:w="20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Filter / Slicer</w:t>
            </w:r>
          </w:p>
        </w:tc>
        <w:tc>
          <w:tcPr>
            <w:tcW w:type="dxa" w:w="2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Type</w:t>
            </w:r>
          </w:p>
        </w:tc>
        <w:tc>
          <w:tcPr>
            <w:tcW w:type="dxa" w:w="45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Purpose</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gender</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Dropdown slicer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Compare outcomes, engagement and risk between male and female learners.</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engagement level</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Dropdown slicer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Isolate High, Medium or Low engagement cohorts and view their results.</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performance level</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Dropdown slicer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Filter the report by score band to examine high and low performers separately.</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region</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Dropdown slicer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Restrict the analysis to any of the 13 regions for regional reporting.</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final result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Dropdown slicer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Focus on Pass, Fail, Withdrawn or Distinction students only.</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Visual-level interactions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Cross-filter / cross-highlight</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Selecting a bar, pie slice or category filters every other visual on the page.</w:t>
            </w:r>
          </w:p>
        </w:tc>
      </w:tr>
      <w:tr>
        <w:trPr>
          <w:tblHeader w:val="false"/>
        </w:trPr>
        <w:tc>
          <w:tcPr>
            <w:tcW w:type="dxa" w:w="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Decomposition tree path filters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Drill-down filter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Re-root the tree on risk level, education, gender, region, engagement level or final result.</w:t>
            </w:r>
          </w:p>
        </w:tc>
      </w:tr>
    </w:tbl>
    <w:p>
      <w:pPr>
        <w:spacing w:after="120" w:line="276"/>
      </w:pPr>
      <w:r>
        <w:rPr>
          <w:rFonts w:ascii="Calibri" w:cs="Calibri" w:eastAsia="Calibri" w:hAnsi="Calibri"/>
          <w:b/>
          <w:bCs/>
          <w:sz w:val="21"/>
          <w:szCs w:val="21"/>
        </w:rPr>
        <w:t xml:space="preserve">Total number of filters/slicers: 5 dropdown slicers, plus cross-filtering and drill-down filters on every page.</w:t>
      </w:r>
    </w:p>
    <w:p>
      <w:pPr>
        <w:pStyle w:val="Heading2"/>
        <w:spacing w:after="140" w:before="240"/>
      </w:pPr>
      <w:r>
        <w:rPr>
          <w:rFonts w:ascii="Calibri" w:cs="Calibri" w:eastAsia="Calibri" w:hAnsi="Calibri"/>
          <w:b/>
          <w:bCs/>
          <w:color w:val="2E5496"/>
          <w:sz w:val="26"/>
          <w:szCs w:val="26"/>
        </w:rPr>
        <w:t xml:space="preserve">7.2 No. of Calculated Columns / Measures</w:t>
      </w:r>
    </w:p>
    <w:p>
      <w:pPr>
        <w:spacing w:after="120" w:line="276"/>
      </w:pPr>
      <w:r>
        <w:rPr>
          <w:rFonts w:ascii="Calibri" w:cs="Calibri" w:eastAsia="Calibri" w:hAnsi="Calibri"/>
          <w:sz w:val="22"/>
          <w:szCs w:val="22"/>
        </w:rPr>
        <w:t xml:space="preserve">Three calculated columns were created to classify each student, and five DAX measures drive every KPI card and chart in the report.</w:t>
      </w:r>
    </w:p>
    <w:p>
      <w:pPr>
        <w:spacing w:after="80" w:line="276"/>
      </w:pPr>
      <w:r>
        <w:rPr>
          <w:rFonts w:ascii="Calibri" w:cs="Calibri" w:eastAsia="Calibri" w:hAnsi="Calibri"/>
          <w:b/>
          <w:bCs/>
          <w:sz w:val="22"/>
          <w:szCs w:val="22"/>
        </w:rPr>
        <w:t xml:space="preserve">Calculated Columns (3)</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2600"/>
        <w:gridCol w:w="4560"/>
      </w:tblGrid>
      <w:tr>
        <w:trPr>
          <w:tblHeader/>
        </w:trPr>
        <w:tc>
          <w:tcPr>
            <w:tcW w:type="dxa" w:w="2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Calculated Column</w:t>
            </w:r>
          </w:p>
        </w:tc>
        <w:tc>
          <w:tcPr>
            <w:tcW w:type="dxa" w:w="26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Derived From</w:t>
            </w:r>
          </w:p>
        </w:tc>
        <w:tc>
          <w:tcPr>
            <w:tcW w:type="dxa" w:w="45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Description</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engagement level</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total clicks</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Classifies each student as High, Medium or Low based on click-activity thresholds.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performance level</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average score</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Classifies each student into a score band (High, Medium, Low).</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risk level</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engagement level + performance level</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Combines activity and attainment into Safe, Low Risk, High Risk or Very High Risk.</w:t>
            </w:r>
          </w:p>
        </w:tc>
      </w:tr>
    </w:tbl>
    <w:p>
      <w:pPr>
        <w:spacing w:after="80" w:line="276"/>
      </w:pPr>
      <w:r>
        <w:rPr>
          <w:rFonts w:ascii="Calibri" w:cs="Calibri" w:eastAsia="Calibri" w:hAnsi="Calibri"/>
          <w:b/>
          <w:bCs/>
          <w:sz w:val="22"/>
          <w:szCs w:val="22"/>
        </w:rPr>
        <w:t xml:space="preserve">DAX Measures (5)</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3200"/>
        <w:gridCol w:w="3960"/>
      </w:tblGrid>
      <w:tr>
        <w:trPr>
          <w:tblHeader/>
        </w:trPr>
        <w:tc>
          <w:tcPr>
            <w:tcW w:type="dxa" w:w="2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Measure</w:t>
            </w:r>
          </w:p>
        </w:tc>
        <w:tc>
          <w:tcPr>
            <w:tcW w:type="dxa" w:w="3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Aggregation</w:t>
            </w:r>
          </w:p>
        </w:tc>
        <w:tc>
          <w:tcPr>
            <w:tcW w:type="dxa" w:w="39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Used In</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Total Students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COUNTROWS of the student table</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KPI card, pie charts, column charts, decomposition trees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Average Score</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AVERAGE of average score</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KPI card, score-by-region and score-by-engagement charts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Average Clicks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AVERAGE of total clicks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KPI card, clicks-by-engagement chart</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Pass Rate</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Pass students ÷ total students (%)</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KPI card, pass-rate-by-education chart</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Dropout Rate</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Withdrawn students ÷ total students (%)</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KPI card, dropout-rate-by-education chart</w:t>
            </w:r>
          </w:p>
        </w:tc>
      </w:tr>
    </w:tbl>
    <w:p>
      <w:pPr>
        <w:spacing w:after="120" w:line="276"/>
      </w:pPr>
      <w:r>
        <w:rPr>
          <w:rFonts w:ascii="Calibri" w:cs="Calibri" w:eastAsia="Calibri" w:hAnsi="Calibri"/>
          <w:b/>
          <w:bCs/>
          <w:sz w:val="21"/>
          <w:szCs w:val="21"/>
        </w:rPr>
        <w:t xml:space="preserve">Total: 3 calculated columns + 5 DAX measures = 8 calculations.</w:t>
      </w:r>
    </w:p>
    <w:p>
      <w:pPr>
        <w:pStyle w:val="Heading2"/>
        <w:spacing w:after="140" w:before="240"/>
      </w:pPr>
      <w:r>
        <w:rPr>
          <w:rFonts w:ascii="Calibri" w:cs="Calibri" w:eastAsia="Calibri" w:hAnsi="Calibri"/>
          <w:b/>
          <w:bCs/>
          <w:color w:val="2E5496"/>
          <w:sz w:val="26"/>
          <w:szCs w:val="26"/>
        </w:rPr>
        <w:t xml:space="preserve">7.3 No. of Visualizations</w:t>
      </w:r>
    </w:p>
    <w:p>
      <w:pPr>
        <w:spacing w:after="120" w:line="276"/>
      </w:pPr>
      <w:r>
        <w:rPr>
          <w:rFonts w:ascii="Calibri" w:cs="Calibri" w:eastAsia="Calibri" w:hAnsi="Calibri"/>
          <w:sz w:val="22"/>
          <w:szCs w:val="22"/>
        </w:rPr>
        <w:t xml:space="preserve">A total of 21 visuals were built across the three report pages.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gridCol w:w="1760"/>
      </w:tblGrid>
      <w:tr>
        <w:trPr>
          <w:tblHeader/>
        </w:trPr>
        <w:tc>
          <w:tcPr>
            <w:tcW w:type="dxa" w:w="24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Page</w:t>
            </w:r>
          </w:p>
        </w:tc>
        <w:tc>
          <w:tcPr>
            <w:tcW w:type="dxa" w:w="520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Visuals Used</w:t>
            </w:r>
          </w:p>
        </w:tc>
        <w:tc>
          <w:tcPr>
            <w:tcW w:type="dxa" w:w="1760"/>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Count</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Online Education Analytics Dashboard</w:t>
            </w:r>
          </w:p>
        </w:tc>
        <w:tc>
          <w:tcPr>
            <w:tcW w:type="dxa" w:w="5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KPI cards (Total Students, Dropout Rate, Average Clicks, Average Score, Pass Rate), bar chart (students by region), donut chart (students by final result), column chart (average clicks by engagement level), column chart (average score by engagement level), column chart (average score by performance level), Q&amp;A visual</w:t>
            </w:r>
          </w:p>
        </w:tc>
        <w:tc>
          <w:tcPr>
            <w:tcW w:type="dxa" w:w="17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11</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Student Performance &amp; Engagement Overview</w:t>
            </w:r>
          </w:p>
        </w:tc>
        <w:tc>
          <w:tcPr>
            <w:tcW w:type="dxa" w:w="5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Column chart (average score by region), pie chart (students by engagement level), column chart (students by final result), column chart (total clicks by engagement level), decomposition tree</w:t>
            </w:r>
          </w:p>
        </w:tc>
        <w:tc>
          <w:tcPr>
            <w:tcW w:type="dxa" w:w="17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Risk, Dropout &amp; Demographic Analysis</w:t>
            </w:r>
          </w:p>
        </w:tc>
        <w:tc>
          <w:tcPr>
            <w:tcW w:type="dxa" w:w="520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Column chart (dropout rate by education), pie chart (students by risk level), 100% stacked bar chart (final result by gender), column chart (pass rate by education), decomposition tree</w:t>
            </w:r>
          </w:p>
        </w:tc>
        <w:tc>
          <w:tcPr>
            <w:tcW w:type="dxa" w:w="1760"/>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19"/>
                <w:szCs w:val="19"/>
              </w:rPr>
              <w:t xml:space="preserve">Total</w:t>
            </w:r>
          </w:p>
        </w:tc>
        <w:tc>
          <w:tcPr>
            <w:tcW w:type="dxa" w:w="5200"/>
            <w:tcMar>
              <w:top w:type="dxa" w:w="60"/>
              <w:left w:type="dxa" w:w="100"/>
              <w:bottom w:type="dxa" w:w="60"/>
              <w:right w:type="dxa" w:w="100"/>
            </w:tcMar>
          </w:tcPr>
          <w:p>
            <w:pPr>
              <w:spacing w:after="0" w:line="252"/>
            </w:pPr>
            <w:r>
              <w:rPr>
                <w:rFonts w:ascii="Calibri" w:cs="Calibri" w:eastAsia="Calibri" w:hAnsi="Calibri"/>
                <w:b/>
                <w:bCs/>
                <w:sz w:val="19"/>
                <w:szCs w:val="19"/>
              </w:rPr>
              <w:t xml:space="preserve">Across 3 report pages</w:t>
            </w:r>
          </w:p>
        </w:tc>
        <w:tc>
          <w:tcPr>
            <w:tcW w:type="dxa" w:w="1760"/>
            <w:tcMar>
              <w:top w:type="dxa" w:w="60"/>
              <w:left w:type="dxa" w:w="100"/>
              <w:bottom w:type="dxa" w:w="60"/>
              <w:right w:type="dxa" w:w="100"/>
            </w:tcMar>
          </w:tcPr>
          <w:p>
            <w:pPr>
              <w:spacing w:after="0" w:line="252"/>
            </w:pPr>
            <w:r>
              <w:rPr>
                <w:rFonts w:ascii="Calibri" w:cs="Calibri" w:eastAsia="Calibri" w:hAnsi="Calibri"/>
                <w:b/>
                <w:bCs/>
                <w:sz w:val="19"/>
                <w:szCs w:val="19"/>
              </w:rPr>
              <w:t xml:space="preserve">21</w:t>
            </w:r>
          </w:p>
        </w:tc>
      </w:tr>
    </w:tbl>
    <w:p>
      <w:pPr>
        <w:pStyle w:val="Heading1"/>
        <w:pageBreakBefore/>
        <w:spacing w:after="140" w:before="320"/>
      </w:pPr>
      <w:r>
        <w:rPr>
          <w:rFonts w:ascii="Calibri" w:cs="Calibri" w:eastAsia="Calibri" w:hAnsi="Calibri"/>
          <w:b/>
          <w:bCs/>
          <w:color w:val="1F3864"/>
          <w:sz w:val="32"/>
          <w:szCs w:val="32"/>
        </w:rPr>
        <w:t xml:space="preserve">8. Conclusion / Observation</w:t>
      </w:r>
    </w:p>
    <w:p>
      <w:pPr>
        <w:spacing w:after="120" w:line="276"/>
      </w:pPr>
      <w:r>
        <w:rPr>
          <w:rFonts w:ascii="Calibri" w:cs="Calibri" w:eastAsia="Calibri" w:hAnsi="Calibri"/>
          <w:sz w:val="22"/>
          <w:szCs w:val="22"/>
        </w:rPr>
        <w:t xml:space="preserve">The analysis of 22,422 online learners shows that engagement, not geography, is the clearest predictor of academic success. The main observations are summarised below.</w:t>
      </w:r>
    </w:p>
    <w:p>
      <w:pPr>
        <w:pStyle w:val="ListParagraph"/>
        <w:numPr>
          <w:ilvl w:val="0"/>
          <w:numId w:val="2"/>
        </w:numPr>
        <w:spacing w:after="80" w:line="276"/>
      </w:pPr>
      <w:r>
        <w:rPr>
          <w:rFonts w:ascii="Calibri" w:cs="Calibri" w:eastAsia="Calibri" w:hAnsi="Calibri"/>
          <w:b/>
          <w:bCs/>
          <w:sz w:val="22"/>
          <w:szCs w:val="22"/>
        </w:rPr>
        <w:t xml:space="preserve">Engagement is closely linked to success. </w:t>
      </w:r>
      <w:r>
        <w:rPr>
          <w:rFonts w:ascii="Calibri" w:cs="Calibri" w:eastAsia="Calibri" w:hAnsi="Calibri"/>
          <w:sz w:val="22"/>
          <w:szCs w:val="22"/>
        </w:rPr>
        <w:t xml:space="preserve">High-engagement students fail or withdraw about half as often as the cohort overall (about 22% versus roughly 40%), and they generate around three-quarters of all platform clicks despite making up only about a third of the students. The 14,810 students at Medium or Low engagement are therefore the natural focus for reminders, nudges and more interactive content.</w:t>
      </w:r>
    </w:p>
    <w:p>
      <w:pPr>
        <w:pStyle w:val="ListParagraph"/>
        <w:numPr>
          <w:ilvl w:val="0"/>
          <w:numId w:val="2"/>
        </w:numPr>
        <w:spacing w:after="80" w:line="276"/>
      </w:pPr>
      <w:r>
        <w:rPr>
          <w:rFonts w:ascii="Calibri" w:cs="Calibri" w:eastAsia="Calibri" w:hAnsi="Calibri"/>
          <w:b/>
          <w:bCs/>
          <w:sz w:val="22"/>
          <w:szCs w:val="22"/>
        </w:rPr>
        <w:t xml:space="preserve">Prior education matters more than region. </w:t>
      </w:r>
      <w:r>
        <w:rPr>
          <w:rFonts w:ascii="Calibri" w:cs="Calibri" w:eastAsia="Calibri" w:hAnsi="Calibri"/>
          <w:sz w:val="22"/>
          <w:szCs w:val="22"/>
        </w:rPr>
        <w:t xml:space="preserve">Regional average scores differ by only about four points (71–75 across all 13 regions), while dropout and pass rates vary widely with prior education — a 25 percentage-point gap in pass rate between Post Graduate and No Formal quals learners. Support such as bridging modules, mentoring and study-skills sessions should target learners with No Formal quals or Lower Than A Level.</w:t>
      </w:r>
    </w:p>
    <w:p>
      <w:pPr>
        <w:pStyle w:val="ListParagraph"/>
        <w:numPr>
          <w:ilvl w:val="0"/>
          <w:numId w:val="2"/>
        </w:numPr>
        <w:spacing w:after="80" w:line="276"/>
      </w:pPr>
      <w:r>
        <w:rPr>
          <w:rFonts w:ascii="Calibri" w:cs="Calibri" w:eastAsia="Calibri" w:hAnsi="Calibri"/>
          <w:b/>
          <w:bCs/>
          <w:sz w:val="22"/>
          <w:szCs w:val="22"/>
        </w:rPr>
        <w:t xml:space="preserve">Retention is the biggest opportunity. </w:t>
      </w:r>
      <w:r>
        <w:rPr>
          <w:rFonts w:ascii="Calibri" w:cs="Calibri" w:eastAsia="Calibri" w:hAnsi="Calibri"/>
          <w:sz w:val="22"/>
          <w:szCs w:val="22"/>
        </w:rPr>
        <w:t xml:space="preserve">Fail and Withdrawn outcomes together account for over 40% of students, almost matching the Pass group. Raising completion would have a larger effect on overall outcomes than raising grades among students who already pass.</w:t>
      </w:r>
    </w:p>
    <w:p>
      <w:pPr>
        <w:pStyle w:val="ListParagraph"/>
        <w:numPr>
          <w:ilvl w:val="0"/>
          <w:numId w:val="2"/>
        </w:numPr>
        <w:spacing w:after="80" w:line="276"/>
      </w:pPr>
      <w:r>
        <w:rPr>
          <w:rFonts w:ascii="Calibri" w:cs="Calibri" w:eastAsia="Calibri" w:hAnsi="Calibri"/>
          <w:b/>
          <w:bCs/>
          <w:sz w:val="22"/>
          <w:szCs w:val="22"/>
        </w:rPr>
        <w:t xml:space="preserve">Nearly half the cohort is at risk. </w:t>
      </w:r>
      <w:r>
        <w:rPr>
          <w:rFonts w:ascii="Calibri" w:cs="Calibri" w:eastAsia="Calibri" w:hAnsi="Calibri"/>
          <w:sz w:val="22"/>
          <w:szCs w:val="22"/>
        </w:rPr>
        <w:t xml:space="preserve">With 10,691 students (about 48%) at High or Very High risk, early-warning alerts and adviser follow-ups should be triggered as soon as engagement drops rather than after an assessment is failed.</w:t>
      </w:r>
    </w:p>
    <w:p>
      <w:pPr>
        <w:pStyle w:val="ListParagraph"/>
        <w:numPr>
          <w:ilvl w:val="0"/>
          <w:numId w:val="2"/>
        </w:numPr>
        <w:spacing w:after="80" w:line="276"/>
      </w:pPr>
      <w:r>
        <w:rPr>
          <w:rFonts w:ascii="Calibri" w:cs="Calibri" w:eastAsia="Calibri" w:hAnsi="Calibri"/>
          <w:b/>
          <w:bCs/>
          <w:sz w:val="22"/>
          <w:szCs w:val="22"/>
        </w:rPr>
        <w:t xml:space="preserve">Gender differences are small but real. </w:t>
      </w:r>
      <w:r>
        <w:rPr>
          <w:rFonts w:ascii="Calibri" w:cs="Calibri" w:eastAsia="Calibri" w:hAnsi="Calibri"/>
          <w:sz w:val="22"/>
          <w:szCs w:val="22"/>
        </w:rPr>
        <w:t xml:space="preserve">Women pass slightly more often (about 49% versus 45%) and withdraw less often (about 17% versus 21%), so retention efforts aimed at male learners deserve attention even though the overall gap is modest.</w:t>
      </w:r>
    </w:p>
    <w:p>
      <w:pPr>
        <w:pStyle w:val="ListParagraph"/>
        <w:numPr>
          <w:ilvl w:val="0"/>
          <w:numId w:val="2"/>
        </w:numPr>
        <w:spacing w:after="80" w:line="276"/>
      </w:pPr>
      <w:r>
        <w:rPr>
          <w:rFonts w:ascii="Calibri" w:cs="Calibri" w:eastAsia="Calibri" w:hAnsi="Calibri"/>
          <w:b/>
          <w:bCs/>
          <w:sz w:val="22"/>
          <w:szCs w:val="22"/>
        </w:rPr>
        <w:t xml:space="preserve">Interactive exploration makes the findings actionable. </w:t>
      </w:r>
      <w:r>
        <w:rPr>
          <w:rFonts w:ascii="Calibri" w:cs="Calibri" w:eastAsia="Calibri" w:hAnsi="Calibri"/>
          <w:sz w:val="22"/>
          <w:szCs w:val="22"/>
        </w:rPr>
        <w:t xml:space="preserve">The slicers and decomposition trees allow advisers to filter by region, education, gender, engagement level and risk level, and to act on the specific segments that need attention rather than on aggregate figures.</w:t>
      </w:r>
    </w:p>
    <w:p>
      <w:pPr>
        <w:spacing w:after="120" w:line="276"/>
      </w:pPr>
      <w:r>
        <w:rPr>
          <w:rFonts w:ascii="Calibri" w:cs="Calibri" w:eastAsia="Calibri" w:hAnsi="Calibri"/>
          <w:sz w:val="22"/>
          <w:szCs w:val="22"/>
        </w:rPr>
        <w:t xml:space="preserve">Overall, the Power BI solution meets the objectives set out in Section 1.2: it consolidates activity, performance and demographic data into a single view, sizes each at-risk group precisely, and allows stakeholders to move from a headline KPI to an individual student segment in a few clicks.</w:t>
      </w:r>
    </w:p>
    <w:p>
      <w:pPr>
        <w:pStyle w:val="Heading1"/>
        <w:spacing w:after="140" w:before="320"/>
      </w:pPr>
      <w:r>
        <w:rPr>
          <w:rFonts w:ascii="Calibri" w:cs="Calibri" w:eastAsia="Calibri" w:hAnsi="Calibri"/>
          <w:b/>
          <w:bCs/>
          <w:color w:val="1F3864"/>
          <w:sz w:val="32"/>
          <w:szCs w:val="32"/>
        </w:rPr>
        <w:t xml:space="preserve">9. Future Scope</w:t>
      </w:r>
    </w:p>
    <w:p>
      <w:pPr>
        <w:spacing w:after="120" w:line="276"/>
      </w:pPr>
      <w:r>
        <w:rPr>
          <w:rFonts w:ascii="Calibri" w:cs="Calibri" w:eastAsia="Calibri" w:hAnsi="Calibri"/>
          <w:sz w:val="22"/>
          <w:szCs w:val="22"/>
        </w:rPr>
        <w:t xml:space="preserve">The current solution is a descriptive and diagnostic dashboard built on a static extract. Several extensions would increase its value:</w:t>
      </w:r>
    </w:p>
    <w:p>
      <w:pPr>
        <w:pStyle w:val="ListParagraph"/>
        <w:numPr>
          <w:ilvl w:val="0"/>
          <w:numId w:val="2"/>
        </w:numPr>
        <w:spacing w:after="80" w:line="276"/>
      </w:pPr>
      <w:r>
        <w:rPr>
          <w:rFonts w:ascii="Calibri" w:cs="Calibri" w:eastAsia="Calibri" w:hAnsi="Calibri"/>
          <w:sz w:val="22"/>
          <w:szCs w:val="22"/>
        </w:rPr>
        <w:t xml:space="preserve">Predictive risk scoring: integrate a machine-learning model (logistic regression or gradient boosting) that outputs a probability of withdrawal for each student, replacing the rule-based risk level with a calibrated score.</w:t>
      </w:r>
    </w:p>
    <w:p>
      <w:pPr>
        <w:pStyle w:val="ListParagraph"/>
        <w:numPr>
          <w:ilvl w:val="0"/>
          <w:numId w:val="2"/>
        </w:numPr>
        <w:spacing w:after="80" w:line="276"/>
      </w:pPr>
      <w:r>
        <w:rPr>
          <w:rFonts w:ascii="Calibri" w:cs="Calibri" w:eastAsia="Calibri" w:hAnsi="Calibri"/>
          <w:sz w:val="22"/>
          <w:szCs w:val="22"/>
        </w:rPr>
        <w:t xml:space="preserve">Time-series and trend analysis: add a date dimension so that click activity and scores can be tracked week by week across a course, allowing the dashboard to show when disengagement begins rather than only that it happened.</w:t>
      </w:r>
    </w:p>
    <w:p>
      <w:pPr>
        <w:pStyle w:val="ListParagraph"/>
        <w:numPr>
          <w:ilvl w:val="0"/>
          <w:numId w:val="2"/>
        </w:numPr>
        <w:spacing w:after="80" w:line="276"/>
      </w:pPr>
      <w:r>
        <w:rPr>
          <w:rFonts w:ascii="Calibri" w:cs="Calibri" w:eastAsia="Calibri" w:hAnsi="Calibri"/>
          <w:sz w:val="22"/>
          <w:szCs w:val="22"/>
        </w:rPr>
        <w:t xml:space="preserve">Automated data refresh: connect Power BI Service directly to the learning platform through a gateway or API so that the report refreshes daily instead of relying on a manual CSV export.</w:t>
      </w:r>
    </w:p>
    <w:p>
      <w:pPr>
        <w:pStyle w:val="ListParagraph"/>
        <w:numPr>
          <w:ilvl w:val="0"/>
          <w:numId w:val="2"/>
        </w:numPr>
        <w:spacing w:after="80" w:line="276"/>
      </w:pPr>
      <w:r>
        <w:rPr>
          <w:rFonts w:ascii="Calibri" w:cs="Calibri" w:eastAsia="Calibri" w:hAnsi="Calibri"/>
          <w:sz w:val="22"/>
          <w:szCs w:val="22"/>
        </w:rPr>
        <w:t xml:space="preserve">Automated alerts: configure data-driven alerts and Power Automate flows so that an adviser receives an email or Teams message as soon as a student crosses a risk threshold.</w:t>
      </w:r>
    </w:p>
    <w:p>
      <w:pPr>
        <w:pStyle w:val="ListParagraph"/>
        <w:numPr>
          <w:ilvl w:val="0"/>
          <w:numId w:val="2"/>
        </w:numPr>
        <w:spacing w:after="80" w:line="276"/>
      </w:pPr>
      <w:r>
        <w:rPr>
          <w:rFonts w:ascii="Calibri" w:cs="Calibri" w:eastAsia="Calibri" w:hAnsi="Calibri"/>
          <w:sz w:val="22"/>
          <w:szCs w:val="22"/>
        </w:rPr>
        <w:t xml:space="preserve">Course-level and assessment-level detail: extend the model with course, module and assessment tables so that the analysis can identify which specific modules cause the most withdrawals.</w:t>
      </w:r>
    </w:p>
    <w:p>
      <w:pPr>
        <w:pStyle w:val="ListParagraph"/>
        <w:numPr>
          <w:ilvl w:val="0"/>
          <w:numId w:val="2"/>
        </w:numPr>
        <w:spacing w:after="80" w:line="276"/>
      </w:pPr>
      <w:r>
        <w:rPr>
          <w:rFonts w:ascii="Calibri" w:cs="Calibri" w:eastAsia="Calibri" w:hAnsi="Calibri"/>
          <w:sz w:val="22"/>
          <w:szCs w:val="22"/>
        </w:rPr>
        <w:t xml:space="preserve">Intervention tracking: record which students received which support action and measure the effect on their subsequent engagement and outcome, turning the dashboard into a closed feedback loop.</w:t>
      </w:r>
    </w:p>
    <w:p>
      <w:pPr>
        <w:pStyle w:val="ListParagraph"/>
        <w:numPr>
          <w:ilvl w:val="0"/>
          <w:numId w:val="2"/>
        </w:numPr>
        <w:spacing w:after="80" w:line="276"/>
      </w:pPr>
      <w:r>
        <w:rPr>
          <w:rFonts w:ascii="Calibri" w:cs="Calibri" w:eastAsia="Calibri" w:hAnsi="Calibri"/>
          <w:sz w:val="22"/>
          <w:szCs w:val="22"/>
        </w:rPr>
        <w:t xml:space="preserve">Mobile-optimised layout and row-level security: publish a phone layout for advisers on the move and apply row-level security so each instructor sees only their own students.</w:t>
      </w:r>
    </w:p>
    <w:p>
      <w:pPr>
        <w:pStyle w:val="ListParagraph"/>
        <w:numPr>
          <w:ilvl w:val="0"/>
          <w:numId w:val="2"/>
        </w:numPr>
        <w:spacing w:after="80" w:line="276"/>
      </w:pPr>
      <w:r>
        <w:rPr>
          <w:rFonts w:ascii="Calibri" w:cs="Calibri" w:eastAsia="Calibri" w:hAnsi="Calibri"/>
          <w:sz w:val="22"/>
          <w:szCs w:val="22"/>
        </w:rPr>
        <w:t xml:space="preserve">Benchmarking: compare performance against other cohorts, intakes or institutions to put the 57.27% pass rate and 20.40% dropout rate in context.</w:t>
      </w:r>
    </w:p>
    <w:p>
      <w:pPr>
        <w:pStyle w:val="Heading1"/>
        <w:pageBreakBefore/>
        <w:spacing w:after="140" w:before="320"/>
      </w:pPr>
      <w:r>
        <w:rPr>
          <w:rFonts w:ascii="Calibri" w:cs="Calibri" w:eastAsia="Calibri" w:hAnsi="Calibri"/>
          <w:b/>
          <w:bCs/>
          <w:color w:val="1F3864"/>
          <w:sz w:val="32"/>
          <w:szCs w:val="32"/>
        </w:rPr>
        <w:t xml:space="preserve">10. Appendix</w:t>
      </w:r>
    </w:p>
    <w:p>
      <w:pPr>
        <w:pStyle w:val="Heading2"/>
        <w:spacing w:after="140" w:before="240"/>
      </w:pPr>
      <w:r>
        <w:rPr>
          <w:rFonts w:ascii="Calibri" w:cs="Calibri" w:eastAsia="Calibri" w:hAnsi="Calibri"/>
          <w:b/>
          <w:bCs/>
          <w:color w:val="2E5496"/>
          <w:sz w:val="26"/>
          <w:szCs w:val="26"/>
        </w:rPr>
        <w:t xml:space="preserve">10.1 Source Code (DAX)</w:t>
      </w:r>
    </w:p>
    <w:p>
      <w:pPr>
        <w:spacing w:after="120" w:line="276"/>
      </w:pPr>
      <w:r>
        <w:rPr>
          <w:rFonts w:ascii="Calibri" w:cs="Calibri" w:eastAsia="Calibri" w:hAnsi="Calibri"/>
          <w:sz w:val="22"/>
          <w:szCs w:val="22"/>
        </w:rPr>
        <w:t xml:space="preserve">The report contains no external application code. The calculations below are the DAX measures and calculated columns used in the Power BI model.</w:t>
      </w:r>
    </w:p>
    <w:tbl>
      <w:tblPr>
        <w:tblW w:type="dxa" w:w="9360"/>
        <w:tblBorders>
          <w:top w:val="single" w:color="AAAAAA" w:sz="4"/>
          <w:left w:val="single" w:color="AAAAAA" w:sz="4"/>
          <w:bottom w:val="single" w:color="AAAAAA" w:sz="4"/>
          <w:right w:val="single" w:color="AAAAAA" w:sz="4"/>
          <w:insideH w:val="none" w:color="FFFFFF" w:sz="0"/>
          <w:insideV w:val="none" w:color="FFFFFF" w:sz="0"/>
        </w:tblBorders>
      </w:tblPr>
      <w:tblGrid>
        <w:gridCol w:w="9360"/>
      </w:tblGrid>
      <w:tr>
        <w:tc>
          <w:tcPr>
            <w:tcW w:type="dxa" w:w="9360"/>
            <w:shd w:fill="F4F4F4"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 DAX MEASURES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Total Students = COUNTROWS ( online_education_dataset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Average Score = AVERAGE ( online_education_dataset[average score]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Average Clicks = AVERAGE ( online_education_dataset[total clicks]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Pass Rate =</w:t>
            </w:r>
          </w:p>
          <w:p>
            <w:pPr>
              <w:spacing w:after="0" w:line="240"/>
            </w:pPr>
            <w:r>
              <w:rPr>
                <w:rFonts w:ascii="Consolas" w:cs="Consolas" w:eastAsia="Consolas" w:hAnsi="Consolas"/>
                <w:sz w:val="17"/>
                <w:szCs w:val="17"/>
              </w:rPr>
              <w:t xml:space="preserve">DIVIDE (</w:t>
            </w:r>
          </w:p>
          <w:p>
            <w:pPr>
              <w:spacing w:after="0" w:line="240"/>
            </w:pPr>
            <w:r>
              <w:rPr>
                <w:rFonts w:ascii="Consolas" w:cs="Consolas" w:eastAsia="Consolas" w:hAnsi="Consolas"/>
                <w:sz w:val="17"/>
                <w:szCs w:val="17"/>
              </w:rPr>
              <w:t xml:space="preserve">    CALCULATE (</w:t>
            </w:r>
          </w:p>
          <w:p>
            <w:pPr>
              <w:spacing w:after="0" w:line="240"/>
            </w:pPr>
            <w:r>
              <w:rPr>
                <w:rFonts w:ascii="Consolas" w:cs="Consolas" w:eastAsia="Consolas" w:hAnsi="Consolas"/>
                <w:sz w:val="17"/>
                <w:szCs w:val="17"/>
              </w:rPr>
              <w:t xml:space="preserve">        [Total Students],</w:t>
            </w:r>
          </w:p>
          <w:p>
            <w:pPr>
              <w:spacing w:after="0" w:line="240"/>
            </w:pPr>
            <w:r>
              <w:rPr>
                <w:rFonts w:ascii="Consolas" w:cs="Consolas" w:eastAsia="Consolas" w:hAnsi="Consolas"/>
                <w:sz w:val="17"/>
                <w:szCs w:val="17"/>
              </w:rPr>
              <w:t xml:space="preserve">        online_education_dataset[final result] IN { "Pass", "Distinction"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[Total Students],</w:t>
            </w:r>
          </w:p>
          <w:p>
            <w:pPr>
              <w:spacing w:after="0" w:line="240"/>
            </w:pPr>
            <w:r>
              <w:rPr>
                <w:rFonts w:ascii="Consolas" w:cs="Consolas" w:eastAsia="Consolas" w:hAnsi="Consolas"/>
                <w:sz w:val="17"/>
                <w:szCs w:val="17"/>
              </w:rPr>
              <w:t xml:space="preserve">    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Dropout Rate =</w:t>
            </w:r>
          </w:p>
          <w:p>
            <w:pPr>
              <w:spacing w:after="0" w:line="240"/>
            </w:pPr>
            <w:r>
              <w:rPr>
                <w:rFonts w:ascii="Consolas" w:cs="Consolas" w:eastAsia="Consolas" w:hAnsi="Consolas"/>
                <w:sz w:val="17"/>
                <w:szCs w:val="17"/>
              </w:rPr>
              <w:t xml:space="preserve">DIVIDE (</w:t>
            </w:r>
          </w:p>
          <w:p>
            <w:pPr>
              <w:spacing w:after="0" w:line="240"/>
            </w:pPr>
            <w:r>
              <w:rPr>
                <w:rFonts w:ascii="Consolas" w:cs="Consolas" w:eastAsia="Consolas" w:hAnsi="Consolas"/>
                <w:sz w:val="17"/>
                <w:szCs w:val="17"/>
              </w:rPr>
              <w:t xml:space="preserve">    CALCULATE (</w:t>
            </w:r>
          </w:p>
          <w:p>
            <w:pPr>
              <w:spacing w:after="0" w:line="240"/>
            </w:pPr>
            <w:r>
              <w:rPr>
                <w:rFonts w:ascii="Consolas" w:cs="Consolas" w:eastAsia="Consolas" w:hAnsi="Consolas"/>
                <w:sz w:val="17"/>
                <w:szCs w:val="17"/>
              </w:rPr>
              <w:t xml:space="preserve">        [Total Students],</w:t>
            </w:r>
          </w:p>
          <w:p>
            <w:pPr>
              <w:spacing w:after="0" w:line="240"/>
            </w:pPr>
            <w:r>
              <w:rPr>
                <w:rFonts w:ascii="Consolas" w:cs="Consolas" w:eastAsia="Consolas" w:hAnsi="Consolas"/>
                <w:sz w:val="17"/>
                <w:szCs w:val="17"/>
              </w:rPr>
              <w:t xml:space="preserve">        online_education_dataset[final result] = "Withdrawn"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[Total Students],</w:t>
            </w:r>
          </w:p>
          <w:p>
            <w:pPr>
              <w:spacing w:after="0" w:line="240"/>
            </w:pPr>
            <w:r>
              <w:rPr>
                <w:rFonts w:ascii="Consolas" w:cs="Consolas" w:eastAsia="Consolas" w:hAnsi="Consolas"/>
                <w:sz w:val="17"/>
                <w:szCs w:val="17"/>
              </w:rPr>
              <w:t xml:space="preserve">    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CALCULATED COLUMNS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engagement level =</w:t>
            </w:r>
          </w:p>
          <w:p>
            <w:pPr>
              <w:spacing w:after="0" w:line="240"/>
            </w:pPr>
            <w:r>
              <w:rPr>
                <w:rFonts w:ascii="Consolas" w:cs="Consolas" w:eastAsia="Consolas" w:hAnsi="Consolas"/>
                <w:sz w:val="17"/>
                <w:szCs w:val="17"/>
              </w:rPr>
              <w:t xml:space="preserve">SWITCH (</w:t>
            </w:r>
          </w:p>
          <w:p>
            <w:pPr>
              <w:spacing w:after="0" w:line="240"/>
            </w:pPr>
            <w:r>
              <w:rPr>
                <w:rFonts w:ascii="Consolas" w:cs="Consolas" w:eastAsia="Consolas" w:hAnsi="Consolas"/>
                <w:sz w:val="17"/>
                <w:szCs w:val="17"/>
              </w:rPr>
              <w:t xml:space="preserve">    TRUE (),</w:t>
            </w:r>
          </w:p>
          <w:p>
            <w:pPr>
              <w:spacing w:after="0" w:line="240"/>
            </w:pPr>
            <w:r>
              <w:rPr>
                <w:rFonts w:ascii="Consolas" w:cs="Consolas" w:eastAsia="Consolas" w:hAnsi="Consolas"/>
                <w:sz w:val="17"/>
                <w:szCs w:val="17"/>
              </w:rPr>
              <w:t xml:space="preserve">    online_education_dataset[total clicks] &gt;= 2500, "High",</w:t>
            </w:r>
          </w:p>
          <w:p>
            <w:pPr>
              <w:spacing w:after="0" w:line="240"/>
            </w:pPr>
            <w:r>
              <w:rPr>
                <w:rFonts w:ascii="Consolas" w:cs="Consolas" w:eastAsia="Consolas" w:hAnsi="Consolas"/>
                <w:sz w:val="17"/>
                <w:szCs w:val="17"/>
              </w:rPr>
              <w:t xml:space="preserve">    online_education_dataset[total clicks] &gt;= 800,  "Medium",</w:t>
            </w:r>
          </w:p>
          <w:p>
            <w:pPr>
              <w:spacing w:after="0" w:line="240"/>
            </w:pPr>
            <w:r>
              <w:rPr>
                <w:rFonts w:ascii="Consolas" w:cs="Consolas" w:eastAsia="Consolas" w:hAnsi="Consolas"/>
                <w:sz w:val="17"/>
                <w:szCs w:val="17"/>
              </w:rPr>
              <w:t xml:space="preserve">    "Low"</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performance level =</w:t>
            </w:r>
          </w:p>
          <w:p>
            <w:pPr>
              <w:spacing w:after="0" w:line="240"/>
            </w:pPr>
            <w:r>
              <w:rPr>
                <w:rFonts w:ascii="Consolas" w:cs="Consolas" w:eastAsia="Consolas" w:hAnsi="Consolas"/>
                <w:sz w:val="17"/>
                <w:szCs w:val="17"/>
              </w:rPr>
              <w:t xml:space="preserve">SWITCH (</w:t>
            </w:r>
          </w:p>
          <w:p>
            <w:pPr>
              <w:spacing w:after="0" w:line="240"/>
            </w:pPr>
            <w:r>
              <w:rPr>
                <w:rFonts w:ascii="Consolas" w:cs="Consolas" w:eastAsia="Consolas" w:hAnsi="Consolas"/>
                <w:sz w:val="17"/>
                <w:szCs w:val="17"/>
              </w:rPr>
              <w:t xml:space="preserve">    TRUE (),</w:t>
            </w:r>
          </w:p>
          <w:p>
            <w:pPr>
              <w:spacing w:after="0" w:line="240"/>
            </w:pPr>
            <w:r>
              <w:rPr>
                <w:rFonts w:ascii="Consolas" w:cs="Consolas" w:eastAsia="Consolas" w:hAnsi="Consolas"/>
                <w:sz w:val="17"/>
                <w:szCs w:val="17"/>
              </w:rPr>
              <w:t xml:space="preserve">    online_education_dataset[average score] &gt;= 75, "High",</w:t>
            </w:r>
          </w:p>
          <w:p>
            <w:pPr>
              <w:spacing w:after="0" w:line="240"/>
            </w:pPr>
            <w:r>
              <w:rPr>
                <w:rFonts w:ascii="Consolas" w:cs="Consolas" w:eastAsia="Consolas" w:hAnsi="Consolas"/>
                <w:sz w:val="17"/>
                <w:szCs w:val="17"/>
              </w:rPr>
              <w:t xml:space="preserve">    online_education_dataset[average score] &gt;= 55, "Medium",</w:t>
            </w:r>
          </w:p>
          <w:p>
            <w:pPr>
              <w:spacing w:after="0" w:line="240"/>
            </w:pPr>
            <w:r>
              <w:rPr>
                <w:rFonts w:ascii="Consolas" w:cs="Consolas" w:eastAsia="Consolas" w:hAnsi="Consolas"/>
                <w:sz w:val="17"/>
                <w:szCs w:val="17"/>
              </w:rPr>
              <w:t xml:space="preserve">    "Low"</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risk level =</w:t>
            </w:r>
          </w:p>
          <w:p>
            <w:pPr>
              <w:spacing w:after="0" w:line="240"/>
            </w:pPr>
            <w:r>
              <w:rPr>
                <w:rFonts w:ascii="Consolas" w:cs="Consolas" w:eastAsia="Consolas" w:hAnsi="Consolas"/>
                <w:sz w:val="17"/>
                <w:szCs w:val="17"/>
              </w:rPr>
              <w:t xml:space="preserve">SWITCH (</w:t>
            </w:r>
          </w:p>
          <w:p>
            <w:pPr>
              <w:spacing w:after="0" w:line="240"/>
            </w:pPr>
            <w:r>
              <w:rPr>
                <w:rFonts w:ascii="Consolas" w:cs="Consolas" w:eastAsia="Consolas" w:hAnsi="Consolas"/>
                <w:sz w:val="17"/>
                <w:szCs w:val="17"/>
              </w:rPr>
              <w:t xml:space="preserve">    TRUE (),</w:t>
            </w:r>
          </w:p>
          <w:p>
            <w:pPr>
              <w:spacing w:after="0" w:line="240"/>
            </w:pPr>
            <w:r>
              <w:rPr>
                <w:rFonts w:ascii="Consolas" w:cs="Consolas" w:eastAsia="Consolas" w:hAnsi="Consolas"/>
                <w:sz w:val="17"/>
                <w:szCs w:val="17"/>
              </w:rPr>
              <w:t xml:space="preserve">    online_education_dataset[engagement level] = "High"</w:t>
            </w:r>
          </w:p>
          <w:p>
            <w:pPr>
              <w:spacing w:after="0" w:line="240"/>
            </w:pPr>
            <w:r>
              <w:rPr>
                <w:rFonts w:ascii="Consolas" w:cs="Consolas" w:eastAsia="Consolas" w:hAnsi="Consolas"/>
                <w:sz w:val="17"/>
                <w:szCs w:val="17"/>
              </w:rPr>
              <w:t xml:space="preserve">        &amp;&amp; online_education_dataset[performance level] = "High", "Safe",</w:t>
            </w:r>
          </w:p>
          <w:p>
            <w:pPr>
              <w:spacing w:after="0" w:line="240"/>
            </w:pPr>
            <w:r>
              <w:rPr>
                <w:rFonts w:ascii="Consolas" w:cs="Consolas" w:eastAsia="Consolas" w:hAnsi="Consolas"/>
                <w:sz w:val="17"/>
                <w:szCs w:val="17"/>
              </w:rPr>
              <w:t xml:space="preserve">    online_education_dataset[engagement level] = "Low"</w:t>
            </w:r>
          </w:p>
          <w:p>
            <w:pPr>
              <w:spacing w:after="0" w:line="240"/>
            </w:pPr>
            <w:r>
              <w:rPr>
                <w:rFonts w:ascii="Consolas" w:cs="Consolas" w:eastAsia="Consolas" w:hAnsi="Consolas"/>
                <w:sz w:val="17"/>
                <w:szCs w:val="17"/>
              </w:rPr>
              <w:t xml:space="preserve">        &amp;&amp; online_education_dataset[performance level] = "Low", "Very High Risk",</w:t>
            </w:r>
          </w:p>
          <w:p>
            <w:pPr>
              <w:spacing w:after="0" w:line="240"/>
            </w:pPr>
            <w:r>
              <w:rPr>
                <w:rFonts w:ascii="Consolas" w:cs="Consolas" w:eastAsia="Consolas" w:hAnsi="Consolas"/>
                <w:sz w:val="17"/>
                <w:szCs w:val="17"/>
              </w:rPr>
              <w:t xml:space="preserve">    online_education_dataset[performance level] = "Low", "High Risk",</w:t>
            </w:r>
          </w:p>
          <w:p>
            <w:pPr>
              <w:spacing w:after="0" w:line="240"/>
            </w:pPr>
            <w:r>
              <w:rPr>
                <w:rFonts w:ascii="Consolas" w:cs="Consolas" w:eastAsia="Consolas" w:hAnsi="Consolas"/>
                <w:sz w:val="17"/>
                <w:szCs w:val="17"/>
              </w:rPr>
              <w:t xml:space="preserve">    "Low Risk"</w:t>
            </w:r>
          </w:p>
          <w:p>
            <w:pPr>
              <w:spacing w:after="0" w:line="240"/>
            </w:pPr>
            <w:r>
              <w:rPr>
                <w:rFonts w:ascii="Consolas" w:cs="Consolas" w:eastAsia="Consolas" w:hAnsi="Consolas"/>
                <w:sz w:val="17"/>
                <w:szCs w:val="17"/>
              </w:rPr>
              <w:t xml:space="preserve">)</w:t>
            </w:r>
          </w:p>
        </w:tc>
      </w:tr>
    </w:tbl>
    <w:p>
      <w:pPr>
        <w:pStyle w:val="Heading2"/>
        <w:spacing w:after="140" w:before="240"/>
      </w:pPr>
      <w:r>
        <w:rPr>
          <w:rFonts w:ascii="Calibri" w:cs="Calibri" w:eastAsia="Calibri" w:hAnsi="Calibri"/>
          <w:b/>
          <w:bCs/>
          <w:color w:val="2E5496"/>
          <w:sz w:val="26"/>
          <w:szCs w:val="26"/>
        </w:rPr>
        <w:t xml:space="preserve">10.2 GitHub &amp; Project Demo Link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60"/>
      </w:tblGrid>
      <w:tr>
        <w:trPr>
          <w:tblHeader/>
        </w:trPr>
        <w:tc>
          <w:tcPr>
            <w:tcW w:type="dxa" w:w="2400"/>
            <w:shd w:fill="DCE6F1"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Item</w:t>
            </w:r>
          </w:p>
        </w:tc>
        <w:tc>
          <w:tcPr>
            <w:tcW w:type="dxa" w:w="6960"/>
            <w:shd w:fill="DCE6F1"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Link</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GitHub Repository</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&lt;insert your GitHub repository URL here&gt;</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Project Demo Video</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&lt;insert your demo video URL here&gt;</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Published Power BI Report</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&lt;insert your Power BI Service report URL here&gt;</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Project File</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online_learning.pbix</w:t>
            </w:r>
          </w:p>
        </w:tc>
      </w:tr>
      <w:tr>
        <w:trPr>
          <w:tblHeader w:val="false"/>
        </w:trPr>
        <w:tc>
          <w:tcPr>
            <w:tcW w:type="dxa" w:w="2400"/>
            <w:tcMar>
              <w:top w:type="dxa" w:w="60"/>
              <w:left w:type="dxa" w:w="100"/>
              <w:bottom w:type="dxa" w:w="60"/>
              <w:right w:type="dxa" w:w="100"/>
            </w:tcMar>
          </w:tcPr>
          <w:p>
            <w:pPr>
              <w:spacing w:after="0" w:line="252"/>
            </w:pPr>
            <w:r>
              <w:rPr>
                <w:rFonts w:ascii="Calibri" w:cs="Calibri" w:eastAsia="Calibri" w:hAnsi="Calibri"/>
                <w:b/>
                <w:bCs/>
                <w:sz w:val="20"/>
                <w:szCs w:val="20"/>
              </w:rPr>
              <w:t xml:space="preserve">Dataset File</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online_education_dataset.csv</w:t>
            </w:r>
          </w:p>
        </w:tc>
      </w:tr>
    </w:tbl>
    <w:p>
      <w:pPr>
        <w:spacing w:after="120" w:line="276"/>
      </w:pPr>
      <w:r>
        <w:rPr>
          <w:rFonts w:ascii="Calibri" w:cs="Calibri" w:eastAsia="Calibri" w:hAnsi="Calibri"/>
          <w:b/>
          <w:bCs/>
          <w:sz w:val="19"/>
          <w:szCs w:val="19"/>
        </w:rPr>
        <w:t xml:space="preserve">Note: </w:t>
      </w:r>
      <w:r>
        <w:rPr>
          <w:rFonts w:ascii="Calibri" w:cs="Calibri" w:eastAsia="Calibri" w:hAnsi="Calibri"/>
          <w:sz w:val="19"/>
          <w:szCs w:val="19"/>
        </w:rPr>
        <w:t xml:space="preserve">replace the placeholder links above with your own repository, demo and published report URLs before submission.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Online Learning Engagement and Student Performance Analysis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dd272b4c93239caa3f211dca55d0e0ab03b89a.png"/><Relationship Id="rId9" Type="http://schemas.openxmlformats.org/officeDocument/2006/relationships/image" Target="media/e5b3f894e56c2f58b84d3104d25d971d605a73dd.png"/><Relationship Id="rId10" Type="http://schemas.openxmlformats.org/officeDocument/2006/relationships/image" Target="media/9a8f766fa91ccf6809985c631497473db52adfb8.png"/><Relationship Id="rId11" Type="http://schemas.openxmlformats.org/officeDocument/2006/relationships/image" Target="media/5c80d5fc6fbf271e4442be3f6f758139bd9adb40.png"/><Relationship Id="rId12" Type="http://schemas.openxmlformats.org/officeDocument/2006/relationships/image" Target="media/f6eaa149bbf77265e54591c947bcfa7ae7b033e0.png"/><Relationship Id="rId13" Type="http://schemas.openxmlformats.org/officeDocument/2006/relationships/image" Target="media/2f7f1d994a8af481e158e81e8a9491ec8bb02f26.png"/><Relationship Id="rId14" Type="http://schemas.openxmlformats.org/officeDocument/2006/relationships/image" Target="media/d77b9bc09202dad9bcca579fb28322d18e181479.png"/><Relationship Id="rId15" Type="http://schemas.openxmlformats.org/officeDocument/2006/relationships/image" Target="media/cd684a652826f222a7e6b4b53f904cfc7bf0eb8b.png"/><Relationship Id="rId16" Type="http://schemas.openxmlformats.org/officeDocument/2006/relationships/image" Target="media/855b6771d9a67cc438b786e1885e5b030d769ff0.png"/><Relationship Id="rId17" Type="http://schemas.openxmlformats.org/officeDocument/2006/relationships/image" Target="media/6a143b45d63be5b9afa4e28118635f3c0c634427.png"/><Relationship Id="rId18" Type="http://schemas.openxmlformats.org/officeDocument/2006/relationships/image" Target="media/ddb9b061c37383d1e6dfe3635476757c602f0497.png"/><Relationship Id="rId19" Type="http://schemas.openxmlformats.org/officeDocument/2006/relationships/image" Target="media/75871f5f07f3578e0f684e379c45463b566b06ce.png"/><Relationship Id="rId20" Type="http://schemas.openxmlformats.org/officeDocument/2006/relationships/image" Target="media/42629757422d409b4ae7af3d938dcad231af3b9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Learning Engagement and Student Performance Analysis — Final Project Report</dc:title>
  <dc:creator>MCA Project Team</dc:creator>
  <cp:lastModifiedBy>Un-named</cp:lastModifiedBy>
  <cp:revision>1</cp:revision>
  <dcterms:created xsi:type="dcterms:W3CDTF">2026-09-21T05:32:01.742Z</dcterms:created>
  <dcterms:modified xsi:type="dcterms:W3CDTF">2026-09-21T05:32:01.750Z</dcterms:modified>
</cp:coreProperties>
</file>

<file path=docProps/custom.xml><?xml version="1.0" encoding="utf-8"?>
<Properties xmlns="http://schemas.openxmlformats.org/officeDocument/2006/custom-properties" xmlns:vt="http://schemas.openxmlformats.org/officeDocument/2006/docPropsVTypes"/>
</file>