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6"/>
        </w:rPr>
        <w:t>ONLINE SUPPLEMENTARY MATERIALS &amp; TECHNICAL APPENDIX</w:t>
      </w:r>
    </w:p>
    <w:p>
      <w:pPr>
        <w:spacing w:before="0" w:after="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1"/>
        </w:rPr>
        <w:t>An Empirically Audited Machine Learning and Stochastic Inventory Control Framework for Enterprise Replenishment Decision Support</w:t>
      </w:r>
    </w:p>
    <w:p>
      <w:pPr>
        <w:spacing w:before="0" w:after="16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18"/>
        </w:rPr>
        <w:t>Sashank P., Abhinay Sai, Poli Naidu, and Sushama Rani Dutta</w:t>
        <w:br/>
        <w:t>Department of Computer Science and Engineering, Koneru Lakshmaiah Education Foundation, Hyderabad, India</w:t>
      </w:r>
    </w:p>
    <w:p>
      <w:pPr>
        <w:spacing w:before="12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2"/>
        </w:rPr>
        <w:t>Appendix A: Extended Mathematical Derivations and Analytical Proofs</w:t>
      </w:r>
    </w:p>
    <w:p>
      <w:pPr>
        <w:spacing w:before="80" w:after="2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0"/>
        </w:rPr>
        <w:t>A.1 Proof of Jensen's Inequality Retransformation Deficit (Theorem 1)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Let Y be a non-negative continuous demand random variable with probability density function f_Y(y) on [0, ∞). Consider the concave transformation g(y) = ln(1 + y). By Jensen's Inequality for concave functions, for any non-degenerate distribution of Y:</w:t>
      </w:r>
    </w:p>
    <w:p>
      <w:pPr>
        <w:spacing w:before="40" w:after="40"/>
        <w:ind w:firstLine="0"/>
        <w:jc w:val="center"/>
      </w:pPr>
      <m:oMathPara>
        <m:oMath>
          <m:r>
            <m:rPr>
              <m:scr m:val="script"/>
            </m:rPr>
            <m:t>E</m:t>
          </m:r>
          <m:r>
            <m:t>[ln(1 + </m:t>
          </m:r>
          <m:r>
            <m:rPr>
              <m:sty m:val="p"/>
            </m:rPr>
            <m:t>Y</m:t>
          </m:r>
          <m:r>
            <m:t>)] &lt; ln(1 + </m:t>
          </m:r>
          <m:r>
            <m:rPr>
              <m:scr m:val="script"/>
            </m:rPr>
            <m:t>E</m:t>
          </m:r>
          <m:r>
            <m:t>[</m:t>
          </m:r>
          <m:r>
            <m:rPr>
              <m:sty m:val="p"/>
            </m:rPr>
            <m:t>Y</m:t>
          </m:r>
          <m:r>
            <m:t>])</m:t>
          </m:r>
        </m:oMath>
      </m:oMathPara>
    </w:p>
    <w:p>
      <w:pPr>
        <w:spacing w:before="0" w:after="40"/>
        <w:ind w:firstLine="36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When an estimator minimizes Mean Squared Error in logarithmic space, it converges to the conditional expectation of the transformed target: ẑ = E[ln(1 + Y) | X]. Applying naive exponential back-transformation yields ŷ_naive = exp(ẑ) - 1. Substituting Jensen's inequality establishes:</w:t>
      </w:r>
    </w:p>
    <w:p>
      <w:pPr>
        <w:spacing w:before="40" w:after="40"/>
        <w:ind w:firstLine="0"/>
        <w:jc w:val="center"/>
      </w:pPr>
      <m:oMathPara>
        <m:oMath>
          <m:sSub>
            <m:e>
              <m:r>
                <m:t>ŷ</m:t>
              </m:r>
            </m:e>
            <m:sub>
              <m:r>
                <m:t>naive</m:t>
              </m:r>
            </m:sub>
          </m:sSub>
          <m:r>
            <m:t> = exp(</m:t>
          </m:r>
          <m:r>
            <m:rPr>
              <m:scr m:val="script"/>
            </m:rPr>
            <m:t>E</m:t>
          </m:r>
          <m:r>
            <m:t>[ln(1 + </m:t>
          </m:r>
          <m:r>
            <m:rPr>
              <m:sty m:val="p"/>
            </m:rPr>
            <m:t>Y</m:t>
          </m:r>
          <m:r>
            <m:t>)]) - 1 &lt; exp(ln(1 + </m:t>
          </m:r>
          <m:r>
            <m:rPr>
              <m:scr m:val="script"/>
            </m:rPr>
            <m:t>E</m:t>
          </m:r>
          <m:r>
            <m:t>[</m:t>
          </m:r>
          <m:r>
            <m:rPr>
              <m:sty m:val="p"/>
            </m:rPr>
            <m:t>Y</m:t>
          </m:r>
          <m:r>
            <m:t>])) - 1 = </m:t>
          </m:r>
          <m:r>
            <m:rPr>
              <m:scr m:val="script"/>
            </m:rPr>
            <m:t>E</m:t>
          </m:r>
          <m:r>
            <m:t>[</m:t>
          </m:r>
          <m:r>
            <m:rPr>
              <m:sty m:val="p"/>
            </m:rPr>
            <m:t>Y</m:t>
          </m:r>
          <m:r>
            <m:t>]</m:t>
          </m:r>
        </m:oMath>
      </m:oMathPara>
    </w:p>
    <w:p>
      <w:pPr>
        <w:spacing w:before="0" w:after="40"/>
        <w:ind w:firstLine="36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The deficit Δ = E[Y] - ŷ_naive is strictly positive and scales monotonically with the conditional variance Var(ln(1+Y)). In zero-inflated retail datasets where variance is elevated, this deficit introduces persistent negative bias exceeding -50%, systematically starving downstream inventory replenishment buffers. Q.E.D.</w:t>
      </w:r>
    </w:p>
    <w:p>
      <w:pPr>
        <w:spacing w:before="80" w:after="2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0"/>
        </w:rPr>
        <w:t>A.2 Proof of Tweedie Zero-Gradient Divergence (Theorem 2)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The unit Tweedie deviance for power parameter p ∈ (1, 2) is defined as d(y, μ) = 2 · [ (y^(2-p))/((1-p)(2-p)) - (y μ^(1-p))/(1-p) + (μ^(2-p))/(2-p) ]. Evaluating at y = 0 simplifies to d(0, μ) = 2 μ^(2-p) / (2-p). Differentiating with respect to μ yields:</w:t>
      </w:r>
    </w:p>
    <w:p>
      <w:pPr>
        <w:spacing w:before="40" w:after="40"/>
        <w:ind w:firstLine="0"/>
        <w:jc w:val="center"/>
      </w:pPr>
      <m:oMathPara>
        <m:oMath>
          <m:f>
            <m:num>
              <m:r>
                <m:t>∂d(0, μ)</m:t>
              </m:r>
            </m:num>
            <m:den>
              <m:r>
                <m:t>∂μ</m:t>
              </m:r>
            </m:den>
          </m:f>
          <m:r>
            <m:t> = </m:t>
          </m:r>
          <m:f>
            <m:num>
              <m:r>
                <m:t>2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p - 1</m:t>
                  </m:r>
                </m:sup>
              </m:sSup>
            </m:den>
          </m:f>
        </m:oMath>
      </m:oMathPara>
    </w:p>
    <w:p>
      <w:pPr>
        <w:spacing w:before="0" w:after="40"/>
        <w:ind w:firstLine="36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For standard compound Poisson-Gamma modeling (p = 1.5), p - 1 = 0.5. Hence ∂d(0, μ)/∂μ = 2 / √μ. Taking the limit as positive predictions approach zero:</w:t>
      </w:r>
    </w:p>
    <w:p>
      <w:pPr>
        <w:spacing w:before="40" w:after="40"/>
        <w:ind w:firstLine="0"/>
        <w:jc w:val="center"/>
      </w:pPr>
      <m:oMathPara>
        <m:oMath>
          <m:sSub>
            <m:e>
              <m:r>
                <m:t>lim</m:t>
              </m:r>
            </m:e>
            <m:sub>
              <m:r>
                <m:t>μ→0+</m:t>
              </m:r>
            </m:sub>
          </m:sSub>
          <m:f>
            <m:num>
              <m:r>
                <m:t>∂d(0, μ)</m:t>
              </m:r>
            </m:num>
            <m:den>
              <m:r>
                <m:t>∂μ</m:t>
              </m:r>
            </m:den>
          </m:f>
          <m:r>
            <m:t> = </m:t>
          </m:r>
          <m:sSub>
            <m:e>
              <m:r>
                <m:t>lim</m:t>
              </m:r>
            </m:e>
            <m:sub>
              <m:r>
                <m:t>μ→0+</m:t>
              </m:r>
            </m:sub>
          </m:sSub>
          <m:f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den>
          </m:f>
          <m:r>
            <m:t> = +∞</m:t>
          </m:r>
        </m:oMath>
      </m:oMathPara>
    </w:p>
    <w:p>
      <w:pPr>
        <w:spacing w:before="0" w:after="40"/>
        <w:ind w:firstLine="36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Because gradient boosting steps move in the direction of negative gradient (-∂L/∂μ), this infinite positive derivative creates an overpowering negative force whenever actual demand is zero, driving the conditional mean below true retail requirements (-11.87% to -18.04% bias). Q.E.D.</w:t>
      </w:r>
    </w:p>
    <w:p>
      <w:pPr>
        <w:spacing w:before="80" w:after="2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0"/>
        </w:rPr>
        <w:t>A.3 Proof of Strict Boundedness of Trigg's Tracking Signal (Theorem 4)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Let {e_t} be an arbitrary sequence of forecast errors, smoothed error E_t = α_s e_t + (1 - α_s) E_{t-1}, and smoothed mean absolute deviation MAD_t = α_s |e_t| + (1 - α_s) MAD_{t-1} with smoothing parameter α_s ∈ (0, 1). Expanding recursively from t = 0 to t = n yields E_t = ∑_{k=0}^t α_s (1 - α_s)^k e_{t-k} and MAD_t = ∑_{k=0}^t α_s (1 - α_s)^k |e_{t-k}|. Applying the triangle inequality: |E_t| ≤ ∑_{k=0}^t α_s (1 - α_s)^k |e_{t-k}| = MAD_t. Dividing by MAD_t &gt; 0 establishes |TS_t| = |E_t| / MAD_t ≤ 1. Hence -1 ≤ TS_t ≤ 1 for all t. Q.E.D.</w:t>
      </w:r>
    </w:p>
    <w:p>
      <w:pPr>
        <w:spacing w:before="12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2"/>
        </w:rPr>
        <w:t>Appendix B: Preprocessing Protocols and Continuous Cartesian Panel Assembly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B.1 Online Retail Dataset Preprocessing: We filtered 9,288 cancelled invoices (InvoiceNo prefix 'C'), eliminated negative transaction quantities and zero unit prices, and aggregated line items by StockCode and calendar date. To eliminate the missing-date flaw identified in prior literature, we assembled a full Cartesian grid across 373 dates and the top SKUs, imputing 0.0 units on non-transaction days.</w:t>
      </w:r>
    </w:p>
    <w:p>
      <w:pPr>
        <w:spacing w:before="0" w:after="40"/>
        <w:ind w:firstLine="36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B.2 Elimination of Future Price Lookahead: Shelf prices were forward-filled strictly using chronological past values: Price_t = ffill(Price_t).fillna(0.0). Backward filling (bfill) was eliminated to prevent future promotional prices from leaking into pre-release periods.</w:t>
      </w:r>
    </w:p>
    <w:p>
      <w:pPr>
        <w:spacing w:before="12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2"/>
        </w:rPr>
        <w:t>Appendix C: Model Architecture and Hyperparameter Configuration</w:t>
      </w:r>
    </w:p>
    <w:p>
      <w:pPr>
        <w:spacing w:before="60" w:after="20"/>
        <w:ind w:firstLine="0"/>
      </w:pPr>
      <w:r>
        <w:rPr>
          <w:rFonts w:ascii="Times New Roman" w:hAnsi="Times New Roman"/>
          <w:b/>
          <w:color w:val="000000"/>
          <w:sz w:val="18"/>
        </w:rPr>
        <w:t>Table S1. Audited machine learning model hyperparameter specifications.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spacing w:line="240" w:lineRule="auto" w:before="20" w:after="20"/>
              <w:ind w:firstLine="0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Model Architecture</w:t>
            </w:r>
          </w:p>
        </w:tc>
        <w:tc>
          <w:tcPr>
            <w:tcW w:type="dxa" w:w="2016"/>
          </w:tcPr>
          <w:p>
            <w:pPr>
              <w:spacing w:line="240" w:lineRule="auto" w:before="20" w:after="20"/>
              <w:ind w:firstLine="0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Key Hyperparameters</w:t>
            </w:r>
          </w:p>
        </w:tc>
        <w:tc>
          <w:tcPr>
            <w:tcW w:type="dxa" w:w="2016"/>
          </w:tcPr>
          <w:p>
            <w:pPr>
              <w:spacing w:line="240" w:lineRule="auto" w:before="20" w:after="20"/>
              <w:ind w:firstLine="0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Loss Objective</w:t>
            </w:r>
          </w:p>
        </w:tc>
        <w:tc>
          <w:tcPr>
            <w:tcW w:type="dxa" w:w="2016"/>
          </w:tcPr>
          <w:p>
            <w:pPr>
              <w:spacing w:line="240" w:lineRule="auto" w:before="20" w:after="20"/>
              <w:ind w:firstLine="0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Stopping Criteria</w:t>
            </w:r>
          </w:p>
        </w:tc>
        <w:tc>
          <w:tcPr>
            <w:tcW w:type="dxa" w:w="2016"/>
          </w:tcPr>
          <w:p>
            <w:pPr>
              <w:spacing w:line="240" w:lineRule="auto" w:before="20" w:after="20"/>
              <w:ind w:firstLine="0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Regularization</w:t>
            </w:r>
          </w:p>
        </w:tc>
      </w:tr>
      <w:tr>
        <w:tc>
          <w:tcPr>
            <w:tcW w:type="dxa" w:w="2016"/>
          </w:tcPr>
          <w:p>
            <w:pPr>
              <w:spacing w:line="240" w:lineRule="auto" w:before="20" w:after="20"/>
              <w:ind w:firstLine="0"/>
            </w:pPr>
            <w:r>
              <w:rPr>
                <w:rFonts w:ascii="Times New Roman" w:hAnsi="Times New Roman"/>
                <w:color w:val="000000"/>
                <w:sz w:val="16"/>
              </w:rPr>
              <w:t>Random Forest</w:t>
            </w:r>
          </w:p>
        </w:tc>
        <w:tc>
          <w:tcPr>
            <w:tcW w:type="dxa" w:w="2016"/>
          </w:tcPr>
          <w:p>
            <w:pPr>
              <w:spacing w:line="240" w:lineRule="auto" w:before="20" w:after="20"/>
              <w:ind w:firstLine="0"/>
            </w:pPr>
            <w:r>
              <w:rPr>
                <w:rFonts w:ascii="Times New Roman" w:hAnsi="Times New Roman"/>
                <w:color w:val="000000"/>
                <w:sz w:val="16"/>
              </w:rPr>
              <w:t>n_estimators=100, max_depth=12, min_samples_leaf=3</w:t>
            </w:r>
          </w:p>
        </w:tc>
        <w:tc>
          <w:tcPr>
            <w:tcW w:type="dxa" w:w="2016"/>
          </w:tcPr>
          <w:p>
            <w:pPr>
              <w:spacing w:line="240" w:lineRule="auto" w:before="20" w:after="20"/>
              <w:ind w:firstLine="0"/>
            </w:pPr>
            <w:r>
              <w:rPr>
                <w:rFonts w:ascii="Times New Roman" w:hAnsi="Times New Roman"/>
                <w:color w:val="000000"/>
                <w:sz w:val="16"/>
              </w:rPr>
              <w:t>MSE (Variance Reduction)</w:t>
            </w:r>
          </w:p>
        </w:tc>
        <w:tc>
          <w:tcPr>
            <w:tcW w:type="dxa" w:w="2016"/>
          </w:tcPr>
          <w:p>
            <w:pPr>
              <w:spacing w:line="240" w:lineRule="auto" w:before="20" w:after="20"/>
              <w:ind w:firstLine="0"/>
            </w:pPr>
            <w:r>
              <w:rPr>
                <w:rFonts w:ascii="Times New Roman" w:hAnsi="Times New Roman"/>
                <w:color w:val="000000"/>
                <w:sz w:val="16"/>
              </w:rPr>
              <w:t>Full Tree Ensemble</w:t>
            </w:r>
          </w:p>
        </w:tc>
        <w:tc>
          <w:tcPr>
            <w:tcW w:type="dxa" w:w="2016"/>
          </w:tcPr>
          <w:p>
            <w:pPr>
              <w:spacing w:line="240" w:lineRule="auto" w:before="20" w:after="20"/>
              <w:ind w:firstLine="0"/>
            </w:pPr>
            <w:r>
              <w:rPr>
                <w:rFonts w:ascii="Times New Roman" w:hAnsi="Times New Roman"/>
                <w:color w:val="000000"/>
                <w:sz w:val="16"/>
              </w:rPr>
              <w:t>Feature sub-sampling (sqrt)</w:t>
            </w:r>
          </w:p>
        </w:tc>
      </w:tr>
      <w:tr>
        <w:tc>
          <w:tcPr>
            <w:tcW w:type="dxa" w:w="2016"/>
          </w:tcPr>
          <w:p>
            <w:pPr>
              <w:spacing w:line="240" w:lineRule="auto" w:before="20" w:after="20"/>
              <w:ind w:firstLine="0"/>
            </w:pPr>
            <w:r>
              <w:rPr>
                <w:rFonts w:ascii="Times New Roman" w:hAnsi="Times New Roman"/>
                <w:color w:val="000000"/>
                <w:sz w:val="16"/>
              </w:rPr>
              <w:t>LightGBM MSE</w:t>
            </w:r>
          </w:p>
        </w:tc>
        <w:tc>
          <w:tcPr>
            <w:tcW w:type="dxa" w:w="2016"/>
          </w:tcPr>
          <w:p>
            <w:pPr>
              <w:spacing w:line="240" w:lineRule="auto" w:before="20" w:after="20"/>
              <w:ind w:firstLine="0"/>
            </w:pPr>
            <w:r>
              <w:rPr>
                <w:rFonts w:ascii="Times New Roman" w:hAnsi="Times New Roman"/>
                <w:color w:val="000000"/>
                <w:sz w:val="16"/>
              </w:rPr>
              <w:t>n_estimators=150, lr=0.03, max_depth=6, num_leaves=31</w:t>
            </w:r>
          </w:p>
        </w:tc>
        <w:tc>
          <w:tcPr>
            <w:tcW w:type="dxa" w:w="2016"/>
          </w:tcPr>
          <w:p>
            <w:pPr>
              <w:spacing w:line="240" w:lineRule="auto" w:before="20" w:after="20"/>
              <w:ind w:firstLine="0"/>
            </w:pPr>
            <w:r>
              <w:rPr>
                <w:rFonts w:ascii="Times New Roman" w:hAnsi="Times New Roman"/>
                <w:color w:val="000000"/>
                <w:sz w:val="16"/>
              </w:rPr>
              <w:t>L2 Regression</w:t>
            </w:r>
          </w:p>
        </w:tc>
        <w:tc>
          <w:tcPr>
            <w:tcW w:type="dxa" w:w="2016"/>
          </w:tcPr>
          <w:p>
            <w:pPr>
              <w:spacing w:line="240" w:lineRule="auto" w:before="20" w:after="20"/>
              <w:ind w:firstLine="0"/>
            </w:pPr>
            <w:r>
              <w:rPr>
                <w:rFonts w:ascii="Times New Roman" w:hAnsi="Times New Roman"/>
                <w:color w:val="000000"/>
                <w:sz w:val="16"/>
              </w:rPr>
              <w:t>Early stopping (20 rounds)</w:t>
            </w:r>
          </w:p>
        </w:tc>
        <w:tc>
          <w:tcPr>
            <w:tcW w:type="dxa" w:w="2016"/>
          </w:tcPr>
          <w:p>
            <w:pPr>
              <w:spacing w:line="240" w:lineRule="auto" w:before="20" w:after="20"/>
              <w:ind w:firstLine="0"/>
            </w:pPr>
            <w:r>
              <w:rPr>
                <w:rFonts w:ascii="Times New Roman" w:hAnsi="Times New Roman"/>
                <w:color w:val="000000"/>
                <w:sz w:val="16"/>
              </w:rPr>
              <w:t>L1=0.05, L2=0.10</w:t>
            </w:r>
          </w:p>
        </w:tc>
      </w:tr>
      <w:tr>
        <w:tc>
          <w:tcPr>
            <w:tcW w:type="dxa" w:w="2016"/>
          </w:tcPr>
          <w:p>
            <w:pPr>
              <w:spacing w:line="240" w:lineRule="auto" w:before="20" w:after="20"/>
              <w:ind w:firstLine="0"/>
            </w:pPr>
            <w:r>
              <w:rPr>
                <w:rFonts w:ascii="Times New Roman" w:hAnsi="Times New Roman"/>
                <w:color w:val="000000"/>
                <w:sz w:val="16"/>
              </w:rPr>
              <w:t>XGBoost MSE</w:t>
            </w:r>
          </w:p>
        </w:tc>
        <w:tc>
          <w:tcPr>
            <w:tcW w:type="dxa" w:w="2016"/>
          </w:tcPr>
          <w:p>
            <w:pPr>
              <w:spacing w:line="240" w:lineRule="auto" w:before="20" w:after="20"/>
              <w:ind w:firstLine="0"/>
            </w:pPr>
            <w:r>
              <w:rPr>
                <w:rFonts w:ascii="Times New Roman" w:hAnsi="Times New Roman"/>
                <w:color w:val="000000"/>
                <w:sz w:val="16"/>
              </w:rPr>
              <w:t>n_estimators=150, lr=0.03, max_depth=6, subsample=0.8</w:t>
            </w:r>
          </w:p>
        </w:tc>
        <w:tc>
          <w:tcPr>
            <w:tcW w:type="dxa" w:w="2016"/>
          </w:tcPr>
          <w:p>
            <w:pPr>
              <w:spacing w:line="240" w:lineRule="auto" w:before="20" w:after="20"/>
              <w:ind w:firstLine="0"/>
            </w:pPr>
            <w:r>
              <w:rPr>
                <w:rFonts w:ascii="Times New Roman" w:hAnsi="Times New Roman"/>
                <w:color w:val="000000"/>
                <w:sz w:val="16"/>
              </w:rPr>
              <w:t>reg:squarederror</w:t>
            </w:r>
          </w:p>
        </w:tc>
        <w:tc>
          <w:tcPr>
            <w:tcW w:type="dxa" w:w="2016"/>
          </w:tcPr>
          <w:p>
            <w:pPr>
              <w:spacing w:line="240" w:lineRule="auto" w:before="20" w:after="20"/>
              <w:ind w:firstLine="0"/>
            </w:pPr>
            <w:r>
              <w:rPr>
                <w:rFonts w:ascii="Times New Roman" w:hAnsi="Times New Roman"/>
                <w:color w:val="000000"/>
                <w:sz w:val="16"/>
              </w:rPr>
              <w:t>Early stopping (20 rounds)</w:t>
            </w:r>
          </w:p>
        </w:tc>
        <w:tc>
          <w:tcPr>
            <w:tcW w:type="dxa" w:w="2016"/>
          </w:tcPr>
          <w:p>
            <w:pPr>
              <w:spacing w:line="240" w:lineRule="auto" w:before="20" w:after="20"/>
              <w:ind w:firstLine="0"/>
            </w:pPr>
            <w:r>
              <w:rPr>
                <w:rFonts w:ascii="Times New Roman" w:hAnsi="Times New Roman"/>
                <w:color w:val="000000"/>
                <w:sz w:val="16"/>
              </w:rPr>
              <w:t>alpha=0.05, lambda=0.10</w:t>
            </w:r>
          </w:p>
        </w:tc>
      </w:tr>
      <w:tr>
        <w:tc>
          <w:tcPr>
            <w:tcW w:type="dxa" w:w="2016"/>
          </w:tcPr>
          <w:p>
            <w:pPr>
              <w:spacing w:line="240" w:lineRule="auto" w:before="20" w:after="20"/>
              <w:ind w:firstLine="0"/>
            </w:pPr>
            <w:r>
              <w:rPr>
                <w:rFonts w:ascii="Times New Roman" w:hAnsi="Times New Roman"/>
                <w:color w:val="000000"/>
                <w:sz w:val="16"/>
              </w:rPr>
              <w:t>LightGBM Tweedie</w:t>
            </w:r>
          </w:p>
        </w:tc>
        <w:tc>
          <w:tcPr>
            <w:tcW w:type="dxa" w:w="2016"/>
          </w:tcPr>
          <w:p>
            <w:pPr>
              <w:spacing w:line="240" w:lineRule="auto" w:before="20" w:after="20"/>
              <w:ind w:firstLine="0"/>
            </w:pPr>
            <w:r>
              <w:rPr>
                <w:rFonts w:ascii="Times New Roman" w:hAnsi="Times New Roman"/>
                <w:color w:val="000000"/>
                <w:sz w:val="16"/>
              </w:rPr>
              <w:t>n_estimators=150, lr=0.03, tweedie_variance_power=1.5</w:t>
            </w:r>
          </w:p>
        </w:tc>
        <w:tc>
          <w:tcPr>
            <w:tcW w:type="dxa" w:w="2016"/>
          </w:tcPr>
          <w:p>
            <w:pPr>
              <w:spacing w:line="240" w:lineRule="auto" w:before="20" w:after="20"/>
              <w:ind w:firstLine="0"/>
            </w:pPr>
            <w:r>
              <w:rPr>
                <w:rFonts w:ascii="Times New Roman" w:hAnsi="Times New Roman"/>
                <w:color w:val="000000"/>
                <w:sz w:val="16"/>
              </w:rPr>
              <w:t>tweedie deviance</w:t>
            </w:r>
          </w:p>
        </w:tc>
        <w:tc>
          <w:tcPr>
            <w:tcW w:type="dxa" w:w="2016"/>
          </w:tcPr>
          <w:p>
            <w:pPr>
              <w:spacing w:line="240" w:lineRule="auto" w:before="20" w:after="20"/>
              <w:ind w:firstLine="0"/>
            </w:pPr>
            <w:r>
              <w:rPr>
                <w:rFonts w:ascii="Times New Roman" w:hAnsi="Times New Roman"/>
                <w:color w:val="000000"/>
                <w:sz w:val="16"/>
              </w:rPr>
              <w:t>Early stopping (20 rounds)</w:t>
            </w:r>
          </w:p>
        </w:tc>
        <w:tc>
          <w:tcPr>
            <w:tcW w:type="dxa" w:w="2016"/>
          </w:tcPr>
          <w:p>
            <w:pPr>
              <w:spacing w:line="240" w:lineRule="auto" w:before="20" w:after="20"/>
              <w:ind w:firstLine="0"/>
            </w:pPr>
            <w:r>
              <w:rPr>
                <w:rFonts w:ascii="Times New Roman" w:hAnsi="Times New Roman"/>
                <w:color w:val="000000"/>
                <w:sz w:val="16"/>
              </w:rPr>
              <w:t>L1=0.05, L2=0.10</w:t>
            </w:r>
          </w:p>
        </w:tc>
      </w:tr>
      <w:tr>
        <w:tc>
          <w:tcPr>
            <w:tcW w:type="dxa" w:w="2016"/>
          </w:tcPr>
          <w:p>
            <w:pPr>
              <w:spacing w:line="240" w:lineRule="auto" w:before="20" w:after="20"/>
              <w:ind w:firstLine="0"/>
            </w:pPr>
            <w:r>
              <w:rPr>
                <w:rFonts w:ascii="Times New Roman" w:hAnsi="Times New Roman"/>
                <w:color w:val="000000"/>
                <w:sz w:val="16"/>
              </w:rPr>
              <w:t>Calibrated LGB Surge</w:t>
            </w:r>
          </w:p>
        </w:tc>
        <w:tc>
          <w:tcPr>
            <w:tcW w:type="dxa" w:w="2016"/>
          </w:tcPr>
          <w:p>
            <w:pPr>
              <w:spacing w:line="240" w:lineRule="auto" w:before="20" w:after="20"/>
              <w:ind w:firstLine="0"/>
            </w:pPr>
            <w:r>
              <w:rPr>
                <w:rFonts w:ascii="Times New Roman" w:hAnsi="Times New Roman"/>
                <w:color w:val="000000"/>
                <w:sz w:val="16"/>
              </w:rPr>
              <w:t>n_estimators=100, max_depth=5, lr=0.05, isotonic=True</w:t>
            </w:r>
          </w:p>
        </w:tc>
        <w:tc>
          <w:tcPr>
            <w:tcW w:type="dxa" w:w="2016"/>
          </w:tcPr>
          <w:p>
            <w:pPr>
              <w:spacing w:line="240" w:lineRule="auto" w:before="20" w:after="20"/>
              <w:ind w:firstLine="0"/>
            </w:pPr>
            <w:r>
              <w:rPr>
                <w:rFonts w:ascii="Times New Roman" w:hAnsi="Times New Roman"/>
                <w:color w:val="000000"/>
                <w:sz w:val="16"/>
              </w:rPr>
              <w:t>binary:logistic + Platt</w:t>
            </w:r>
          </w:p>
        </w:tc>
        <w:tc>
          <w:tcPr>
            <w:tcW w:type="dxa" w:w="2016"/>
          </w:tcPr>
          <w:p>
            <w:pPr>
              <w:spacing w:line="240" w:lineRule="auto" w:before="20" w:after="20"/>
              <w:ind w:firstLine="0"/>
            </w:pPr>
            <w:r>
              <w:rPr>
                <w:rFonts w:ascii="Times New Roman" w:hAnsi="Times New Roman"/>
                <w:color w:val="000000"/>
                <w:sz w:val="16"/>
              </w:rPr>
              <w:t>Early stopping (15 rounds)</w:t>
            </w:r>
          </w:p>
        </w:tc>
        <w:tc>
          <w:tcPr>
            <w:tcW w:type="dxa" w:w="2016"/>
          </w:tcPr>
          <w:p>
            <w:pPr>
              <w:spacing w:line="240" w:lineRule="auto" w:before="20" w:after="20"/>
              <w:ind w:firstLine="0"/>
            </w:pPr>
            <w:r>
              <w:rPr>
                <w:rFonts w:ascii="Times New Roman" w:hAnsi="Times New Roman"/>
                <w:color w:val="000000"/>
                <w:sz w:val="16"/>
              </w:rPr>
              <w:t>Platt Sigmoid Calibration</w:t>
            </w:r>
          </w:p>
        </w:tc>
      </w:tr>
    </w:tbl>
    <w:p>
      <w:pPr>
        <w:spacing w:before="12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2"/>
        </w:rPr>
        <w:t>Appendix D: Computational Environment and Automated Test Suite</w:t>
      </w:r>
    </w:p>
    <w:p>
      <w:pPr>
        <w:spacing w:before="0" w:after="4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All models, walk-forward validation routines, inventory simulations, and statistical tracking signals were implemented in Python 3.10+ using scikit-learn 1.4+, LightGBM 4.3+, XGBoost 2.0+, NumPy 1.26+, and pandas 2.2+. Full automated verification executes across 11 modular test suites (90 unit and regression tests) in 21.76 seconds, confirming complete absence of data leakage, parameter stability, and mathematical correctness.</w:t>
      </w:r>
    </w:p>
    <w:p>
      <w:r>
        <w:rPr>
          <w:rFonts w:ascii="Times New Roman" w:hAnsi="Times New Roman"/>
          <w:b/>
        </w:rPr>
        <w:t>Appendix C: Extended Sensitivity and Stress-Testing Analyses</w:t>
      </w:r>
    </w:p>
    <w:p>
      <w:r>
        <w:rPr>
          <w:rFonts w:ascii="Times New Roman" w:hAnsi="Times New Roman"/>
        </w:rPr>
        <w:t>To rigorously evaluate the robust operational limits of our proposed decision support framework, we conducted extensive sensitivity analyses across two critical supply chain risk dimensions: (a) asymmetric penalty ratio escalation where the unit stockout cost to inventory holding cost ratio p / h ranges from 2 to 50, and (b) supplier lead-time stochasticity where lead-time standard deviation \sigma_L varies between 0.1 and 3.0 days.</w:t>
      </w:r>
    </w:p>
    <w:p>
      <w:r>
        <w:rPr>
          <w:rFonts w:ascii="Times New Roman" w:hAnsi="Times New Roman"/>
        </w:rPr>
        <w:t>As demonstrated in Figure S1, unconstrained statistical minimization policies (Policy B) suffer from catastrophic linear cost inflation under increasing penalty ratios due to their persistent negative bias (-18.37%), which triggers frequent stockout events. In contrast, our proposed Tri-Criterion Safeguard (Policy C) and Dynamic Eve's Law Buffer Control (Policy D) maintain flat, optimized cost curves across the entire penalty spectrum. Furthermore, evaluating lead-time standard deviation reveals that traditional buffer formulas assuming deterministic lead times create a buffer deficit exceeding 60% as \sigma_L grows, leaving enterprise supply chains highly vulnerable to stockouts. Applying Eve's Law correctly accounts for compound variance \sigma_{LTD}^2 = L \sigma_D^2 + \mu_D^2 \sigma_L^2, preserving customer service levels.</w:t>
      </w:r>
    </w:p>
    <w:p>
      <w:r>
        <w:drawing>
          <wp:inline xmlns:a="http://schemas.openxmlformats.org/drawingml/2006/main" xmlns:pic="http://schemas.openxmlformats.org/drawingml/2006/picture">
            <wp:extent cx="5669280" cy="19985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sensitivity_analys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98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/>
          <w:i/>
        </w:rPr>
        <w:t>Figure S1. (a) Replenishment policy operating costs across escalating penalty ratios (p / h); (b) Required buffer quantity and stockout vulnerability under increasing lead-time standard deviation \sigma_L.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  <w:pgBorders>
        <w:top w:val="single" w:sz="6" w:space="20" w:color="000000"/>
        <w:left w:val="single" w:sz="6" w:space="20" w:color="000000"/>
        <w:bottom w:val="single" w:sz="6" w:space="20" w:color="000000"/>
        <w:right w:val="single" w:sz="6" w:space="20" w:color="000000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2" w:lineRule="auto" w:after="40"/>
    </w:pPr>
    <w:rPr>
      <w:rFonts w:ascii="Times New Roman" w:hAnsi="Times New Roman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