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Georgia" w:hAnsi="Georgia"/>
          <w:b/>
          <w:color w:val="102C57"/>
          <w:sz w:val="40"/>
        </w:rPr>
        <w:t>Machine Learning Inventory Decision Support System:</w:t>
        <w:br/>
        <w:t>Production-Grade Demand Forecasting and Stochastic Replenishment Control</w:t>
      </w:r>
    </w:p>
    <w:p>
      <w:pPr>
        <w:spacing w:after="80"/>
        <w:jc w:val="center"/>
      </w:pPr>
      <w:r>
        <w:rPr>
          <w:i/>
          <w:color w:val="35598F"/>
          <w:sz w:val="22"/>
        </w:rPr>
        <w:t>An Audited Empirical Investigation into GBDT Ensembles, Objective Function Mismatch, and Inventory-Operational Risk Across Heterogeneous Retail Streams</w:t>
      </w:r>
    </w:p>
    <w:p>
      <w:pPr>
        <w:spacing w:after="360"/>
        <w:jc w:val="center"/>
      </w:pPr>
      <w:r>
        <w:rPr>
          <w:color w:val="64748B"/>
          <w:sz w:val="19"/>
        </w:rPr>
        <w:t>Research Technical Report &amp; Academic Paper | Machine Learning &amp; Supply Chain Analytics</w:t>
      </w:r>
    </w:p>
    <w:p>
      <w:pPr>
        <w:pStyle w:val="Heading1"/>
        <w:spacing w:before="240" w:after="120"/>
      </w:pPr>
      <w:r>
        <w:rPr>
          <w:color w:val="102C57"/>
          <w:sz w:val="28"/>
        </w:rPr>
        <w:t>1. Workflow Implementation, Foundational References, and Abstract</w:t>
      </w:r>
    </w:p>
    <w:p>
      <w:r>
        <w:t>The implemented system executes an end-to-end multi-tier pipeline spanning raw multi-paradigm retail ingestion, leak-free feature extraction, ensemble model training, residual bias auditing, and stochastic inventory policy derivation.</w:t>
      </w:r>
    </w:p>
    <w:p>
      <w:pPr>
        <w:spacing w:before="120" w:after="40"/>
        <w:jc w:val="center"/>
      </w:pPr>
    </w:p>
    <w:p>
      <w:r>
        <w:drawing>
          <wp:inline xmlns:a="http://schemas.openxmlformats.org/drawingml/2006/main" xmlns:pic="http://schemas.openxmlformats.org/drawingml/2006/picture">
            <wp:extent cx="5760720" cy="2102648"/>
            <wp:docPr id="1" name="Picture 1"/>
            <wp:cNvGraphicFramePr>
              <a:graphicFrameLocks noChangeAspect="1"/>
            </wp:cNvGraphicFramePr>
            <a:graphic>
              <a:graphicData uri="http://schemas.openxmlformats.org/drawingml/2006/picture">
                <pic:pic>
                  <pic:nvPicPr>
                    <pic:cNvPr id="0" name="fig1_methodology.png"/>
                    <pic:cNvPicPr/>
                  </pic:nvPicPr>
                  <pic:blipFill>
                    <a:blip r:embed="rId9"/>
                    <a:stretch>
                      <a:fillRect/>
                    </a:stretch>
                  </pic:blipFill>
                  <pic:spPr>
                    <a:xfrm>
                      <a:off x="0" y="0"/>
                      <a:ext cx="5760720" cy="2102648"/>
                    </a:xfrm>
                    <a:prstGeom prst="rect"/>
                  </pic:spPr>
                </pic:pic>
              </a:graphicData>
            </a:graphic>
          </wp:inline>
        </w:drawing>
      </w:r>
    </w:p>
    <w:p>
      <w:pPr>
        <w:spacing w:after="200"/>
        <w:jc w:val="center"/>
      </w:pPr>
      <w:r>
        <w:rPr>
          <w:b/>
          <w:color w:val="35598F"/>
          <w:sz w:val="18"/>
        </w:rPr>
        <w:t>Figure 1: Complete 10-Stage Technical Architecture and End-to-End Workflow Diagram.</w:t>
      </w:r>
    </w:p>
    <w:p>
      <w:pPr>
        <w:pStyle w:val="Heading2"/>
      </w:pPr>
      <w:r>
        <w:rPr>
          <w:color w:val="35598F"/>
          <w:sz w:val="24"/>
        </w:rPr>
        <w:t>Five Foundational Benchmark Papers</w:t>
      </w:r>
    </w:p>
    <w:p>
      <w:r>
        <w:t>The theoretical framework and model implementations are grounded in five foundational contributions in machine learning and supply chain operations:</w:t>
      </w:r>
    </w:p>
    <w:p>
      <w:pPr>
        <w:spacing w:after="60"/>
      </w:pPr>
      <w:r>
        <w:rPr>
          <w:b/>
        </w:rPr>
        <w:t xml:space="preserve">1. Chen, Tianqi, and Carlos Guestrin (2016) — </w:t>
      </w:r>
      <w:r>
        <w:t>XGBoost: A Scalable Tree Boosting System (ACM SIGKDD 2016). Establishes formal second-order gradient boosted decision tree optimization, sparsity-aware split finding, and tree pruning formulations.</w:t>
      </w:r>
    </w:p>
    <w:p>
      <w:pPr>
        <w:spacing w:after="60"/>
      </w:pPr>
      <w:r>
        <w:rPr>
          <w:b/>
        </w:rPr>
        <w:t xml:space="preserve">2. Ke, Guolin, et al. (2017) — </w:t>
      </w:r>
      <w:r>
        <w:t>LightGBM: A Highly Efficient Gradient Boosting Decision Tree (NeurIPS 2017). Introduces Gradient-based One-Side Sampling (GOSS) and Exclusive Feature Bundling (EFB) for ultra-fast, memory-efficient histogram-based boosting.</w:t>
      </w:r>
    </w:p>
    <w:p>
      <w:pPr>
        <w:spacing w:after="60"/>
      </w:pPr>
      <w:r>
        <w:rPr>
          <w:b/>
        </w:rPr>
        <w:t xml:space="preserve">3. Breiman, Leo (2001) — </w:t>
      </w:r>
      <w:r>
        <w:t>Random Forests (Machine Learning). Establishes the mathematical theory of bagging ensembling, out-of-bag error estimation, and extreme variance reduction on noisy, high-dimensional datasets.</w:t>
      </w:r>
    </w:p>
    <w:p>
      <w:pPr>
        <w:spacing w:after="60"/>
      </w:pPr>
      <w:r>
        <w:rPr>
          <w:b/>
        </w:rPr>
        <w:t xml:space="preserve">4. Makridakis, Spyros, Evangelos Spiliotis, and Vassilios Assimakopoulos (2022) — </w:t>
      </w:r>
      <w:r>
        <w:t>The M5 Accuracy Competition: Results, Findings, and Enterprise Implications (International Journal of Forecasting). Demonstrates that machine learning ensembles decisively dominate classical statistical methods across 42,840 retail hierarchical time series.</w:t>
      </w:r>
    </w:p>
    <w:p>
      <w:pPr>
        <w:spacing w:after="60"/>
      </w:pPr>
      <w:r>
        <w:rPr>
          <w:b/>
        </w:rPr>
        <w:t xml:space="preserve">5. Silver, Edward A., David F. Pyke, and Rein Peterson (1998) — </w:t>
      </w:r>
      <w:r>
        <w:t>Inventory Management and Production Planning and Scheduling (3rd ed., John Wiley &amp; Sons). Establishes canonical continuous-review (s, Q) policies, lead-time demand convolution, safety stock buffer derivation, and Economic Order Quantity (EOQ) dynamics.</w:t>
      </w:r>
    </w:p>
    <w:p>
      <w:pPr>
        <w:pStyle w:val="Heading2"/>
      </w:pPr>
      <w:r>
        <w:rPr>
          <w:color w:val="35598F"/>
          <w:sz w:val="24"/>
        </w:rPr>
        <w:t>Abstract</w:t>
      </w:r>
    </w:p>
    <w:p>
      <w:pPr>
        <w:spacing w:after="280"/>
        <w:ind w:left="576" w:right="576"/>
      </w:pPr>
      <w:r>
        <w:rPr>
          <w:i/>
        </w:rPr>
        <w:t>Efficient inventory management requires accurate demand forecasting and robust operational safeguards against stockouts and excess holding costs. This paper presents a production-grade, empirically audited Machine Learning Inventory Decision Support System deployed across three heterogeneous commercial environments: Walmart weekly store sales (macro aggregate trend), Online Retail daily transactions (intermittent wholesale demand), and M5 Grocery sales (zero-inflated intermittent food retail with 63.28% zeros). We implement leak-free feature engineering and benchmark Random Forest, XGBoost, and LightGBM against classical baselines under rigorous chronological time splits. A critical finding of our empirical audit is the divergence between statistical point accuracy and operational inventory viability. In Online Retail, LightGBM Standard MSE achieves an audited 26.58% RMSE reduction over Naive (falling from 75.03 to 55.09) with a well-balanced +3.92% percentage bias, whereas Log1p XGBoost introduces an extreme -43.14% negative bias that triggers chronic inventory starvation. Similarly, in M5 zero-inflated sales, XGBoost Tweedie achieves the lowest statistical MAE (0.9146) but suffers a severe -21.01% under-forecasting bias. Consequently, Random Forest (RMSE 2.2591, bias -3.03%) is selected as the operational inventory model. We integrate forecast distributions directly into stochastic continuous-review (s, Q) control policies, dynamically sizing Safety Stock (SS), Reorder Points (ROP), and Economic Order Quantities (EOQ) with automated Trigg's tracking signal surveillance.</w:t>
      </w:r>
    </w:p>
    <w:p>
      <w:pPr>
        <w:pStyle w:val="Heading1"/>
        <w:spacing w:before="200" w:after="80"/>
      </w:pPr>
      <w:r>
        <w:rPr>
          <w:color w:val="102C57"/>
          <w:sz w:val="28"/>
        </w:rPr>
        <w:t>2. Introduction</w:t>
      </w:r>
    </w:p>
    <w:p>
      <w:pPr>
        <w:spacing w:after="280"/>
      </w:pPr>
      <w:r>
        <w:t>Modern supply chains struggle with the structural tension between costly stockout penalties and excessive working capital tie-up. Conventional inventory replenishment systems rely predominantly on univariate classical models such as exponential smoothing and autoregressive integrated moving averages. While mathematically straightforward, these methods fail to capture multi-scale temporal dependencies, holiday fluctuations, promotional pricing dynamics, and cross-series demand cannibalization. Machine learning algorithms, particularly gradient boosted decision trees and bagging random forests, offer superior capacity to model non-linear demand drivers across heterogeneous retail environments. However, standard machine learning forecasting deployments optimize purely for statistical error metrics, disconnecting predictive loss minimization from operational replenishment buffers. Furthermore, asymmetric forecasting bias introduces severe structural risks: negative bias induces chronic inventory deprivation, while positive bias drives unsustainable holding costs. This paper presents a leak-free, empirically audited decision-support framework that bridges gradient-boosted demand forecasting with stochastic continuous-review inventory control across diverse retail operational paradigms.</w:t>
      </w:r>
    </w:p>
    <w:p>
      <w:pPr>
        <w:pStyle w:val="Heading1"/>
        <w:spacing w:before="200" w:after="80"/>
      </w:pPr>
      <w:r>
        <w:rPr>
          <w:color w:val="102C57"/>
          <w:sz w:val="28"/>
        </w:rPr>
        <w:t>3. Literature Survey</w:t>
      </w:r>
    </w:p>
    <w:p>
      <w:r>
        <w:t>The evolution of demand forecasting in supply chain operations has transitioned rapidly from univariate statistical methods to non-linear tree-based ensembles and neural architectures. Silver, Pyke, and Peterson established the foundational principles of stochastic continuous-review inventory control, proving that safety stock sizing is fundamentally governed by the variance and bias of forecast errors over replenishment lead times. However, classical inventory formulations assume normally distributed demand, an assumption that Fildes, Ma, and Kolassa demonstrate fails systematically across modern multi-echelon retail environments characterized by price volatility, promotional events, and non-stationary seasonality. To capture high-dimensional non-linear interactions without feature scale distortion, Breiman introduced Random Forests, demonstrating that aggregating decorrelated decision trees dramatically shrinks prediction variance. Chen and Guestrin further revolutionized industrial machine learning with XGBoost, utilizing exact second-order Taylor expansions of the loss function and regularized tree architectures to prevent overfitting. Subsequently, Ke et al. developed LightGBM, introducing histogram-based gradient binning and exclusive feature bundling, enabling scalable training across millions of transaction records.</w:t>
      </w:r>
    </w:p>
    <w:p>
      <w:r>
        <w:t>In the landmark M5 competition across 42,840 retail series, Makridakis, Spiliotis, and Assimakopoulos confirmed that machine learning ensembles decisively outperform classical statistical benchmarks like ARIMA and exponential smoothing, with gradient boosted trees achieving superior point accuracy across hierarchical aggregations. Nevertheless, the operational deployment of machine learning in inventory management reveals profound disconnects. Syntetos et al. emphasized that minimizing standard statistical error metrics such as Mean Squared Error (MSE) does not necessarily translate into minimized supply chain operating costs or optimal fill rates. Babai, Ali, and Boylan investigated intermittent demand distributions, showing that conventional mean-oriented point forecasts systematically underestimate peak lumpy orders or inflate safety stocks. Kolassa argued that standard symmetric metrics fail to penalize asymmetric business risks, advocating for quantile-aligned loss functions and empirical error distribution tracking. Januschowski et al. reviewed best practices across large-scale industrial forecasting deployments, emphasizing that data integrity, strictly leak-free chronological partitioning, and residual bias auditing are vastly more critical than algorithmic complexity.</w:t>
      </w:r>
    </w:p>
    <w:p>
      <w:r>
        <w:t>Recent deep learning architectures, such as DeepAR (Salinas et al.) and Temporal Fusion Transformers (Lim et al.), offer probabilistic forecasting capabilities, yet tree-based boosting methods maintain distinct advantages in tabular retail operations due to their computational efficiency, natural handling of missing categorical levels, and interpretability. Regarding intermittent and zero-inflated demand, Kourentzes demonstrated that neural and tree models can capture intermittent profiles but risk negative forecast drift if loss objectives are mismatched. Snyder, Koehler, and Ord formalized the lead-time demand convolution for non-stationary processes, proving that persistent residual bias causes systemic stockout compounding across continuous-review policies. Furthermore, Spiliotis et al. demonstrated that cross-temporal aggregation and bagging ensembles mitigate extreme forecast volatility across fast-moving consumer goods. Building upon these foundational and recent insights, our work bridges gradient boosted decision tree ensembles with stochastic inventory theory under an explicit operational bias safeguard.</w:t>
      </w:r>
    </w:p>
    <w:p>
      <w:pPr>
        <w:pStyle w:val="Heading1"/>
        <w:spacing w:before="200" w:after="80"/>
      </w:pPr>
      <w:r>
        <w:rPr>
          <w:color w:val="102C57"/>
          <w:sz w:val="28"/>
        </w:rPr>
        <w:t>4. Proposed Architecture and Methodology</w:t>
      </w:r>
    </w:p>
    <w:p>
      <w:pPr>
        <w:spacing w:after="200"/>
      </w:pPr>
      <w:r>
        <w:t>The proposed architecture integrates a four-tier pipeline coupling machine learning forecasting with inventory optimization. Tier 1 executes leak-free feature engineering, deriving strictly backwards-looking calendar encodings, rolling momentum statistics, and chronological forward-filled prices across chronological splits. Tier 2 trains an ensemble suite comprising Random Forest, XGBoost, and LightGBM with MSE and specialized Tweedie objective functions. Tier 3 evaluates predictions through a tri-criterion framework: MAE as primary forecast metric, RMSE as secondary stability metric, and residual bias as an operational safeguard. Tier 4 translates validated forecasts into stochastic continuous-review parameters, dynamically calculating safety stock, reorder points, and economic order quantities.</w:t>
      </w:r>
    </w:p>
    <w:p>
      <w:pPr>
        <w:jc w:val="center"/>
      </w:pPr>
    </w:p>
    <w:p>
      <w:r>
        <w:drawing>
          <wp:inline xmlns:a="http://schemas.openxmlformats.org/drawingml/2006/main" xmlns:pic="http://schemas.openxmlformats.org/drawingml/2006/picture">
            <wp:extent cx="5760720" cy="1951523"/>
            <wp:docPr id="2" name="Picture 2"/>
            <wp:cNvGraphicFramePr>
              <a:graphicFrameLocks noChangeAspect="1"/>
            </wp:cNvGraphicFramePr>
            <a:graphic>
              <a:graphicData uri="http://schemas.openxmlformats.org/drawingml/2006/picture">
                <pic:pic>
                  <pic:nvPicPr>
                    <pic:cNvPr id="0" name="fig4_inventory_policy.png"/>
                    <pic:cNvPicPr/>
                  </pic:nvPicPr>
                  <pic:blipFill>
                    <a:blip r:embed="rId10"/>
                    <a:stretch>
                      <a:fillRect/>
                    </a:stretch>
                  </pic:blipFill>
                  <pic:spPr>
                    <a:xfrm>
                      <a:off x="0" y="0"/>
                      <a:ext cx="5760720" cy="1951523"/>
                    </a:xfrm>
                    <a:prstGeom prst="rect"/>
                  </pic:spPr>
                </pic:pic>
              </a:graphicData>
            </a:graphic>
          </wp:inline>
        </w:drawing>
      </w:r>
    </w:p>
    <w:p>
      <w:pPr>
        <w:spacing w:after="200"/>
        <w:jc w:val="center"/>
      </w:pPr>
      <w:r>
        <w:rPr>
          <w:b/>
          <w:color w:val="35598F"/>
          <w:sz w:val="18"/>
        </w:rPr>
        <w:t>Figure 2: Dynamic Inventory Policy Bands (ROP, SS) and Trigg's Tracking Signal Out-of-Control Detection.</w:t>
      </w:r>
    </w:p>
    <w:p>
      <w:pPr>
        <w:pStyle w:val="Heading1"/>
        <w:spacing w:before="200" w:after="80"/>
      </w:pPr>
      <w:r>
        <w:rPr>
          <w:color w:val="102C57"/>
          <w:sz w:val="28"/>
        </w:rPr>
        <w:t>5. Formal Algorithm of the Proposed Methodology</w:t>
      </w:r>
    </w:p>
    <w:p>
      <w:r>
        <w:t>The algorithmic execution of the decision-support system is formalized in Algorithm 1, delineating data preprocessing, chronological splitting, loss-specific gradient boosting, multi-metric model selection, and inventory parameter derivation: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after="40" w:line="252" w:lineRule="auto"/>
            </w:pPr>
            <w:r>
              <w:rPr>
                <w:rFonts w:ascii="Consolas" w:hAnsi="Consolas"/>
                <w:color w:val="0F172A"/>
                <w:sz w:val="17"/>
              </w:rPr>
              <w:t>Algorithm 1: Machine Learning Inventory Decision Support and Replenishment Pipeline</w:t>
              <w:br/>
              <w:t>─────────────────────────────────────────────────────────────────────────────────────────────</w:t>
              <w:br/>
              <w:t xml:space="preserve">Input  : Time series dataset D = {(t, y_t, x_t)}_{t=1}^T, Lead time L, Unit holding cost H, </w:t>
              <w:br/>
              <w:t xml:space="preserve">         Ordering setup cost S, Service level target alpha (Z_alpha = 1.645 for 95%)</w:t>
              <w:br/>
              <w:t xml:space="preserve">Output : Selected operational model M*, Forecast distribution y_hat, Safety Stock SS, </w:t>
              <w:br/>
              <w:t xml:space="preserve">         Reorder Point ROP, Economic Order Quantity EOQ, Tracking Signal TS</w:t>
              <w:br/>
              <w:t>─────────────────────────────────────────────────────────────────────────────────────────────</w:t>
              <w:br/>
              <w:t xml:space="preserve"> 1: Enforce chronological ordering: D &lt;- SortByTime(D)</w:t>
              <w:br/>
              <w:t xml:space="preserve"> 2: Execute Leak-Free Preprocessing:</w:t>
              <w:br/>
              <w:t xml:space="preserve">      a. Missing shelf prices: p_t &lt;- ChronologicalForwardFill(p_t)  [No backward lookahead]</w:t>
              <w:br/>
              <w:t xml:space="preserve">      b. Filter invalid transaction records (Quantity &lt;= 0, UnitPrice &lt;= 0)</w:t>
              <w:br/>
              <w:t xml:space="preserve">      c. Construct cyclical calendar features: sin(2*pi*w/52), cos(2*pi*w/52), month, dayofweek</w:t>
              <w:br/>
              <w:t xml:space="preserve">      d. Generate backward-only lag features: y_{t-k} for k in {1, 2, 4, 8}</w:t>
              <w:br/>
              <w:t xml:space="preserve">      e. Compute backward rolling statistics: mu_{t,W} = Mean(y_{t-W:t-1}), sigma_{t,W} = Std(y_{t-W:t-1})</w:t>
              <w:br/>
              <w:t xml:space="preserve"> 3: Partition chronologically into Train (first 80%) and Test/Validation (last 20%):</w:t>
              <w:br/>
              <w:t xml:space="preserve">      D_train = {D_t | t &lt;= t_split},  D_val = {D_t | t &gt; t_split}</w:t>
              <w:br/>
              <w:t xml:space="preserve"> 4: Train Model Ensemble Candidates on D_train:</w:t>
              <w:br/>
              <w:t xml:space="preserve">      - M_RF  &lt;- TrainRandomForest(X_train, y_train; trees=100, criterion=MSE)</w:t>
              <w:br/>
              <w:t xml:space="preserve">      - M_XGB &lt;- TrainXGBoost(X_train, y_train; objective=reg:squarederror, lr=0.05)</w:t>
              <w:br/>
              <w:t xml:space="preserve">      - M_LGB &lt;- TrainLightGBM(X_train, y_train; objective=regression, num_leaves=31)</w:t>
              <w:br/>
              <w:t xml:space="preserve">      - If zero-inflated: M_TWD &lt;- TrainXGBoostTweedie(X_train, y_train; p=1.5)</w:t>
              <w:br/>
              <w:t xml:space="preserve"> 5: Compute Out-of-Sample Validation Metrics on D_val:</w:t>
              <w:br/>
              <w:t xml:space="preserve">      For each candidate M in {M_RF, M_XGB, M_LGB, M_TWD}:</w:t>
              <w:br/>
              <w:t xml:space="preserve">         y_hat_t = M.predict(X_val_t)</w:t>
              <w:br/>
              <w:t xml:space="preserve">         MAE(M)  = (1/N_val) * sum |y_t - y_hat_t|</w:t>
              <w:br/>
              <w:t xml:space="preserve">         RMSE(M) = sqrt( (1/N_val) * sum (y_t - y_hat_t)^2 )</w:t>
              <w:br/>
              <w:t xml:space="preserve">         Bias%(M) = (sum(y_hat_t - y_t) / sum(y_t)) * 100%</w:t>
              <w:br/>
              <w:t xml:space="preserve"> 6: Tri-Criterion Operational Model Selection:</w:t>
              <w:br/>
              <w:t xml:space="preserve">      Filter candidates by Operational Safeguard: C_safe = {M | |Bias%(M)| &lt;= 5.0%}</w:t>
              <w:br/>
              <w:t xml:space="preserve">      If C_safe is non-empty:</w:t>
              <w:br/>
              <w:t xml:space="preserve">         M* = argmin_{M in C_safe} (MAE(M))</w:t>
              <w:br/>
              <w:t xml:space="preserve">      Else:</w:t>
              <w:br/>
              <w:t xml:space="preserve">         M* = argmin_{M} (|Bias%(M)|)  [Strict inventory anti-starvation override]</w:t>
              <w:br/>
              <w:t xml:space="preserve"> 7: Derive Stochastic Continuous-Review (s, Q) Inventory Parameters:</w:t>
              <w:br/>
              <w:t xml:space="preserve">      sigma_d = ResidualStandardError(M*, D_val) = sqrt( (1/(N-p)) * sum (y_t - y_hat_t)^2 )</w:t>
              <w:br/>
              <w:t xml:space="preserve">      d_hat   = (1/N_val) * sum y_hat_t  (mean daily/weekly demand forecast)</w:t>
              <w:br/>
              <w:t xml:space="preserve">      SS      = Z_alpha * sigma_d * sqrt(L)</w:t>
              <w:br/>
              <w:t xml:space="preserve">      ROP     = d_hat * L + SS</w:t>
              <w:br/>
              <w:t xml:space="preserve">      EOQ     = sqrt( (2 * AnnualDemand * S) / H )</w:t>
              <w:br/>
              <w:t xml:space="preserve"> 8: Initialize Trigg's Tracking Signal Surveillance:</w:t>
              <w:br/>
              <w:t xml:space="preserve">      e_t = y_t - y_hat_t;  E_t = alpha_s * e_t + (1 - alpha_s) * E_{t-1}</w:t>
              <w:br/>
              <w:t xml:space="preserve">      MAD_t = alpha_s * |e_t| + (1 - alpha_s) * MAD_{t-1};  TS_t = E_t / MAD_t</w:t>
              <w:br/>
              <w:t xml:space="preserve">      If |TS_t| &gt; 0.5: Trigger Automated Replenishment Parameter Recalibration Alert</w:t>
              <w:br/>
              <w:t xml:space="preserve"> 9: Return M*, y_hat, SS, ROP, EOQ, TS</w:t>
            </w:r>
          </w:p>
        </w:tc>
      </w:tr>
    </w:tbl>
    <w:p>
      <w:pPr>
        <w:pStyle w:val="Heading1"/>
        <w:spacing w:before="240" w:after="80"/>
      </w:pPr>
      <w:r>
        <w:rPr>
          <w:color w:val="102C57"/>
          <w:sz w:val="28"/>
        </w:rPr>
        <w:t>6. Dataset Description and Preprocessing</w:t>
      </w:r>
    </w:p>
    <w:p>
      <w:pPr>
        <w:spacing w:after="200"/>
      </w:pPr>
      <w:r>
        <w:t>The framework was evaluated across three distinct datasets: Walmart weekly monetary sales across 45 stores (6,435 rows), Online Retail daily wholesale transactions (235,920 clean rows filtered for non-negative quantities and valid prices), and M5 Grocery daily sales across 100 series (182,500 observations characterized by 63.28% zeros and strictly chronological forward-filled prices).</w:t>
      </w:r>
    </w:p>
    <w:p>
      <w:pPr>
        <w:pStyle w:val="Heading1"/>
        <w:spacing w:before="240" w:after="80"/>
      </w:pPr>
      <w:r>
        <w:rPr>
          <w:color w:val="102C57"/>
          <w:sz w:val="28"/>
        </w:rPr>
        <w:t>7. Mathematical Formulation of the Proposed Models and Inventory Control</w:t>
      </w:r>
    </w:p>
    <w:p>
      <w:r>
        <w:t>The decision-support framework couples statistical machine learning objectives with stochastic inventory calculus. Below are the complete mathematical formulations governing model optimization, loss landscapes, transformation biases, and continuous-review inventory control.</w:t>
      </w:r>
    </w:p>
    <w:p>
      <w:pPr>
        <w:pStyle w:val="Heading2"/>
      </w:pPr>
      <w:r>
        <w:rPr>
          <w:color w:val="35598F"/>
          <w:sz w:val="24"/>
        </w:rPr>
        <w:t>7.1 Gradient Boosted Decision Tree (GBDT) Formulation</w:t>
      </w:r>
    </w:p>
    <w:p>
      <w:pPr>
        <w:spacing w:after="160"/>
      </w:pPr>
      <w:r>
        <w:t>Given a training dataset D = {(x_i, y_i)}_{i=1}^N, an ensemble of K additive regression trees predicts output:</w:t>
        <w:br/>
        <w:br/>
        <w:t xml:space="preserve">    y_hat_i = sum_{k=1}^K f_k(x_i),   where f_k in F</w:t>
        <w:br/>
        <w:br/>
        <w:t>At step t, the regularized objective function to be minimized is:</w:t>
        <w:br/>
        <w:br/>
        <w:t xml:space="preserve">    L^(t) = sum_{i=1}^N l(y_i, y_hat_i^(t-1) + f_t(x_i)) + Omega(f_t)</w:t>
        <w:br/>
        <w:br/>
        <w:t>where the tree complexity regularization term is defined as:</w:t>
        <w:br/>
        <w:br/>
        <w:t xml:space="preserve">    Omega(f_t) = gamma * T + (1/2) * lambda * sum_{j=1}^T w_j^2</w:t>
        <w:br/>
        <w:br/>
        <w:t>Here, T represents the number of terminal leaf nodes and w_j represents the weight of leaf j. Applying a second-order Taylor expansion around the previous prediction y_hat_i^(t-1):</w:t>
        <w:br/>
        <w:br/>
        <w:t xml:space="preserve">    L^(t) ≈ sum_{i=1}^N [ l(y_i, y_hat_i^(t-1)) + g_i * f_t(x_i) + (1/2) * h_i * f_t(x_i)^2 ] + Omega(f_t)</w:t>
        <w:br/>
        <w:br/>
        <w:t>where the first and second-order gradient statistics are:</w:t>
        <w:br/>
        <w:br/>
        <w:t xml:space="preserve">    g_i = partial_{y_hat_i^(t-1)} l(y_i, y_hat_i^(t-1)),      h_i = partial_{y_hat_i^(t-1)}^2 l(y_i, y_hat_i^(t-1))</w:t>
        <w:br/>
        <w:br/>
        <w:t>For a fixed tree structure with leaf instance sets I_j = {i | q(x_i) = j}, the optimal weight w_j* and minimized loss are:</w:t>
        <w:br/>
        <w:br/>
        <w:t xml:space="preserve">    w_j* = - ( sum_{i in I_j} g_i ) / ( sum_{i in I_j} h_i + lambda ),     L_opt^(t) = - (1/2) * sum_{j=1}^T [ (sum_{i in I_j} g_i)^2 / (sum_{i in I_j} h_i + lambda) ] + gamma * T</w:t>
      </w:r>
    </w:p>
    <w:p>
      <w:pPr>
        <w:pStyle w:val="Heading2"/>
      </w:pPr>
      <w:r>
        <w:rPr>
          <w:color w:val="35598F"/>
          <w:sz w:val="24"/>
        </w:rPr>
        <w:t>7.2 Tweedie Compound Poisson-Gamma Deviance and Log1p Transformation Bias</w:t>
      </w:r>
    </w:p>
    <w:p>
      <w:pPr>
        <w:spacing w:after="160"/>
      </w:pPr>
      <w:r>
        <w:t>For intermittent retail streams (e.g. M5 grocery), demand exhibits zero inflation with continuous positive values. The Tweedie distribution belongs to the exponential dispersion family where Var(Y) = phi * mu^p. For 1 &lt; p &lt; 2 (compound Poisson-Gamma with p = 1.5), the unit deviance loss d(y, mu) is formulated as:</w:t>
        <w:br/>
        <w:br/>
        <w:t xml:space="preserve">    d(y, mu) = 2 * [ ( y^(2-p) ) / ((1-p)(2-p)) - ( y * mu^(1-p) ) / (1-p) + ( mu^(2-p) ) / (2-p) ]</w:t>
        <w:br/>
        <w:br/>
        <w:t>When y = 0, this simplifies to:</w:t>
        <w:br/>
        <w:br/>
        <w:t xml:space="preserve">    d(0, mu) = 2 * ( mu^(2-p) ) / (2-p) = 4 * sqrt(mu)   (for p = 1.5)</w:t>
        <w:br/>
        <w:br/>
        <w:t>Log1p Transformation Bias &amp; Jensen's Inequality:</w:t>
        <w:br/>
        <w:t>When applying z = ln(1 + y) followed by back-transformation y_hat = exp(z_hat) - 1, the model optimizes E[ln(1+Y)|X]. By Jensen's Inequality, for strictly concave functions f(u) = ln(1+u):</w:t>
        <w:br/>
        <w:br/>
        <w:t xml:space="preserve">    E[ln(1 + Y)] &lt; ln(1 + E[Y])  ==&gt;  y_hat_raw = exp(E[ln(1+Y)]) - 1 &lt; E[Y]</w:t>
        <w:br/>
        <w:br/>
        <w:t>The back-transformed forecast estimates the geometric median rather than the conditional mean, inducing an inherent negative forecast bias:</w:t>
        <w:br/>
        <w:br/>
        <w:t xml:space="preserve">    Bias_theoretical ≈ - (1/2) * Var(ln(1+Y)|X) &lt; 0</w:t>
        <w:br/>
        <w:br/>
        <w:t>In Online Retail, this mathematical property resulted in an audited -43.14% under-forecasting bias, proving fatal for inventory availability.</w:t>
      </w:r>
    </w:p>
    <w:p>
      <w:pPr>
        <w:jc w:val="center"/>
      </w:pPr>
    </w:p>
    <w:p>
      <w:r>
        <w:drawing>
          <wp:inline xmlns:a="http://schemas.openxmlformats.org/drawingml/2006/main" xmlns:pic="http://schemas.openxmlformats.org/drawingml/2006/picture">
            <wp:extent cx="5669280" cy="1937565"/>
            <wp:docPr id="3" name="Picture 3"/>
            <wp:cNvGraphicFramePr>
              <a:graphicFrameLocks noChangeAspect="1"/>
            </wp:cNvGraphicFramePr>
            <a:graphic>
              <a:graphicData uri="http://schemas.openxmlformats.org/drawingml/2006/picture">
                <pic:pic>
                  <pic:nvPicPr>
                    <pic:cNvPr id="0" name="fig5_loss_functions.png"/>
                    <pic:cNvPicPr/>
                  </pic:nvPicPr>
                  <pic:blipFill>
                    <a:blip r:embed="rId11"/>
                    <a:stretch>
                      <a:fillRect/>
                    </a:stretch>
                  </pic:blipFill>
                  <pic:spPr>
                    <a:xfrm>
                      <a:off x="0" y="0"/>
                      <a:ext cx="5669280" cy="1937565"/>
                    </a:xfrm>
                    <a:prstGeom prst="rect"/>
                  </pic:spPr>
                </pic:pic>
              </a:graphicData>
            </a:graphic>
          </wp:inline>
        </w:drawing>
      </w:r>
    </w:p>
    <w:p>
      <w:pPr>
        <w:spacing w:after="200"/>
        <w:jc w:val="center"/>
      </w:pPr>
      <w:r>
        <w:rPr>
          <w:b/>
          <w:color w:val="35598F"/>
          <w:sz w:val="18"/>
        </w:rPr>
        <w:t>Figure 3: Loss Function Landscapes: (A) Tweedie Compound Deviance vs Squared Error; (B) Log1p Target Transformation Tail Compression.</w:t>
      </w:r>
    </w:p>
    <w:p>
      <w:pPr>
        <w:pStyle w:val="Heading2"/>
      </w:pPr>
      <w:r>
        <w:rPr>
          <w:color w:val="35598F"/>
          <w:sz w:val="24"/>
        </w:rPr>
        <w:t>7.3 Stochastic Continuous-Review (s, Q) Inventory Control Formulation</w:t>
      </w:r>
    </w:p>
    <w:p>
      <w:pPr>
        <w:spacing w:after="200"/>
      </w:pPr>
      <w:r>
        <w:t>Let replenishment lead time be L days and customer demand per period be d_t with mean d_hat and standard error sigma_d. Under stochastic lead-time demand D_L = sum_{t=1}^L d_t, the lead-time demand variance is Var(D_L) = L * sigma_d^2. For a specified non-stockout cycle service level (1 - alpha = 0.95, Z_alpha = 1.645):</w:t>
        <w:br/>
        <w:br/>
        <w:t xml:space="preserve">    Safety Stock (SS):        SS = Z_alpha * sigma_d * sqrt(L)</w:t>
        <w:br/>
        <w:br/>
        <w:t xml:space="preserve">    Reorder Point (ROP):       ROP = d_hat * L + SS = d_hat * L + Z_alpha * sigma_d * sqrt(L)</w:t>
        <w:br/>
        <w:br/>
        <w:t xml:space="preserve">    Economic Order Quantity:   EOQ = sqrt( (2 * D_annual * S) / H )</w:t>
        <w:br/>
        <w:br/>
        <w:t>where S is ordering setup cost ($/order), H is unit annual holding cost ($/unit/year), and D_annual is annual demand.</w:t>
        <w:br/>
        <w:br/>
        <w:t>Tracking Signal Surveillance (Trigg's Tracking Signal):</w:t>
        <w:br/>
        <w:t>Forecast residuals e_t = y_t - y_hat_t are monitored recursively with smoothing parameter alpha_s = 0.1:</w:t>
        <w:br/>
        <w:br/>
        <w:t xml:space="preserve">    E_t = alpha_s * e_t + (1 - alpha_s) * E_{t-1},      MAD_t = alpha_s * |e_t| + (1 - alpha_s) * MAD_{t-1}</w:t>
        <w:br/>
        <w:br/>
        <w:t xml:space="preserve">    Tracking Signal:   TS_t = E_t / MAD_t,     Control Condition: |TS_t| &lt;= 0.5</w:t>
        <w:br/>
        <w:br/>
        <w:t>If |TS_t| exceeds 0.5, persistent structural drift is detected, triggering automated inventory parameter re-estimation.</w:t>
      </w:r>
    </w:p>
    <w:p>
      <w:pPr>
        <w:jc w:val="center"/>
      </w:pPr>
    </w:p>
    <w:p>
      <w:r>
        <w:drawing>
          <wp:inline xmlns:a="http://schemas.openxmlformats.org/drawingml/2006/main" xmlns:pic="http://schemas.openxmlformats.org/drawingml/2006/picture">
            <wp:extent cx="5669280" cy="2448492"/>
            <wp:docPr id="4" name="Picture 4"/>
            <wp:cNvGraphicFramePr>
              <a:graphicFrameLocks noChangeAspect="1"/>
            </wp:cNvGraphicFramePr>
            <a:graphic>
              <a:graphicData uri="http://schemas.openxmlformats.org/drawingml/2006/picture">
                <pic:pic>
                  <pic:nvPicPr>
                    <pic:cNvPr id="0" name="fig6_inventory_dynamics.png"/>
                    <pic:cNvPicPr/>
                  </pic:nvPicPr>
                  <pic:blipFill>
                    <a:blip r:embed="rId12"/>
                    <a:stretch>
                      <a:fillRect/>
                    </a:stretch>
                  </pic:blipFill>
                  <pic:spPr>
                    <a:xfrm>
                      <a:off x="0" y="0"/>
                      <a:ext cx="5669280" cy="2448492"/>
                    </a:xfrm>
                    <a:prstGeom prst="rect"/>
                  </pic:spPr>
                </pic:pic>
              </a:graphicData>
            </a:graphic>
          </wp:inline>
        </w:drawing>
      </w:r>
    </w:p>
    <w:p>
      <w:pPr>
        <w:spacing w:after="240"/>
        <w:jc w:val="center"/>
      </w:pPr>
      <w:r>
        <w:rPr>
          <w:b/>
          <w:color w:val="35598F"/>
          <w:sz w:val="18"/>
        </w:rPr>
        <w:t>Figure 4: Stochastic Continuous-Review (s, Q) Replenishment Dynamics and Buffer Protection Zone.</w:t>
      </w:r>
    </w:p>
    <w:p>
      <w:pPr>
        <w:pStyle w:val="Heading1"/>
        <w:spacing w:before="240" w:after="80"/>
      </w:pPr>
      <w:r>
        <w:rPr>
          <w:color w:val="102C57"/>
          <w:sz w:val="28"/>
        </w:rPr>
        <w:t>8. Experimental Results and Empirical Comparison</w:t>
      </w:r>
    </w:p>
    <w:p>
      <w:pPr>
        <w:spacing w:after="200"/>
      </w:pPr>
      <w:r>
        <w:t>Model evaluation confirms that tree ensembles consistently outperform classical baselines while revealing crucial operational nuances. For Walmart monetary sales, Optimized XGBoost achieved superior accuracy with MAE of $37,598.15, RMSE of $54,161.25, and negligible +0.15% bias. In Online Retail daily transactions, LightGBM reduced RMSE from 75.03 (Naive) to 55.09 (a 26.58% improvement) with balanced +3.92% bias, whereas Log1p XGBoost exhibited destructive -43.14% under-forecasting bias. For zero-inflated M5 sales, although XGBoost Tweedie attained lowest MAE (0.9146), its severe -21.01% bias induces stockout risk. Consequently, Random Forest (RMSE 2.2591, bias -3.03%) was chosen for inventory operations, ensuring robust buffer stock sizing.</w:t>
      </w:r>
    </w:p>
    <w:p>
      <w:pPr/>
      <w:r>
        <w:rPr>
          <w:b/>
        </w:rPr>
        <w:t>Table 1: Audited Out-of-Sample Performance on Walmart Weekly Monetary Sales ($).</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337"/>
        <w:gridCol w:w="1337"/>
        <w:gridCol w:w="1337"/>
        <w:gridCol w:w="1337"/>
        <w:gridCol w:w="1337"/>
        <w:gridCol w:w="1337"/>
        <w:gridCol w:w="1337"/>
      </w:tblGrid>
      <w:tr>
        <w:tc>
          <w:tcPr>
            <w:tcW w:type="dxa" w:w="1337"/>
            <w:shd w:fill="102C57"/>
            <w:tcMar>
              <w:top w:w="80" w:type="dxa"/>
              <w:bottom w:w="80" w:type="dxa"/>
              <w:left w:w="100" w:type="dxa"/>
              <w:right w:w="100" w:type="dxa"/>
            </w:tcMar>
          </w:tcPr>
          <w:p>
            <w:pPr>
              <w:jc w:val="center"/>
            </w:pPr>
            <w:r>
              <w:rPr>
                <w:rFonts w:ascii="Calibri" w:hAnsi="Calibri"/>
                <w:b/>
                <w:color w:val="FFFFFF"/>
                <w:sz w:val="19"/>
              </w:rPr>
              <w:t>Model Architecture</w:t>
            </w:r>
          </w:p>
        </w:tc>
        <w:tc>
          <w:tcPr>
            <w:tcW w:type="dxa" w:w="1337"/>
            <w:shd w:fill="102C57"/>
            <w:tcMar>
              <w:top w:w="80" w:type="dxa"/>
              <w:bottom w:w="80" w:type="dxa"/>
              <w:left w:w="100" w:type="dxa"/>
              <w:right w:w="100" w:type="dxa"/>
            </w:tcMar>
          </w:tcPr>
          <w:p>
            <w:pPr>
              <w:jc w:val="center"/>
            </w:pPr>
            <w:r>
              <w:rPr>
                <w:rFonts w:ascii="Calibri" w:hAnsi="Calibri"/>
                <w:b/>
                <w:color w:val="FFFFFF"/>
                <w:sz w:val="19"/>
              </w:rPr>
              <w:t>MAE ($)</w:t>
            </w:r>
          </w:p>
        </w:tc>
        <w:tc>
          <w:tcPr>
            <w:tcW w:type="dxa" w:w="1337"/>
            <w:shd w:fill="102C57"/>
            <w:tcMar>
              <w:top w:w="80" w:type="dxa"/>
              <w:bottom w:w="80" w:type="dxa"/>
              <w:left w:w="100" w:type="dxa"/>
              <w:right w:w="100" w:type="dxa"/>
            </w:tcMar>
          </w:tcPr>
          <w:p>
            <w:pPr>
              <w:jc w:val="center"/>
            </w:pPr>
            <w:r>
              <w:rPr>
                <w:rFonts w:ascii="Calibri" w:hAnsi="Calibri"/>
                <w:b/>
                <w:color w:val="FFFFFF"/>
                <w:sz w:val="19"/>
              </w:rPr>
              <w:t>RMSE ($)</w:t>
            </w:r>
          </w:p>
        </w:tc>
        <w:tc>
          <w:tcPr>
            <w:tcW w:type="dxa" w:w="1337"/>
            <w:shd w:fill="102C57"/>
            <w:tcMar>
              <w:top w:w="80" w:type="dxa"/>
              <w:bottom w:w="80" w:type="dxa"/>
              <w:left w:w="100" w:type="dxa"/>
              <w:right w:w="100" w:type="dxa"/>
            </w:tcMar>
          </w:tcPr>
          <w:p>
            <w:pPr>
              <w:jc w:val="center"/>
            </w:pPr>
            <w:r>
              <w:rPr>
                <w:rFonts w:ascii="Calibri" w:hAnsi="Calibri"/>
                <w:b/>
                <w:color w:val="FFFFFF"/>
                <w:sz w:val="19"/>
              </w:rPr>
              <w:t>MAPE (%)</w:t>
            </w:r>
          </w:p>
        </w:tc>
        <w:tc>
          <w:tcPr>
            <w:tcW w:type="dxa" w:w="1337"/>
            <w:shd w:fill="102C57"/>
            <w:tcMar>
              <w:top w:w="80" w:type="dxa"/>
              <w:bottom w:w="80" w:type="dxa"/>
              <w:left w:w="100" w:type="dxa"/>
              <w:right w:w="100" w:type="dxa"/>
            </w:tcMar>
          </w:tcPr>
          <w:p>
            <w:pPr>
              <w:jc w:val="center"/>
            </w:pPr>
            <w:r>
              <w:rPr>
                <w:rFonts w:ascii="Calibri" w:hAnsi="Calibri"/>
                <w:b/>
                <w:color w:val="FFFFFF"/>
                <w:sz w:val="19"/>
              </w:rPr>
              <w:t>R² Score</w:t>
            </w:r>
          </w:p>
        </w:tc>
        <w:tc>
          <w:tcPr>
            <w:tcW w:type="dxa" w:w="1337"/>
            <w:shd w:fill="102C57"/>
            <w:tcMar>
              <w:top w:w="80" w:type="dxa"/>
              <w:bottom w:w="80" w:type="dxa"/>
              <w:left w:w="100" w:type="dxa"/>
              <w:right w:w="100" w:type="dxa"/>
            </w:tcMar>
          </w:tcPr>
          <w:p>
            <w:pPr>
              <w:jc w:val="center"/>
            </w:pPr>
            <w:r>
              <w:rPr>
                <w:rFonts w:ascii="Calibri" w:hAnsi="Calibri"/>
                <w:b/>
                <w:color w:val="FFFFFF"/>
                <w:sz w:val="19"/>
              </w:rPr>
              <w:t>Bias (%)</w:t>
            </w:r>
          </w:p>
        </w:tc>
        <w:tc>
          <w:tcPr>
            <w:tcW w:type="dxa" w:w="1337"/>
            <w:shd w:fill="102C57"/>
            <w:tcMar>
              <w:top w:w="80" w:type="dxa"/>
              <w:bottom w:w="80" w:type="dxa"/>
              <w:left w:w="100" w:type="dxa"/>
              <w:right w:w="100" w:type="dxa"/>
            </w:tcMar>
          </w:tcPr>
          <w:p>
            <w:pPr>
              <w:jc w:val="center"/>
            </w:pPr>
            <w:r>
              <w:rPr>
                <w:rFonts w:ascii="Calibri" w:hAnsi="Calibri"/>
                <w:b/>
                <w:color w:val="FFFFFF"/>
                <w:sz w:val="19"/>
              </w:rPr>
              <w:t>Operational Status</w:t>
            </w:r>
          </w:p>
        </w:tc>
      </w:tr>
      <w:tr>
        <w:tc>
          <w:tcPr>
            <w:tcW w:type="dxa" w:w="1337"/>
            <w:shd w:fill="FFFFFF"/>
            <w:tcMar>
              <w:top w:w="60" w:type="dxa"/>
              <w:bottom w:w="60" w:type="dxa"/>
              <w:left w:w="100" w:type="dxa"/>
              <w:right w:w="100" w:type="dxa"/>
            </w:tcMar>
          </w:tcPr>
          <w:p>
            <w:pPr>
              <w:jc w:val="left"/>
            </w:pPr>
            <w:r>
              <w:rPr>
                <w:rFonts w:ascii="Calibri" w:hAnsi="Calibri"/>
                <w:color w:val="212529"/>
                <w:sz w:val="18"/>
              </w:rPr>
              <w:t>Baseline Naive (Cell 16)</w:t>
            </w:r>
          </w:p>
        </w:tc>
        <w:tc>
          <w:tcPr>
            <w:tcW w:type="dxa" w:w="1337"/>
            <w:shd w:fill="FFFFFF"/>
            <w:tcMar>
              <w:top w:w="60" w:type="dxa"/>
              <w:bottom w:w="60" w:type="dxa"/>
              <w:left w:w="100" w:type="dxa"/>
              <w:right w:w="100" w:type="dxa"/>
            </w:tcMar>
          </w:tcPr>
          <w:p>
            <w:pPr>
              <w:jc w:val="right"/>
            </w:pPr>
            <w:r>
              <w:rPr>
                <w:rFonts w:ascii="Calibri" w:hAnsi="Calibri"/>
                <w:color w:val="212529"/>
                <w:sz w:val="18"/>
              </w:rPr>
              <w:t>94,152.00</w:t>
            </w:r>
          </w:p>
        </w:tc>
        <w:tc>
          <w:tcPr>
            <w:tcW w:type="dxa" w:w="1337"/>
            <w:shd w:fill="FFFFFF"/>
            <w:tcMar>
              <w:top w:w="60" w:type="dxa"/>
              <w:bottom w:w="60" w:type="dxa"/>
              <w:left w:w="100" w:type="dxa"/>
              <w:right w:w="100" w:type="dxa"/>
            </w:tcMar>
          </w:tcPr>
          <w:p>
            <w:pPr>
              <w:jc w:val="right"/>
            </w:pPr>
            <w:r>
              <w:rPr>
                <w:rFonts w:ascii="Calibri" w:hAnsi="Calibri"/>
                <w:color w:val="212529"/>
                <w:sz w:val="18"/>
              </w:rPr>
              <w:t>157,481.00</w:t>
            </w:r>
          </w:p>
        </w:tc>
        <w:tc>
          <w:tcPr>
            <w:tcW w:type="dxa" w:w="1337"/>
            <w:shd w:fill="FFFFFF"/>
            <w:tcMar>
              <w:top w:w="60" w:type="dxa"/>
              <w:bottom w:w="60" w:type="dxa"/>
              <w:left w:w="100" w:type="dxa"/>
              <w:right w:w="100" w:type="dxa"/>
            </w:tcMar>
          </w:tcPr>
          <w:p>
            <w:pPr>
              <w:jc w:val="right"/>
            </w:pPr>
            <w:r>
              <w:rPr>
                <w:rFonts w:ascii="Calibri" w:hAnsi="Calibri"/>
                <w:color w:val="212529"/>
                <w:sz w:val="18"/>
              </w:rPr>
              <w:t>9.62%</w:t>
            </w:r>
          </w:p>
        </w:tc>
        <w:tc>
          <w:tcPr>
            <w:tcW w:type="dxa" w:w="1337"/>
            <w:shd w:fill="FFFFFF"/>
            <w:tcMar>
              <w:top w:w="60" w:type="dxa"/>
              <w:bottom w:w="60" w:type="dxa"/>
              <w:left w:w="100" w:type="dxa"/>
              <w:right w:w="100" w:type="dxa"/>
            </w:tcMar>
          </w:tcPr>
          <w:p>
            <w:pPr>
              <w:jc w:val="right"/>
            </w:pPr>
            <w:r>
              <w:rPr>
                <w:rFonts w:ascii="Calibri" w:hAnsi="Calibri"/>
                <w:color w:val="212529"/>
                <w:sz w:val="18"/>
              </w:rPr>
              <w:t>-0.1420</w:t>
            </w:r>
          </w:p>
        </w:tc>
        <w:tc>
          <w:tcPr>
            <w:tcW w:type="dxa" w:w="1337"/>
            <w:shd w:fill="FFFFFF"/>
            <w:tcMar>
              <w:top w:w="60" w:type="dxa"/>
              <w:bottom w:w="60" w:type="dxa"/>
              <w:left w:w="100" w:type="dxa"/>
              <w:right w:w="100" w:type="dxa"/>
            </w:tcMar>
          </w:tcPr>
          <w:p>
            <w:pPr>
              <w:jc w:val="right"/>
            </w:pPr>
            <w:r>
              <w:rPr>
                <w:rFonts w:ascii="Calibri" w:hAnsi="Calibri"/>
                <w:color w:val="212529"/>
                <w:sz w:val="18"/>
              </w:rPr>
              <w:t>-1.45%</w:t>
            </w:r>
          </w:p>
        </w:tc>
        <w:tc>
          <w:tcPr>
            <w:tcW w:type="dxa" w:w="1337"/>
            <w:shd w:fill="FFFFFF"/>
            <w:tcMar>
              <w:top w:w="60" w:type="dxa"/>
              <w:bottom w:w="60" w:type="dxa"/>
              <w:left w:w="100" w:type="dxa"/>
              <w:right w:w="100" w:type="dxa"/>
            </w:tcMar>
          </w:tcPr>
          <w:p>
            <w:pPr>
              <w:jc w:val="right"/>
            </w:pPr>
            <w:r>
              <w:rPr>
                <w:rFonts w:ascii="Calibri" w:hAnsi="Calibri"/>
                <w:color w:val="212529"/>
                <w:sz w:val="18"/>
              </w:rPr>
              <w:t>Baseline Reference</w:t>
            </w:r>
          </w:p>
        </w:tc>
      </w:tr>
      <w:tr>
        <w:tc>
          <w:tcPr>
            <w:tcW w:type="dxa" w:w="1337"/>
            <w:shd w:fill="F8FAFC"/>
            <w:tcMar>
              <w:top w:w="60" w:type="dxa"/>
              <w:bottom w:w="60" w:type="dxa"/>
              <w:left w:w="100" w:type="dxa"/>
              <w:right w:w="100" w:type="dxa"/>
            </w:tcMar>
          </w:tcPr>
          <w:p>
            <w:pPr>
              <w:jc w:val="left"/>
            </w:pPr>
            <w:r>
              <w:rPr>
                <w:rFonts w:ascii="Calibri" w:hAnsi="Calibri"/>
                <w:color w:val="212529"/>
                <w:sz w:val="18"/>
              </w:rPr>
              <w:t>Original Random Forest (Cell 19)</w:t>
            </w:r>
          </w:p>
        </w:tc>
        <w:tc>
          <w:tcPr>
            <w:tcW w:type="dxa" w:w="1337"/>
            <w:shd w:fill="F8FAFC"/>
            <w:tcMar>
              <w:top w:w="60" w:type="dxa"/>
              <w:bottom w:w="60" w:type="dxa"/>
              <w:left w:w="100" w:type="dxa"/>
              <w:right w:w="100" w:type="dxa"/>
            </w:tcMar>
          </w:tcPr>
          <w:p>
            <w:pPr>
              <w:jc w:val="right"/>
            </w:pPr>
            <w:r>
              <w:rPr>
                <w:rFonts w:ascii="Calibri" w:hAnsi="Calibri"/>
                <w:color w:val="212529"/>
                <w:sz w:val="18"/>
              </w:rPr>
              <w:t>51,200.00</w:t>
            </w:r>
          </w:p>
        </w:tc>
        <w:tc>
          <w:tcPr>
            <w:tcW w:type="dxa" w:w="1337"/>
            <w:shd w:fill="F8FAFC"/>
            <w:tcMar>
              <w:top w:w="60" w:type="dxa"/>
              <w:bottom w:w="60" w:type="dxa"/>
              <w:left w:w="100" w:type="dxa"/>
              <w:right w:w="100" w:type="dxa"/>
            </w:tcMar>
          </w:tcPr>
          <w:p>
            <w:pPr>
              <w:jc w:val="right"/>
            </w:pPr>
            <w:r>
              <w:rPr>
                <w:rFonts w:ascii="Calibri" w:hAnsi="Calibri"/>
                <w:color w:val="212529"/>
                <w:sz w:val="18"/>
              </w:rPr>
              <w:t>78,500.00</w:t>
            </w:r>
          </w:p>
        </w:tc>
        <w:tc>
          <w:tcPr>
            <w:tcW w:type="dxa" w:w="1337"/>
            <w:shd w:fill="F8FAFC"/>
            <w:tcMar>
              <w:top w:w="60" w:type="dxa"/>
              <w:bottom w:w="60" w:type="dxa"/>
              <w:left w:w="100" w:type="dxa"/>
              <w:right w:w="100" w:type="dxa"/>
            </w:tcMar>
          </w:tcPr>
          <w:p>
            <w:pPr>
              <w:jc w:val="right"/>
            </w:pPr>
            <w:r>
              <w:rPr>
                <w:rFonts w:ascii="Calibri" w:hAnsi="Calibri"/>
                <w:color w:val="212529"/>
                <w:sz w:val="18"/>
              </w:rPr>
              <w:t>4.85%</w:t>
            </w:r>
          </w:p>
        </w:tc>
        <w:tc>
          <w:tcPr>
            <w:tcW w:type="dxa" w:w="1337"/>
            <w:shd w:fill="F8FAFC"/>
            <w:tcMar>
              <w:top w:w="60" w:type="dxa"/>
              <w:bottom w:w="60" w:type="dxa"/>
              <w:left w:w="100" w:type="dxa"/>
              <w:right w:w="100" w:type="dxa"/>
            </w:tcMar>
          </w:tcPr>
          <w:p>
            <w:pPr>
              <w:jc w:val="right"/>
            </w:pPr>
            <w:r>
              <w:rPr>
                <w:rFonts w:ascii="Calibri" w:hAnsi="Calibri"/>
                <w:color w:val="212529"/>
                <w:sz w:val="18"/>
              </w:rPr>
              <w:t>0.7160</w:t>
            </w:r>
          </w:p>
        </w:tc>
        <w:tc>
          <w:tcPr>
            <w:tcW w:type="dxa" w:w="1337"/>
            <w:shd w:fill="F8FAFC"/>
            <w:tcMar>
              <w:top w:w="60" w:type="dxa"/>
              <w:bottom w:w="60" w:type="dxa"/>
              <w:left w:w="100" w:type="dxa"/>
              <w:right w:w="100" w:type="dxa"/>
            </w:tcMar>
          </w:tcPr>
          <w:p>
            <w:pPr>
              <w:jc w:val="right"/>
            </w:pPr>
            <w:r>
              <w:rPr>
                <w:rFonts w:ascii="Calibri" w:hAnsi="Calibri"/>
                <w:color w:val="212529"/>
                <w:sz w:val="18"/>
              </w:rPr>
              <w:t>+0.82%</w:t>
            </w:r>
          </w:p>
        </w:tc>
        <w:tc>
          <w:tcPr>
            <w:tcW w:type="dxa" w:w="1337"/>
            <w:shd w:fill="F8FAFC"/>
            <w:tcMar>
              <w:top w:w="60" w:type="dxa"/>
              <w:bottom w:w="60" w:type="dxa"/>
              <w:left w:w="100" w:type="dxa"/>
              <w:right w:w="100" w:type="dxa"/>
            </w:tcMar>
          </w:tcPr>
          <w:p>
            <w:pPr>
              <w:jc w:val="right"/>
            </w:pPr>
            <w:r>
              <w:rPr>
                <w:rFonts w:ascii="Calibri" w:hAnsi="Calibri"/>
                <w:color w:val="212529"/>
                <w:sz w:val="18"/>
              </w:rPr>
              <w:t>Superseded</w:t>
            </w:r>
          </w:p>
        </w:tc>
      </w:tr>
      <w:tr>
        <w:tc>
          <w:tcPr>
            <w:tcW w:type="dxa" w:w="1337"/>
            <w:shd w:fill="FFFFFF"/>
            <w:tcMar>
              <w:top w:w="60" w:type="dxa"/>
              <w:bottom w:w="60" w:type="dxa"/>
              <w:left w:w="100" w:type="dxa"/>
              <w:right w:w="100" w:type="dxa"/>
            </w:tcMar>
          </w:tcPr>
          <w:p>
            <w:pPr>
              <w:jc w:val="left"/>
            </w:pPr>
            <w:r>
              <w:rPr>
                <w:rFonts w:ascii="Calibri" w:hAnsi="Calibri"/>
                <w:color w:val="212529"/>
                <w:sz w:val="18"/>
              </w:rPr>
              <w:t>Original XGBoost (Cell 19)</w:t>
            </w:r>
          </w:p>
        </w:tc>
        <w:tc>
          <w:tcPr>
            <w:tcW w:type="dxa" w:w="1337"/>
            <w:shd w:fill="FFFFFF"/>
            <w:tcMar>
              <w:top w:w="60" w:type="dxa"/>
              <w:bottom w:w="60" w:type="dxa"/>
              <w:left w:w="100" w:type="dxa"/>
              <w:right w:w="100" w:type="dxa"/>
            </w:tcMar>
          </w:tcPr>
          <w:p>
            <w:pPr>
              <w:jc w:val="right"/>
            </w:pPr>
            <w:r>
              <w:rPr>
                <w:rFonts w:ascii="Calibri" w:hAnsi="Calibri"/>
                <w:color w:val="212529"/>
                <w:sz w:val="18"/>
              </w:rPr>
              <w:t>47,800.00</w:t>
            </w:r>
          </w:p>
        </w:tc>
        <w:tc>
          <w:tcPr>
            <w:tcW w:type="dxa" w:w="1337"/>
            <w:shd w:fill="FFFFFF"/>
            <w:tcMar>
              <w:top w:w="60" w:type="dxa"/>
              <w:bottom w:w="60" w:type="dxa"/>
              <w:left w:w="100" w:type="dxa"/>
              <w:right w:w="100" w:type="dxa"/>
            </w:tcMar>
          </w:tcPr>
          <w:p>
            <w:pPr>
              <w:jc w:val="right"/>
            </w:pPr>
            <w:r>
              <w:rPr>
                <w:rFonts w:ascii="Calibri" w:hAnsi="Calibri"/>
                <w:color w:val="212529"/>
                <w:sz w:val="18"/>
              </w:rPr>
              <w:t>72,100.00</w:t>
            </w:r>
          </w:p>
        </w:tc>
        <w:tc>
          <w:tcPr>
            <w:tcW w:type="dxa" w:w="1337"/>
            <w:shd w:fill="FFFFFF"/>
            <w:tcMar>
              <w:top w:w="60" w:type="dxa"/>
              <w:bottom w:w="60" w:type="dxa"/>
              <w:left w:w="100" w:type="dxa"/>
              <w:right w:w="100" w:type="dxa"/>
            </w:tcMar>
          </w:tcPr>
          <w:p>
            <w:pPr>
              <w:jc w:val="right"/>
            </w:pPr>
            <w:r>
              <w:rPr>
                <w:rFonts w:ascii="Calibri" w:hAnsi="Calibri"/>
                <w:color w:val="212529"/>
                <w:sz w:val="18"/>
              </w:rPr>
              <w:t>4.52%</w:t>
            </w:r>
          </w:p>
        </w:tc>
        <w:tc>
          <w:tcPr>
            <w:tcW w:type="dxa" w:w="1337"/>
            <w:shd w:fill="FFFFFF"/>
            <w:tcMar>
              <w:top w:w="60" w:type="dxa"/>
              <w:bottom w:w="60" w:type="dxa"/>
              <w:left w:w="100" w:type="dxa"/>
              <w:right w:w="100" w:type="dxa"/>
            </w:tcMar>
          </w:tcPr>
          <w:p>
            <w:pPr>
              <w:jc w:val="right"/>
            </w:pPr>
            <w:r>
              <w:rPr>
                <w:rFonts w:ascii="Calibri" w:hAnsi="Calibri"/>
                <w:color w:val="212529"/>
                <w:sz w:val="18"/>
              </w:rPr>
              <w:t>0.7610</w:t>
            </w:r>
          </w:p>
        </w:tc>
        <w:tc>
          <w:tcPr>
            <w:tcW w:type="dxa" w:w="1337"/>
            <w:shd w:fill="FFFFFF"/>
            <w:tcMar>
              <w:top w:w="60" w:type="dxa"/>
              <w:bottom w:w="60" w:type="dxa"/>
              <w:left w:w="100" w:type="dxa"/>
              <w:right w:w="100" w:type="dxa"/>
            </w:tcMar>
          </w:tcPr>
          <w:p>
            <w:pPr>
              <w:jc w:val="right"/>
            </w:pPr>
            <w:r>
              <w:rPr>
                <w:rFonts w:ascii="Calibri" w:hAnsi="Calibri"/>
                <w:color w:val="212529"/>
                <w:sz w:val="18"/>
              </w:rPr>
              <w:t>+0.64%</w:t>
            </w:r>
          </w:p>
        </w:tc>
        <w:tc>
          <w:tcPr>
            <w:tcW w:type="dxa" w:w="1337"/>
            <w:shd w:fill="FFFFFF"/>
            <w:tcMar>
              <w:top w:w="60" w:type="dxa"/>
              <w:bottom w:w="60" w:type="dxa"/>
              <w:left w:w="100" w:type="dxa"/>
              <w:right w:w="100" w:type="dxa"/>
            </w:tcMar>
          </w:tcPr>
          <w:p>
            <w:pPr>
              <w:jc w:val="right"/>
            </w:pPr>
            <w:r>
              <w:rPr>
                <w:rFonts w:ascii="Calibri" w:hAnsi="Calibri"/>
                <w:color w:val="212529"/>
                <w:sz w:val="18"/>
              </w:rPr>
              <w:t>Superseded</w:t>
            </w:r>
          </w:p>
        </w:tc>
      </w:tr>
      <w:tr>
        <w:tc>
          <w:tcPr>
            <w:tcW w:type="dxa" w:w="1337"/>
            <w:shd w:fill="F8FAFC"/>
            <w:tcMar>
              <w:top w:w="60" w:type="dxa"/>
              <w:bottom w:w="60" w:type="dxa"/>
              <w:left w:w="100" w:type="dxa"/>
              <w:right w:w="100" w:type="dxa"/>
            </w:tcMar>
          </w:tcPr>
          <w:p>
            <w:pPr>
              <w:jc w:val="left"/>
            </w:pPr>
            <w:r>
              <w:rPr>
                <w:rFonts w:ascii="Calibri" w:hAnsi="Calibri"/>
                <w:color w:val="212529"/>
                <w:sz w:val="18"/>
              </w:rPr>
              <w:t>Original LightGBM (Cell 19)</w:t>
            </w:r>
          </w:p>
        </w:tc>
        <w:tc>
          <w:tcPr>
            <w:tcW w:type="dxa" w:w="1337"/>
            <w:shd w:fill="F8FAFC"/>
            <w:tcMar>
              <w:top w:w="60" w:type="dxa"/>
              <w:bottom w:w="60" w:type="dxa"/>
              <w:left w:w="100" w:type="dxa"/>
              <w:right w:w="100" w:type="dxa"/>
            </w:tcMar>
          </w:tcPr>
          <w:p>
            <w:pPr>
              <w:jc w:val="right"/>
            </w:pPr>
            <w:r>
              <w:rPr>
                <w:rFonts w:ascii="Calibri" w:hAnsi="Calibri"/>
                <w:color w:val="212529"/>
                <w:sz w:val="18"/>
              </w:rPr>
              <w:t>46,100.00</w:t>
            </w:r>
          </w:p>
        </w:tc>
        <w:tc>
          <w:tcPr>
            <w:tcW w:type="dxa" w:w="1337"/>
            <w:shd w:fill="F8FAFC"/>
            <w:tcMar>
              <w:top w:w="60" w:type="dxa"/>
              <w:bottom w:w="60" w:type="dxa"/>
              <w:left w:w="100" w:type="dxa"/>
              <w:right w:w="100" w:type="dxa"/>
            </w:tcMar>
          </w:tcPr>
          <w:p>
            <w:pPr>
              <w:jc w:val="right"/>
            </w:pPr>
            <w:r>
              <w:rPr>
                <w:rFonts w:ascii="Calibri" w:hAnsi="Calibri"/>
                <w:color w:val="212529"/>
                <w:sz w:val="18"/>
              </w:rPr>
              <w:t>69,800.00</w:t>
            </w:r>
          </w:p>
        </w:tc>
        <w:tc>
          <w:tcPr>
            <w:tcW w:type="dxa" w:w="1337"/>
            <w:shd w:fill="F8FAFC"/>
            <w:tcMar>
              <w:top w:w="60" w:type="dxa"/>
              <w:bottom w:w="60" w:type="dxa"/>
              <w:left w:w="100" w:type="dxa"/>
              <w:right w:w="100" w:type="dxa"/>
            </w:tcMar>
          </w:tcPr>
          <w:p>
            <w:pPr>
              <w:jc w:val="right"/>
            </w:pPr>
            <w:r>
              <w:rPr>
                <w:rFonts w:ascii="Calibri" w:hAnsi="Calibri"/>
                <w:color w:val="212529"/>
                <w:sz w:val="18"/>
              </w:rPr>
              <w:t>4.38%</w:t>
            </w:r>
          </w:p>
        </w:tc>
        <w:tc>
          <w:tcPr>
            <w:tcW w:type="dxa" w:w="1337"/>
            <w:shd w:fill="F8FAFC"/>
            <w:tcMar>
              <w:top w:w="60" w:type="dxa"/>
              <w:bottom w:w="60" w:type="dxa"/>
              <w:left w:w="100" w:type="dxa"/>
              <w:right w:w="100" w:type="dxa"/>
            </w:tcMar>
          </w:tcPr>
          <w:p>
            <w:pPr>
              <w:jc w:val="right"/>
            </w:pPr>
            <w:r>
              <w:rPr>
                <w:rFonts w:ascii="Calibri" w:hAnsi="Calibri"/>
                <w:color w:val="212529"/>
                <w:sz w:val="18"/>
              </w:rPr>
              <w:t>0.7760</w:t>
            </w:r>
          </w:p>
        </w:tc>
        <w:tc>
          <w:tcPr>
            <w:tcW w:type="dxa" w:w="1337"/>
            <w:shd w:fill="F8FAFC"/>
            <w:tcMar>
              <w:top w:w="60" w:type="dxa"/>
              <w:bottom w:w="60" w:type="dxa"/>
              <w:left w:w="100" w:type="dxa"/>
              <w:right w:w="100" w:type="dxa"/>
            </w:tcMar>
          </w:tcPr>
          <w:p>
            <w:pPr>
              <w:jc w:val="right"/>
            </w:pPr>
            <w:r>
              <w:rPr>
                <w:rFonts w:ascii="Calibri" w:hAnsi="Calibri"/>
                <w:color w:val="212529"/>
                <w:sz w:val="18"/>
              </w:rPr>
              <w:t>+0.51%</w:t>
            </w:r>
          </w:p>
        </w:tc>
        <w:tc>
          <w:tcPr>
            <w:tcW w:type="dxa" w:w="1337"/>
            <w:shd w:fill="F8FAFC"/>
            <w:tcMar>
              <w:top w:w="60" w:type="dxa"/>
              <w:bottom w:w="60" w:type="dxa"/>
              <w:left w:w="100" w:type="dxa"/>
              <w:right w:w="100" w:type="dxa"/>
            </w:tcMar>
          </w:tcPr>
          <w:p>
            <w:pPr>
              <w:jc w:val="right"/>
            </w:pPr>
            <w:r>
              <w:rPr>
                <w:rFonts w:ascii="Calibri" w:hAnsi="Calibri"/>
                <w:color w:val="212529"/>
                <w:sz w:val="18"/>
              </w:rPr>
              <w:t>Superseded</w:t>
            </w:r>
          </w:p>
        </w:tc>
      </w:tr>
      <w:tr>
        <w:tc>
          <w:tcPr>
            <w:tcW w:type="dxa" w:w="1337"/>
            <w:shd w:fill="FFFFFF"/>
            <w:tcMar>
              <w:top w:w="60" w:type="dxa"/>
              <w:bottom w:w="60" w:type="dxa"/>
              <w:left w:w="100" w:type="dxa"/>
              <w:right w:w="100" w:type="dxa"/>
            </w:tcMar>
          </w:tcPr>
          <w:p>
            <w:pPr>
              <w:jc w:val="left"/>
            </w:pPr>
            <w:r>
              <w:rPr>
                <w:rFonts w:ascii="Calibri" w:hAnsi="Calibri"/>
                <w:color w:val="212529"/>
                <w:sz w:val="18"/>
              </w:rPr>
              <w:t>Enhanced Random Forest (Cell 78)</w:t>
            </w:r>
          </w:p>
        </w:tc>
        <w:tc>
          <w:tcPr>
            <w:tcW w:type="dxa" w:w="1337"/>
            <w:shd w:fill="FFFFFF"/>
            <w:tcMar>
              <w:top w:w="60" w:type="dxa"/>
              <w:bottom w:w="60" w:type="dxa"/>
              <w:left w:w="100" w:type="dxa"/>
              <w:right w:w="100" w:type="dxa"/>
            </w:tcMar>
          </w:tcPr>
          <w:p>
            <w:pPr>
              <w:jc w:val="right"/>
            </w:pPr>
            <w:r>
              <w:rPr>
                <w:rFonts w:ascii="Calibri" w:hAnsi="Calibri"/>
                <w:color w:val="212529"/>
                <w:sz w:val="18"/>
              </w:rPr>
              <w:t>42,105.32</w:t>
            </w:r>
          </w:p>
        </w:tc>
        <w:tc>
          <w:tcPr>
            <w:tcW w:type="dxa" w:w="1337"/>
            <w:shd w:fill="FFFFFF"/>
            <w:tcMar>
              <w:top w:w="60" w:type="dxa"/>
              <w:bottom w:w="60" w:type="dxa"/>
              <w:left w:w="100" w:type="dxa"/>
              <w:right w:w="100" w:type="dxa"/>
            </w:tcMar>
          </w:tcPr>
          <w:p>
            <w:pPr>
              <w:jc w:val="right"/>
            </w:pPr>
            <w:r>
              <w:rPr>
                <w:rFonts w:ascii="Calibri" w:hAnsi="Calibri"/>
                <w:color w:val="212529"/>
                <w:sz w:val="18"/>
              </w:rPr>
              <w:t>61,240.18</w:t>
            </w:r>
          </w:p>
        </w:tc>
        <w:tc>
          <w:tcPr>
            <w:tcW w:type="dxa" w:w="1337"/>
            <w:shd w:fill="FFFFFF"/>
            <w:tcMar>
              <w:top w:w="60" w:type="dxa"/>
              <w:bottom w:w="60" w:type="dxa"/>
              <w:left w:w="100" w:type="dxa"/>
              <w:right w:w="100" w:type="dxa"/>
            </w:tcMar>
          </w:tcPr>
          <w:p>
            <w:pPr>
              <w:jc w:val="right"/>
            </w:pPr>
            <w:r>
              <w:rPr>
                <w:rFonts w:ascii="Calibri" w:hAnsi="Calibri"/>
                <w:color w:val="212529"/>
                <w:sz w:val="18"/>
              </w:rPr>
              <w:t>3.98%</w:t>
            </w:r>
          </w:p>
        </w:tc>
        <w:tc>
          <w:tcPr>
            <w:tcW w:type="dxa" w:w="1337"/>
            <w:shd w:fill="FFFFFF"/>
            <w:tcMar>
              <w:top w:w="60" w:type="dxa"/>
              <w:bottom w:w="60" w:type="dxa"/>
              <w:left w:w="100" w:type="dxa"/>
              <w:right w:w="100" w:type="dxa"/>
            </w:tcMar>
          </w:tcPr>
          <w:p>
            <w:pPr>
              <w:jc w:val="right"/>
            </w:pPr>
            <w:r>
              <w:rPr>
                <w:rFonts w:ascii="Calibri" w:hAnsi="Calibri"/>
                <w:color w:val="212529"/>
                <w:sz w:val="18"/>
              </w:rPr>
              <w:t>0.8280</w:t>
            </w:r>
          </w:p>
        </w:tc>
        <w:tc>
          <w:tcPr>
            <w:tcW w:type="dxa" w:w="1337"/>
            <w:shd w:fill="FFFFFF"/>
            <w:tcMar>
              <w:top w:w="60" w:type="dxa"/>
              <w:bottom w:w="60" w:type="dxa"/>
              <w:left w:w="100" w:type="dxa"/>
              <w:right w:w="100" w:type="dxa"/>
            </w:tcMar>
          </w:tcPr>
          <w:p>
            <w:pPr>
              <w:jc w:val="right"/>
            </w:pPr>
            <w:r>
              <w:rPr>
                <w:rFonts w:ascii="Calibri" w:hAnsi="Calibri"/>
                <w:color w:val="212529"/>
                <w:sz w:val="18"/>
              </w:rPr>
              <w:t>+0.38%</w:t>
            </w:r>
          </w:p>
        </w:tc>
        <w:tc>
          <w:tcPr>
            <w:tcW w:type="dxa" w:w="1337"/>
            <w:shd w:fill="FFFFFF"/>
            <w:tcMar>
              <w:top w:w="60" w:type="dxa"/>
              <w:bottom w:w="60" w:type="dxa"/>
              <w:left w:w="100" w:type="dxa"/>
              <w:right w:w="100" w:type="dxa"/>
            </w:tcMar>
          </w:tcPr>
          <w:p>
            <w:pPr>
              <w:jc w:val="right"/>
            </w:pPr>
            <w:r>
              <w:rPr>
                <w:rFonts w:ascii="Calibri" w:hAnsi="Calibri"/>
                <w:color w:val="212529"/>
                <w:sz w:val="18"/>
              </w:rPr>
              <w:t>Strong Candidate</w:t>
            </w:r>
          </w:p>
        </w:tc>
      </w:tr>
      <w:tr>
        <w:tc>
          <w:tcPr>
            <w:tcW w:type="dxa" w:w="1337"/>
            <w:shd w:fill="F8FAFC"/>
            <w:tcMar>
              <w:top w:w="60" w:type="dxa"/>
              <w:bottom w:w="60" w:type="dxa"/>
              <w:left w:w="100" w:type="dxa"/>
              <w:right w:w="100" w:type="dxa"/>
            </w:tcMar>
          </w:tcPr>
          <w:p>
            <w:pPr>
              <w:jc w:val="left"/>
            </w:pPr>
            <w:r>
              <w:rPr>
                <w:rFonts w:ascii="Calibri" w:hAnsi="Calibri"/>
                <w:color w:val="212529"/>
                <w:sz w:val="18"/>
              </w:rPr>
              <w:t>Enhanced LightGBM (Cell 78)</w:t>
            </w:r>
          </w:p>
        </w:tc>
        <w:tc>
          <w:tcPr>
            <w:tcW w:type="dxa" w:w="1337"/>
            <w:shd w:fill="F8FAFC"/>
            <w:tcMar>
              <w:top w:w="60" w:type="dxa"/>
              <w:bottom w:w="60" w:type="dxa"/>
              <w:left w:w="100" w:type="dxa"/>
              <w:right w:w="100" w:type="dxa"/>
            </w:tcMar>
          </w:tcPr>
          <w:p>
            <w:pPr>
              <w:jc w:val="right"/>
            </w:pPr>
            <w:r>
              <w:rPr>
                <w:rFonts w:ascii="Calibri" w:hAnsi="Calibri"/>
                <w:color w:val="212529"/>
                <w:sz w:val="18"/>
              </w:rPr>
              <w:t>38,912.45</w:t>
            </w:r>
          </w:p>
        </w:tc>
        <w:tc>
          <w:tcPr>
            <w:tcW w:type="dxa" w:w="1337"/>
            <w:shd w:fill="F8FAFC"/>
            <w:tcMar>
              <w:top w:w="60" w:type="dxa"/>
              <w:bottom w:w="60" w:type="dxa"/>
              <w:left w:w="100" w:type="dxa"/>
              <w:right w:w="100" w:type="dxa"/>
            </w:tcMar>
          </w:tcPr>
          <w:p>
            <w:pPr>
              <w:jc w:val="right"/>
            </w:pPr>
            <w:r>
              <w:rPr>
                <w:rFonts w:ascii="Calibri" w:hAnsi="Calibri"/>
                <w:color w:val="212529"/>
                <w:sz w:val="18"/>
              </w:rPr>
              <w:t>56,430.82</w:t>
            </w:r>
          </w:p>
        </w:tc>
        <w:tc>
          <w:tcPr>
            <w:tcW w:type="dxa" w:w="1337"/>
            <w:shd w:fill="F8FAFC"/>
            <w:tcMar>
              <w:top w:w="60" w:type="dxa"/>
              <w:bottom w:w="60" w:type="dxa"/>
              <w:left w:w="100" w:type="dxa"/>
              <w:right w:w="100" w:type="dxa"/>
            </w:tcMar>
          </w:tcPr>
          <w:p>
            <w:pPr>
              <w:jc w:val="right"/>
            </w:pPr>
            <w:r>
              <w:rPr>
                <w:rFonts w:ascii="Calibri" w:hAnsi="Calibri"/>
                <w:color w:val="212529"/>
                <w:sz w:val="18"/>
              </w:rPr>
              <w:t>3.68%</w:t>
            </w:r>
          </w:p>
        </w:tc>
        <w:tc>
          <w:tcPr>
            <w:tcW w:type="dxa" w:w="1337"/>
            <w:shd w:fill="F8FAFC"/>
            <w:tcMar>
              <w:top w:w="60" w:type="dxa"/>
              <w:bottom w:w="60" w:type="dxa"/>
              <w:left w:w="100" w:type="dxa"/>
              <w:right w:w="100" w:type="dxa"/>
            </w:tcMar>
          </w:tcPr>
          <w:p>
            <w:pPr>
              <w:jc w:val="right"/>
            </w:pPr>
            <w:r>
              <w:rPr>
                <w:rFonts w:ascii="Calibri" w:hAnsi="Calibri"/>
                <w:color w:val="212529"/>
                <w:sz w:val="18"/>
              </w:rPr>
              <w:t>0.8540</w:t>
            </w:r>
          </w:p>
        </w:tc>
        <w:tc>
          <w:tcPr>
            <w:tcW w:type="dxa" w:w="1337"/>
            <w:shd w:fill="F8FAFC"/>
            <w:tcMar>
              <w:top w:w="60" w:type="dxa"/>
              <w:bottom w:w="60" w:type="dxa"/>
              <w:left w:w="100" w:type="dxa"/>
              <w:right w:w="100" w:type="dxa"/>
            </w:tcMar>
          </w:tcPr>
          <w:p>
            <w:pPr>
              <w:jc w:val="right"/>
            </w:pPr>
            <w:r>
              <w:rPr>
                <w:rFonts w:ascii="Calibri" w:hAnsi="Calibri"/>
                <w:color w:val="212529"/>
                <w:sz w:val="18"/>
              </w:rPr>
              <w:t>+0.22%</w:t>
            </w:r>
          </w:p>
        </w:tc>
        <w:tc>
          <w:tcPr>
            <w:tcW w:type="dxa" w:w="1337"/>
            <w:shd w:fill="F8FAFC"/>
            <w:tcMar>
              <w:top w:w="60" w:type="dxa"/>
              <w:bottom w:w="60" w:type="dxa"/>
              <w:left w:w="100" w:type="dxa"/>
              <w:right w:w="100" w:type="dxa"/>
            </w:tcMar>
          </w:tcPr>
          <w:p>
            <w:pPr>
              <w:jc w:val="right"/>
            </w:pPr>
            <w:r>
              <w:rPr>
                <w:rFonts w:ascii="Calibri" w:hAnsi="Calibri"/>
                <w:color w:val="212529"/>
                <w:sz w:val="18"/>
              </w:rPr>
              <w:t>Strong Candidate</w:t>
            </w:r>
          </w:p>
        </w:tc>
      </w:tr>
      <w:tr>
        <w:tc>
          <w:tcPr>
            <w:tcW w:type="dxa" w:w="1337"/>
            <w:shd w:fill="FFFFFF"/>
            <w:tcMar>
              <w:top w:w="60" w:type="dxa"/>
              <w:bottom w:w="60" w:type="dxa"/>
              <w:left w:w="100" w:type="dxa"/>
              <w:right w:w="100" w:type="dxa"/>
            </w:tcMar>
          </w:tcPr>
          <w:p>
            <w:pPr>
              <w:jc w:val="left"/>
            </w:pPr>
            <w:r>
              <w:rPr>
                <w:rFonts w:ascii="Calibri" w:hAnsi="Calibri"/>
                <w:color w:val="212529"/>
                <w:sz w:val="18"/>
              </w:rPr>
              <w:t>XGBoost Optimized (Cell 78)</w:t>
            </w:r>
          </w:p>
        </w:tc>
        <w:tc>
          <w:tcPr>
            <w:tcW w:type="dxa" w:w="1337"/>
            <w:shd w:fill="FFFFFF"/>
            <w:tcMar>
              <w:top w:w="60" w:type="dxa"/>
              <w:bottom w:w="60" w:type="dxa"/>
              <w:left w:w="100" w:type="dxa"/>
              <w:right w:w="100" w:type="dxa"/>
            </w:tcMar>
          </w:tcPr>
          <w:p>
            <w:pPr>
              <w:jc w:val="right"/>
            </w:pPr>
            <w:r>
              <w:rPr>
                <w:rFonts w:ascii="Calibri" w:hAnsi="Calibri"/>
                <w:color w:val="212529"/>
                <w:sz w:val="18"/>
              </w:rPr>
              <w:t>37,598.15</w:t>
            </w:r>
          </w:p>
        </w:tc>
        <w:tc>
          <w:tcPr>
            <w:tcW w:type="dxa" w:w="1337"/>
            <w:shd w:fill="FFFFFF"/>
            <w:tcMar>
              <w:top w:w="60" w:type="dxa"/>
              <w:bottom w:w="60" w:type="dxa"/>
              <w:left w:w="100" w:type="dxa"/>
              <w:right w:w="100" w:type="dxa"/>
            </w:tcMar>
          </w:tcPr>
          <w:p>
            <w:pPr>
              <w:jc w:val="right"/>
            </w:pPr>
            <w:r>
              <w:rPr>
                <w:rFonts w:ascii="Calibri" w:hAnsi="Calibri"/>
                <w:color w:val="212529"/>
                <w:sz w:val="18"/>
              </w:rPr>
              <w:t>54,161.25</w:t>
            </w:r>
          </w:p>
        </w:tc>
        <w:tc>
          <w:tcPr>
            <w:tcW w:type="dxa" w:w="1337"/>
            <w:shd w:fill="FFFFFF"/>
            <w:tcMar>
              <w:top w:w="60" w:type="dxa"/>
              <w:bottom w:w="60" w:type="dxa"/>
              <w:left w:w="100" w:type="dxa"/>
              <w:right w:w="100" w:type="dxa"/>
            </w:tcMar>
          </w:tcPr>
          <w:p>
            <w:pPr>
              <w:jc w:val="right"/>
            </w:pPr>
            <w:r>
              <w:rPr>
                <w:rFonts w:ascii="Calibri" w:hAnsi="Calibri"/>
                <w:color w:val="212529"/>
                <w:sz w:val="18"/>
              </w:rPr>
              <w:t>3.55%</w:t>
            </w:r>
          </w:p>
        </w:tc>
        <w:tc>
          <w:tcPr>
            <w:tcW w:type="dxa" w:w="1337"/>
            <w:shd w:fill="FFFFFF"/>
            <w:tcMar>
              <w:top w:w="60" w:type="dxa"/>
              <w:bottom w:w="60" w:type="dxa"/>
              <w:left w:w="100" w:type="dxa"/>
              <w:right w:w="100" w:type="dxa"/>
            </w:tcMar>
          </w:tcPr>
          <w:p>
            <w:pPr>
              <w:jc w:val="right"/>
            </w:pPr>
            <w:r>
              <w:rPr>
                <w:rFonts w:ascii="Calibri" w:hAnsi="Calibri"/>
                <w:color w:val="212529"/>
                <w:sz w:val="18"/>
              </w:rPr>
              <w:t>0.8654</w:t>
            </w:r>
          </w:p>
        </w:tc>
        <w:tc>
          <w:tcPr>
            <w:tcW w:type="dxa" w:w="1337"/>
            <w:shd w:fill="FFFFFF"/>
            <w:tcMar>
              <w:top w:w="60" w:type="dxa"/>
              <w:bottom w:w="60" w:type="dxa"/>
              <w:left w:w="100" w:type="dxa"/>
              <w:right w:w="100" w:type="dxa"/>
            </w:tcMar>
          </w:tcPr>
          <w:p>
            <w:pPr>
              <w:jc w:val="right"/>
            </w:pPr>
            <w:r>
              <w:rPr>
                <w:rFonts w:ascii="Calibri" w:hAnsi="Calibri"/>
                <w:color w:val="212529"/>
                <w:sz w:val="18"/>
              </w:rPr>
              <w:t>+0.15%</w:t>
            </w:r>
          </w:p>
        </w:tc>
        <w:tc>
          <w:tcPr>
            <w:tcW w:type="dxa" w:w="1337"/>
            <w:shd w:fill="FFFFFF"/>
            <w:tcMar>
              <w:top w:w="60" w:type="dxa"/>
              <w:bottom w:w="60" w:type="dxa"/>
              <w:left w:w="100" w:type="dxa"/>
              <w:right w:w="100" w:type="dxa"/>
            </w:tcMar>
          </w:tcPr>
          <w:p>
            <w:pPr>
              <w:jc w:val="right"/>
            </w:pPr>
            <w:r>
              <w:rPr>
                <w:rFonts w:ascii="Calibri" w:hAnsi="Calibri"/>
                <w:color w:val="212529"/>
                <w:sz w:val="18"/>
              </w:rPr>
              <w:t>Selected Production Model</w:t>
            </w:r>
          </w:p>
        </w:tc>
      </w:tr>
    </w:tbl>
    <w:p>
      <w:pPr>
        <w:spacing w:after="160"/>
      </w:pPr>
    </w:p>
    <w:p>
      <w:pPr/>
      <w:r>
        <w:rPr>
          <w:b/>
        </w:rPr>
        <w:t>Table 2: Audited Out-of-Sample Performance on Online Retail Daily SKU Transactions.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560"/>
            <w:shd w:fill="102C57"/>
            <w:tcMar>
              <w:top w:w="80" w:type="dxa"/>
              <w:bottom w:w="80" w:type="dxa"/>
              <w:left w:w="100" w:type="dxa"/>
              <w:right w:w="100" w:type="dxa"/>
            </w:tcMar>
          </w:tcPr>
          <w:p>
            <w:pPr>
              <w:jc w:val="center"/>
            </w:pPr>
            <w:r>
              <w:rPr>
                <w:rFonts w:ascii="Calibri" w:hAnsi="Calibri"/>
                <w:b/>
                <w:color w:val="FFFFFF"/>
                <w:sz w:val="19"/>
              </w:rPr>
              <w:t>Model Pipeline</w:t>
            </w:r>
          </w:p>
        </w:tc>
        <w:tc>
          <w:tcPr>
            <w:tcW w:type="dxa" w:w="1560"/>
            <w:shd w:fill="102C57"/>
            <w:tcMar>
              <w:top w:w="80" w:type="dxa"/>
              <w:bottom w:w="80" w:type="dxa"/>
              <w:left w:w="100" w:type="dxa"/>
              <w:right w:w="100" w:type="dxa"/>
            </w:tcMar>
          </w:tcPr>
          <w:p>
            <w:pPr>
              <w:jc w:val="center"/>
            </w:pPr>
            <w:r>
              <w:rPr>
                <w:rFonts w:ascii="Calibri" w:hAnsi="Calibri"/>
                <w:b/>
                <w:color w:val="FFFFFF"/>
                <w:sz w:val="19"/>
              </w:rPr>
              <w:t>Validation Population</w:t>
            </w:r>
          </w:p>
        </w:tc>
        <w:tc>
          <w:tcPr>
            <w:tcW w:type="dxa" w:w="1560"/>
            <w:shd w:fill="102C57"/>
            <w:tcMar>
              <w:top w:w="80" w:type="dxa"/>
              <w:bottom w:w="80" w:type="dxa"/>
              <w:left w:w="100" w:type="dxa"/>
              <w:right w:w="100" w:type="dxa"/>
            </w:tcMar>
          </w:tcPr>
          <w:p>
            <w:pPr>
              <w:jc w:val="center"/>
            </w:pPr>
            <w:r>
              <w:rPr>
                <w:rFonts w:ascii="Calibri" w:hAnsi="Calibri"/>
                <w:b/>
                <w:color w:val="FFFFFF"/>
                <w:sz w:val="19"/>
              </w:rPr>
              <w:t>MAE (Units)</w:t>
            </w:r>
          </w:p>
        </w:tc>
        <w:tc>
          <w:tcPr>
            <w:tcW w:type="dxa" w:w="1560"/>
            <w:shd w:fill="102C57"/>
            <w:tcMar>
              <w:top w:w="80" w:type="dxa"/>
              <w:bottom w:w="80" w:type="dxa"/>
              <w:left w:w="100" w:type="dxa"/>
              <w:right w:w="100" w:type="dxa"/>
            </w:tcMar>
          </w:tcPr>
          <w:p>
            <w:pPr>
              <w:jc w:val="center"/>
            </w:pPr>
            <w:r>
              <w:rPr>
                <w:rFonts w:ascii="Calibri" w:hAnsi="Calibri"/>
                <w:b/>
                <w:color w:val="FFFFFF"/>
                <w:sz w:val="19"/>
              </w:rPr>
              <w:t>RMSE (Units)</w:t>
            </w:r>
          </w:p>
        </w:tc>
        <w:tc>
          <w:tcPr>
            <w:tcW w:type="dxa" w:w="1560"/>
            <w:shd w:fill="102C57"/>
            <w:tcMar>
              <w:top w:w="80" w:type="dxa"/>
              <w:bottom w:w="80" w:type="dxa"/>
              <w:left w:w="100" w:type="dxa"/>
              <w:right w:w="100" w:type="dxa"/>
            </w:tcMar>
          </w:tcPr>
          <w:p>
            <w:pPr>
              <w:jc w:val="center"/>
            </w:pPr>
            <w:r>
              <w:rPr>
                <w:rFonts w:ascii="Calibri" w:hAnsi="Calibri"/>
                <w:b/>
                <w:color w:val="FFFFFF"/>
                <w:sz w:val="19"/>
              </w:rPr>
              <w:t>Bias (%)</w:t>
            </w:r>
          </w:p>
        </w:tc>
        <w:tc>
          <w:tcPr>
            <w:tcW w:type="dxa" w:w="1560"/>
            <w:shd w:fill="102C57"/>
            <w:tcMar>
              <w:top w:w="80" w:type="dxa"/>
              <w:bottom w:w="80" w:type="dxa"/>
              <w:left w:w="100" w:type="dxa"/>
              <w:right w:w="100" w:type="dxa"/>
            </w:tcMar>
          </w:tcPr>
          <w:p>
            <w:pPr>
              <w:jc w:val="center"/>
            </w:pPr>
            <w:r>
              <w:rPr>
                <w:rFonts w:ascii="Calibri" w:hAnsi="Calibri"/>
                <w:b/>
                <w:color w:val="FFFFFF"/>
                <w:sz w:val="19"/>
              </w:rPr>
              <w:t>Operational Viability</w:t>
            </w:r>
          </w:p>
        </w:tc>
      </w:tr>
      <w:tr>
        <w:tc>
          <w:tcPr>
            <w:tcW w:type="dxa" w:w="1560"/>
            <w:shd w:fill="FFFFFF"/>
            <w:tcMar>
              <w:top w:w="60" w:type="dxa"/>
              <w:bottom w:w="60" w:type="dxa"/>
              <w:left w:w="100" w:type="dxa"/>
              <w:right w:w="100" w:type="dxa"/>
            </w:tcMar>
          </w:tcPr>
          <w:p>
            <w:pPr>
              <w:jc w:val="left"/>
            </w:pPr>
            <w:r>
              <w:rPr>
                <w:rFonts w:ascii="Calibri" w:hAnsi="Calibri"/>
                <w:color w:val="212529"/>
                <w:sz w:val="18"/>
              </w:rPr>
              <w:t>Naive Baseline (Cell 80)</w:t>
            </w:r>
          </w:p>
        </w:tc>
        <w:tc>
          <w:tcPr>
            <w:tcW w:type="dxa" w:w="1560"/>
            <w:shd w:fill="FFFFFF"/>
            <w:tcMar>
              <w:top w:w="60" w:type="dxa"/>
              <w:bottom w:w="60" w:type="dxa"/>
              <w:left w:w="100" w:type="dxa"/>
              <w:right w:w="100" w:type="dxa"/>
            </w:tcMar>
          </w:tcPr>
          <w:p>
            <w:pPr>
              <w:jc w:val="right"/>
            </w:pPr>
            <w:r>
              <w:rPr>
                <w:rFonts w:ascii="Calibri" w:hAnsi="Calibri"/>
                <w:color w:val="212529"/>
                <w:sz w:val="18"/>
              </w:rPr>
              <w:t>Identical 47,184 rows</w:t>
            </w:r>
          </w:p>
        </w:tc>
        <w:tc>
          <w:tcPr>
            <w:tcW w:type="dxa" w:w="1560"/>
            <w:shd w:fill="FFFFFF"/>
            <w:tcMar>
              <w:top w:w="60" w:type="dxa"/>
              <w:bottom w:w="60" w:type="dxa"/>
              <w:left w:w="100" w:type="dxa"/>
              <w:right w:w="100" w:type="dxa"/>
            </w:tcMar>
          </w:tcPr>
          <w:p>
            <w:pPr>
              <w:jc w:val="right"/>
            </w:pPr>
            <w:r>
              <w:rPr>
                <w:rFonts w:ascii="Calibri" w:hAnsi="Calibri"/>
                <w:color w:val="212529"/>
                <w:sz w:val="18"/>
              </w:rPr>
              <w:t>28.45</w:t>
            </w:r>
          </w:p>
        </w:tc>
        <w:tc>
          <w:tcPr>
            <w:tcW w:type="dxa" w:w="1560"/>
            <w:shd w:fill="FFFFFF"/>
            <w:tcMar>
              <w:top w:w="60" w:type="dxa"/>
              <w:bottom w:w="60" w:type="dxa"/>
              <w:left w:w="100" w:type="dxa"/>
              <w:right w:w="100" w:type="dxa"/>
            </w:tcMar>
          </w:tcPr>
          <w:p>
            <w:pPr>
              <w:jc w:val="right"/>
            </w:pPr>
            <w:r>
              <w:rPr>
                <w:rFonts w:ascii="Calibri" w:hAnsi="Calibri"/>
                <w:color w:val="212529"/>
                <w:sz w:val="18"/>
              </w:rPr>
              <w:t>75.03</w:t>
            </w:r>
          </w:p>
        </w:tc>
        <w:tc>
          <w:tcPr>
            <w:tcW w:type="dxa" w:w="1560"/>
            <w:shd w:fill="FFFFFF"/>
            <w:tcMar>
              <w:top w:w="60" w:type="dxa"/>
              <w:bottom w:w="60" w:type="dxa"/>
              <w:left w:w="100" w:type="dxa"/>
              <w:right w:w="100" w:type="dxa"/>
            </w:tcMar>
          </w:tcPr>
          <w:p>
            <w:pPr>
              <w:jc w:val="right"/>
            </w:pPr>
            <w:r>
              <w:rPr>
                <w:rFonts w:ascii="Calibri" w:hAnsi="Calibri"/>
                <w:color w:val="212529"/>
                <w:sz w:val="18"/>
              </w:rPr>
              <w:t>-0.85%</w:t>
            </w:r>
          </w:p>
        </w:tc>
        <w:tc>
          <w:tcPr>
            <w:tcW w:type="dxa" w:w="1560"/>
            <w:shd w:fill="FFFFFF"/>
            <w:tcMar>
              <w:top w:w="60" w:type="dxa"/>
              <w:bottom w:w="60" w:type="dxa"/>
              <w:left w:w="100" w:type="dxa"/>
              <w:right w:w="100" w:type="dxa"/>
            </w:tcMar>
          </w:tcPr>
          <w:p>
            <w:pPr>
              <w:jc w:val="right"/>
            </w:pPr>
            <w:r>
              <w:rPr>
                <w:rFonts w:ascii="Calibri" w:hAnsi="Calibri"/>
                <w:color w:val="212529"/>
                <w:sz w:val="18"/>
              </w:rPr>
              <w:t>Baseline Benchmark</w:t>
            </w:r>
          </w:p>
        </w:tc>
      </w:tr>
      <w:tr>
        <w:tc>
          <w:tcPr>
            <w:tcW w:type="dxa" w:w="1560"/>
            <w:shd w:fill="F8FAFC"/>
            <w:tcMar>
              <w:top w:w="60" w:type="dxa"/>
              <w:bottom w:w="60" w:type="dxa"/>
              <w:left w:w="100" w:type="dxa"/>
              <w:right w:w="100" w:type="dxa"/>
            </w:tcMar>
          </w:tcPr>
          <w:p>
            <w:pPr>
              <w:jc w:val="left"/>
            </w:pPr>
            <w:r>
              <w:rPr>
                <w:rFonts w:ascii="Calibri" w:hAnsi="Calibri"/>
                <w:color w:val="212529"/>
                <w:sz w:val="18"/>
              </w:rPr>
              <w:t>Original XGBoost (Cell 31)</w:t>
            </w:r>
          </w:p>
        </w:tc>
        <w:tc>
          <w:tcPr>
            <w:tcW w:type="dxa" w:w="1560"/>
            <w:shd w:fill="F8FAFC"/>
            <w:tcMar>
              <w:top w:w="60" w:type="dxa"/>
              <w:bottom w:w="60" w:type="dxa"/>
              <w:left w:w="100" w:type="dxa"/>
              <w:right w:w="100" w:type="dxa"/>
            </w:tcMar>
          </w:tcPr>
          <w:p>
            <w:pPr>
              <w:jc w:val="right"/>
            </w:pPr>
            <w:r>
              <w:rPr>
                <w:rFonts w:ascii="Calibri" w:hAnsi="Calibri"/>
                <w:color w:val="212529"/>
                <w:sz w:val="18"/>
              </w:rPr>
              <w:t>Identical 47,184 rows</w:t>
            </w:r>
          </w:p>
        </w:tc>
        <w:tc>
          <w:tcPr>
            <w:tcW w:type="dxa" w:w="1560"/>
            <w:shd w:fill="F8FAFC"/>
            <w:tcMar>
              <w:top w:w="60" w:type="dxa"/>
              <w:bottom w:w="60" w:type="dxa"/>
              <w:left w:w="100" w:type="dxa"/>
              <w:right w:w="100" w:type="dxa"/>
            </w:tcMar>
          </w:tcPr>
          <w:p>
            <w:pPr>
              <w:jc w:val="right"/>
            </w:pPr>
            <w:r>
              <w:rPr>
                <w:rFonts w:ascii="Calibri" w:hAnsi="Calibri"/>
                <w:color w:val="212529"/>
                <w:sz w:val="18"/>
              </w:rPr>
              <w:t>20.41</w:t>
            </w:r>
          </w:p>
        </w:tc>
        <w:tc>
          <w:tcPr>
            <w:tcW w:type="dxa" w:w="1560"/>
            <w:shd w:fill="F8FAFC"/>
            <w:tcMar>
              <w:top w:w="60" w:type="dxa"/>
              <w:bottom w:w="60" w:type="dxa"/>
              <w:left w:w="100" w:type="dxa"/>
              <w:right w:w="100" w:type="dxa"/>
            </w:tcMar>
          </w:tcPr>
          <w:p>
            <w:pPr>
              <w:jc w:val="right"/>
            </w:pPr>
            <w:r>
              <w:rPr>
                <w:rFonts w:ascii="Calibri" w:hAnsi="Calibri"/>
                <w:color w:val="212529"/>
                <w:sz w:val="18"/>
              </w:rPr>
              <w:t>68.12</w:t>
            </w:r>
          </w:p>
        </w:tc>
        <w:tc>
          <w:tcPr>
            <w:tcW w:type="dxa" w:w="1560"/>
            <w:shd w:fill="F8FAFC"/>
            <w:tcMar>
              <w:top w:w="60" w:type="dxa"/>
              <w:bottom w:w="60" w:type="dxa"/>
              <w:left w:w="100" w:type="dxa"/>
              <w:right w:w="100" w:type="dxa"/>
            </w:tcMar>
          </w:tcPr>
          <w:p>
            <w:pPr>
              <w:jc w:val="right"/>
            </w:pPr>
            <w:r>
              <w:rPr>
                <w:rFonts w:ascii="Calibri" w:hAnsi="Calibri"/>
                <w:color w:val="212529"/>
                <w:sz w:val="18"/>
              </w:rPr>
              <w:t>+2.14%</w:t>
            </w:r>
          </w:p>
        </w:tc>
        <w:tc>
          <w:tcPr>
            <w:tcW w:type="dxa" w:w="1560"/>
            <w:shd w:fill="F8FAFC"/>
            <w:tcMar>
              <w:top w:w="60" w:type="dxa"/>
              <w:bottom w:w="60" w:type="dxa"/>
              <w:left w:w="100" w:type="dxa"/>
              <w:right w:w="100" w:type="dxa"/>
            </w:tcMar>
          </w:tcPr>
          <w:p>
            <w:pPr>
              <w:jc w:val="right"/>
            </w:pPr>
            <w:r>
              <w:rPr>
                <w:rFonts w:ascii="Calibri" w:hAnsi="Calibri"/>
                <w:color w:val="212529"/>
                <w:sz w:val="18"/>
              </w:rPr>
              <w:t>Superseded</w:t>
            </w:r>
          </w:p>
        </w:tc>
      </w:tr>
      <w:tr>
        <w:tc>
          <w:tcPr>
            <w:tcW w:type="dxa" w:w="1560"/>
            <w:shd w:fill="FFFFFF"/>
            <w:tcMar>
              <w:top w:w="60" w:type="dxa"/>
              <w:bottom w:w="60" w:type="dxa"/>
              <w:left w:w="100" w:type="dxa"/>
              <w:right w:w="100" w:type="dxa"/>
            </w:tcMar>
          </w:tcPr>
          <w:p>
            <w:pPr>
              <w:jc w:val="left"/>
            </w:pPr>
            <w:r>
              <w:rPr>
                <w:rFonts w:ascii="Calibri" w:hAnsi="Calibri"/>
                <w:color w:val="212529"/>
                <w:sz w:val="18"/>
              </w:rPr>
              <w:t>Log1p XGBoost (Cell 80)</w:t>
            </w:r>
          </w:p>
        </w:tc>
        <w:tc>
          <w:tcPr>
            <w:tcW w:type="dxa" w:w="1560"/>
            <w:shd w:fill="FFFFFF"/>
            <w:tcMar>
              <w:top w:w="60" w:type="dxa"/>
              <w:bottom w:w="60" w:type="dxa"/>
              <w:left w:w="100" w:type="dxa"/>
              <w:right w:w="100" w:type="dxa"/>
            </w:tcMar>
          </w:tcPr>
          <w:p>
            <w:pPr>
              <w:jc w:val="right"/>
            </w:pPr>
            <w:r>
              <w:rPr>
                <w:rFonts w:ascii="Calibri" w:hAnsi="Calibri"/>
                <w:color w:val="212529"/>
                <w:sz w:val="18"/>
              </w:rPr>
              <w:t>Identical 47,184 rows</w:t>
            </w:r>
          </w:p>
        </w:tc>
        <w:tc>
          <w:tcPr>
            <w:tcW w:type="dxa" w:w="1560"/>
            <w:shd w:fill="FFFFFF"/>
            <w:tcMar>
              <w:top w:w="60" w:type="dxa"/>
              <w:bottom w:w="60" w:type="dxa"/>
              <w:left w:w="100" w:type="dxa"/>
              <w:right w:w="100" w:type="dxa"/>
            </w:tcMar>
          </w:tcPr>
          <w:p>
            <w:pPr>
              <w:jc w:val="right"/>
            </w:pPr>
            <w:r>
              <w:rPr>
                <w:rFonts w:ascii="Calibri" w:hAnsi="Calibri"/>
                <w:color w:val="212529"/>
                <w:sz w:val="18"/>
              </w:rPr>
              <w:t>15.13</w:t>
            </w:r>
          </w:p>
        </w:tc>
        <w:tc>
          <w:tcPr>
            <w:tcW w:type="dxa" w:w="1560"/>
            <w:shd w:fill="FFFFFF"/>
            <w:tcMar>
              <w:top w:w="60" w:type="dxa"/>
              <w:bottom w:w="60" w:type="dxa"/>
              <w:left w:w="100" w:type="dxa"/>
              <w:right w:w="100" w:type="dxa"/>
            </w:tcMar>
          </w:tcPr>
          <w:p>
            <w:pPr>
              <w:jc w:val="right"/>
            </w:pPr>
            <w:r>
              <w:rPr>
                <w:rFonts w:ascii="Calibri" w:hAnsi="Calibri"/>
                <w:color w:val="212529"/>
                <w:sz w:val="18"/>
              </w:rPr>
              <w:t>58.42</w:t>
            </w:r>
          </w:p>
        </w:tc>
        <w:tc>
          <w:tcPr>
            <w:tcW w:type="dxa" w:w="1560"/>
            <w:shd w:fill="FFFFFF"/>
            <w:tcMar>
              <w:top w:w="60" w:type="dxa"/>
              <w:bottom w:w="60" w:type="dxa"/>
              <w:left w:w="100" w:type="dxa"/>
              <w:right w:w="100" w:type="dxa"/>
            </w:tcMar>
          </w:tcPr>
          <w:p>
            <w:pPr>
              <w:jc w:val="right"/>
            </w:pPr>
            <w:r>
              <w:rPr>
                <w:rFonts w:ascii="Calibri" w:hAnsi="Calibri"/>
                <w:color w:val="212529"/>
                <w:sz w:val="18"/>
              </w:rPr>
              <w:t>-43.14%</w:t>
            </w:r>
          </w:p>
        </w:tc>
        <w:tc>
          <w:tcPr>
            <w:tcW w:type="dxa" w:w="1560"/>
            <w:shd w:fill="FFFFFF"/>
            <w:tcMar>
              <w:top w:w="60" w:type="dxa"/>
              <w:bottom w:w="60" w:type="dxa"/>
              <w:left w:w="100" w:type="dxa"/>
              <w:right w:w="100" w:type="dxa"/>
            </w:tcMar>
          </w:tcPr>
          <w:p>
            <w:pPr>
              <w:jc w:val="right"/>
            </w:pPr>
            <w:r>
              <w:rPr>
                <w:rFonts w:ascii="Calibri" w:hAnsi="Calibri"/>
                <w:color w:val="212529"/>
                <w:sz w:val="18"/>
              </w:rPr>
              <w:t>Rejected (Severe Under-Replenishment)</w:t>
            </w:r>
          </w:p>
        </w:tc>
      </w:tr>
      <w:tr>
        <w:tc>
          <w:tcPr>
            <w:tcW w:type="dxa" w:w="1560"/>
            <w:shd w:fill="F8FAFC"/>
            <w:tcMar>
              <w:top w:w="60" w:type="dxa"/>
              <w:bottom w:w="60" w:type="dxa"/>
              <w:left w:w="100" w:type="dxa"/>
              <w:right w:w="100" w:type="dxa"/>
            </w:tcMar>
          </w:tcPr>
          <w:p>
            <w:pPr>
              <w:jc w:val="left"/>
            </w:pPr>
            <w:r>
              <w:rPr>
                <w:rFonts w:ascii="Calibri" w:hAnsi="Calibri"/>
                <w:color w:val="212529"/>
                <w:sz w:val="18"/>
              </w:rPr>
              <w:t>LightGBM MSE (Cell 80)</w:t>
            </w:r>
          </w:p>
        </w:tc>
        <w:tc>
          <w:tcPr>
            <w:tcW w:type="dxa" w:w="1560"/>
            <w:shd w:fill="F8FAFC"/>
            <w:tcMar>
              <w:top w:w="60" w:type="dxa"/>
              <w:bottom w:w="60" w:type="dxa"/>
              <w:left w:w="100" w:type="dxa"/>
              <w:right w:w="100" w:type="dxa"/>
            </w:tcMar>
          </w:tcPr>
          <w:p>
            <w:pPr>
              <w:jc w:val="right"/>
            </w:pPr>
            <w:r>
              <w:rPr>
                <w:rFonts w:ascii="Calibri" w:hAnsi="Calibri"/>
                <w:color w:val="212529"/>
                <w:sz w:val="18"/>
              </w:rPr>
              <w:t>Identical 47,184 rows</w:t>
            </w:r>
          </w:p>
        </w:tc>
        <w:tc>
          <w:tcPr>
            <w:tcW w:type="dxa" w:w="1560"/>
            <w:shd w:fill="F8FAFC"/>
            <w:tcMar>
              <w:top w:w="60" w:type="dxa"/>
              <w:bottom w:w="60" w:type="dxa"/>
              <w:left w:w="100" w:type="dxa"/>
              <w:right w:w="100" w:type="dxa"/>
            </w:tcMar>
          </w:tcPr>
          <w:p>
            <w:pPr>
              <w:jc w:val="right"/>
            </w:pPr>
            <w:r>
              <w:rPr>
                <w:rFonts w:ascii="Calibri" w:hAnsi="Calibri"/>
                <w:color w:val="212529"/>
                <w:sz w:val="18"/>
              </w:rPr>
              <w:t>17.82</w:t>
            </w:r>
          </w:p>
        </w:tc>
        <w:tc>
          <w:tcPr>
            <w:tcW w:type="dxa" w:w="1560"/>
            <w:shd w:fill="F8FAFC"/>
            <w:tcMar>
              <w:top w:w="60" w:type="dxa"/>
              <w:bottom w:w="60" w:type="dxa"/>
              <w:left w:w="100" w:type="dxa"/>
              <w:right w:w="100" w:type="dxa"/>
            </w:tcMar>
          </w:tcPr>
          <w:p>
            <w:pPr>
              <w:jc w:val="right"/>
            </w:pPr>
            <w:r>
              <w:rPr>
                <w:rFonts w:ascii="Calibri" w:hAnsi="Calibri"/>
                <w:color w:val="212529"/>
                <w:sz w:val="18"/>
              </w:rPr>
              <w:t>55.09</w:t>
            </w:r>
          </w:p>
        </w:tc>
        <w:tc>
          <w:tcPr>
            <w:tcW w:type="dxa" w:w="1560"/>
            <w:shd w:fill="F8FAFC"/>
            <w:tcMar>
              <w:top w:w="60" w:type="dxa"/>
              <w:bottom w:w="60" w:type="dxa"/>
              <w:left w:w="100" w:type="dxa"/>
              <w:right w:w="100" w:type="dxa"/>
            </w:tcMar>
          </w:tcPr>
          <w:p>
            <w:pPr>
              <w:jc w:val="right"/>
            </w:pPr>
            <w:r>
              <w:rPr>
                <w:rFonts w:ascii="Calibri" w:hAnsi="Calibri"/>
                <w:color w:val="212529"/>
                <w:sz w:val="18"/>
              </w:rPr>
              <w:t>+3.92%</w:t>
            </w:r>
          </w:p>
        </w:tc>
        <w:tc>
          <w:tcPr>
            <w:tcW w:type="dxa" w:w="1560"/>
            <w:shd w:fill="F8FAFC"/>
            <w:tcMar>
              <w:top w:w="60" w:type="dxa"/>
              <w:bottom w:w="60" w:type="dxa"/>
              <w:left w:w="100" w:type="dxa"/>
              <w:right w:w="100" w:type="dxa"/>
            </w:tcMar>
          </w:tcPr>
          <w:p>
            <w:pPr>
              <w:jc w:val="right"/>
            </w:pPr>
            <w:r>
              <w:rPr>
                <w:rFonts w:ascii="Calibri" w:hAnsi="Calibri"/>
                <w:color w:val="212529"/>
                <w:sz w:val="18"/>
              </w:rPr>
              <w:t>Selected Production Model (-26.58% RMSE)</w:t>
            </w:r>
          </w:p>
        </w:tc>
      </w:tr>
    </w:tbl>
    <w:p>
      <w:pPr>
        <w:spacing w:after="160"/>
      </w:pPr>
    </w:p>
    <w:p>
      <w:pPr/>
      <w:r>
        <w:rPr>
          <w:b/>
        </w:rPr>
        <w:t>Table 3: Audited Out-of-Sample Performance on M5 Daily Intermittent Grocery Sales.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337"/>
        <w:gridCol w:w="1337"/>
        <w:gridCol w:w="1337"/>
        <w:gridCol w:w="1337"/>
        <w:gridCol w:w="1337"/>
        <w:gridCol w:w="1337"/>
        <w:gridCol w:w="1337"/>
      </w:tblGrid>
      <w:tr>
        <w:tc>
          <w:tcPr>
            <w:tcW w:type="dxa" w:w="1337"/>
            <w:shd w:fill="102C57"/>
            <w:tcMar>
              <w:top w:w="80" w:type="dxa"/>
              <w:bottom w:w="80" w:type="dxa"/>
              <w:left w:w="100" w:type="dxa"/>
              <w:right w:w="100" w:type="dxa"/>
            </w:tcMar>
          </w:tcPr>
          <w:p>
            <w:pPr>
              <w:jc w:val="center"/>
            </w:pPr>
            <w:r>
              <w:rPr>
                <w:rFonts w:ascii="Calibri" w:hAnsi="Calibri"/>
                <w:b/>
                <w:color w:val="FFFFFF"/>
                <w:sz w:val="19"/>
              </w:rPr>
              <w:t>Model Architecture</w:t>
            </w:r>
          </w:p>
        </w:tc>
        <w:tc>
          <w:tcPr>
            <w:tcW w:type="dxa" w:w="1337"/>
            <w:shd w:fill="102C57"/>
            <w:tcMar>
              <w:top w:w="80" w:type="dxa"/>
              <w:bottom w:w="80" w:type="dxa"/>
              <w:left w:w="100" w:type="dxa"/>
              <w:right w:w="100" w:type="dxa"/>
            </w:tcMar>
          </w:tcPr>
          <w:p>
            <w:pPr>
              <w:jc w:val="center"/>
            </w:pPr>
            <w:r>
              <w:rPr>
                <w:rFonts w:ascii="Calibri" w:hAnsi="Calibri"/>
                <w:b/>
                <w:color w:val="FFFFFF"/>
                <w:sz w:val="19"/>
              </w:rPr>
              <w:t>Loss Objective</w:t>
            </w:r>
          </w:p>
        </w:tc>
        <w:tc>
          <w:tcPr>
            <w:tcW w:type="dxa" w:w="1337"/>
            <w:shd w:fill="102C57"/>
            <w:tcMar>
              <w:top w:w="80" w:type="dxa"/>
              <w:bottom w:w="80" w:type="dxa"/>
              <w:left w:w="100" w:type="dxa"/>
              <w:right w:w="100" w:type="dxa"/>
            </w:tcMar>
          </w:tcPr>
          <w:p>
            <w:pPr>
              <w:jc w:val="center"/>
            </w:pPr>
            <w:r>
              <w:rPr>
                <w:rFonts w:ascii="Calibri" w:hAnsi="Calibri"/>
                <w:b/>
                <w:color w:val="FFFFFF"/>
                <w:sz w:val="19"/>
              </w:rPr>
              <w:t>MAE (Units)</w:t>
            </w:r>
          </w:p>
        </w:tc>
        <w:tc>
          <w:tcPr>
            <w:tcW w:type="dxa" w:w="1337"/>
            <w:shd w:fill="102C57"/>
            <w:tcMar>
              <w:top w:w="80" w:type="dxa"/>
              <w:bottom w:w="80" w:type="dxa"/>
              <w:left w:w="100" w:type="dxa"/>
              <w:right w:w="100" w:type="dxa"/>
            </w:tcMar>
          </w:tcPr>
          <w:p>
            <w:pPr>
              <w:jc w:val="center"/>
            </w:pPr>
            <w:r>
              <w:rPr>
                <w:rFonts w:ascii="Calibri" w:hAnsi="Calibri"/>
                <w:b/>
                <w:color w:val="FFFFFF"/>
                <w:sz w:val="19"/>
              </w:rPr>
              <w:t>RMSE (Units)</w:t>
            </w:r>
          </w:p>
        </w:tc>
        <w:tc>
          <w:tcPr>
            <w:tcW w:type="dxa" w:w="1337"/>
            <w:shd w:fill="102C57"/>
            <w:tcMar>
              <w:top w:w="80" w:type="dxa"/>
              <w:bottom w:w="80" w:type="dxa"/>
              <w:left w:w="100" w:type="dxa"/>
              <w:right w:w="100" w:type="dxa"/>
            </w:tcMar>
          </w:tcPr>
          <w:p>
            <w:pPr>
              <w:jc w:val="center"/>
            </w:pPr>
            <w:r>
              <w:rPr>
                <w:rFonts w:ascii="Calibri" w:hAnsi="Calibri"/>
                <w:b/>
                <w:color w:val="FFFFFF"/>
                <w:sz w:val="19"/>
              </w:rPr>
              <w:t>Zero Acc (%)</w:t>
            </w:r>
          </w:p>
        </w:tc>
        <w:tc>
          <w:tcPr>
            <w:tcW w:type="dxa" w:w="1337"/>
            <w:shd w:fill="102C57"/>
            <w:tcMar>
              <w:top w:w="80" w:type="dxa"/>
              <w:bottom w:w="80" w:type="dxa"/>
              <w:left w:w="100" w:type="dxa"/>
              <w:right w:w="100" w:type="dxa"/>
            </w:tcMar>
          </w:tcPr>
          <w:p>
            <w:pPr>
              <w:jc w:val="center"/>
            </w:pPr>
            <w:r>
              <w:rPr>
                <w:rFonts w:ascii="Calibri" w:hAnsi="Calibri"/>
                <w:b/>
                <w:color w:val="FFFFFF"/>
                <w:sz w:val="19"/>
              </w:rPr>
              <w:t>Bias (%)</w:t>
            </w:r>
          </w:p>
        </w:tc>
        <w:tc>
          <w:tcPr>
            <w:tcW w:type="dxa" w:w="1337"/>
            <w:shd w:fill="102C57"/>
            <w:tcMar>
              <w:top w:w="80" w:type="dxa"/>
              <w:bottom w:w="80" w:type="dxa"/>
              <w:left w:w="100" w:type="dxa"/>
              <w:right w:w="100" w:type="dxa"/>
            </w:tcMar>
          </w:tcPr>
          <w:p>
            <w:pPr>
              <w:jc w:val="center"/>
            </w:pPr>
            <w:r>
              <w:rPr>
                <w:rFonts w:ascii="Calibri" w:hAnsi="Calibri"/>
                <w:b/>
                <w:color w:val="FFFFFF"/>
                <w:sz w:val="19"/>
              </w:rPr>
              <w:t>Decision Rationale</w:t>
            </w:r>
          </w:p>
        </w:tc>
      </w:tr>
      <w:tr>
        <w:tc>
          <w:tcPr>
            <w:tcW w:type="dxa" w:w="1337"/>
            <w:shd w:fill="FFFFFF"/>
            <w:tcMar>
              <w:top w:w="60" w:type="dxa"/>
              <w:bottom w:w="60" w:type="dxa"/>
              <w:left w:w="100" w:type="dxa"/>
              <w:right w:w="100" w:type="dxa"/>
            </w:tcMar>
          </w:tcPr>
          <w:p>
            <w:pPr>
              <w:jc w:val="left"/>
            </w:pPr>
            <w:r>
              <w:rPr>
                <w:rFonts w:ascii="Calibri" w:hAnsi="Calibri"/>
                <w:color w:val="212529"/>
                <w:sz w:val="18"/>
              </w:rPr>
              <w:t>Naive Baseline (Cell 81)</w:t>
            </w:r>
          </w:p>
        </w:tc>
        <w:tc>
          <w:tcPr>
            <w:tcW w:type="dxa" w:w="1337"/>
            <w:shd w:fill="FFFFFF"/>
            <w:tcMar>
              <w:top w:w="60" w:type="dxa"/>
              <w:bottom w:w="60" w:type="dxa"/>
              <w:left w:w="100" w:type="dxa"/>
              <w:right w:w="100" w:type="dxa"/>
            </w:tcMar>
          </w:tcPr>
          <w:p>
            <w:pPr>
              <w:jc w:val="right"/>
            </w:pPr>
            <w:r>
              <w:rPr>
                <w:rFonts w:ascii="Calibri" w:hAnsi="Calibri"/>
                <w:color w:val="212529"/>
                <w:sz w:val="18"/>
              </w:rPr>
              <w:t>Lag-1 Persistence</w:t>
            </w:r>
          </w:p>
        </w:tc>
        <w:tc>
          <w:tcPr>
            <w:tcW w:type="dxa" w:w="1337"/>
            <w:shd w:fill="FFFFFF"/>
            <w:tcMar>
              <w:top w:w="60" w:type="dxa"/>
              <w:bottom w:w="60" w:type="dxa"/>
              <w:left w:w="100" w:type="dxa"/>
              <w:right w:w="100" w:type="dxa"/>
            </w:tcMar>
          </w:tcPr>
          <w:p>
            <w:pPr>
              <w:jc w:val="right"/>
            </w:pPr>
            <w:r>
              <w:rPr>
                <w:rFonts w:ascii="Calibri" w:hAnsi="Calibri"/>
                <w:color w:val="212529"/>
                <w:sz w:val="18"/>
              </w:rPr>
              <w:t>1.4120</w:t>
            </w:r>
          </w:p>
        </w:tc>
        <w:tc>
          <w:tcPr>
            <w:tcW w:type="dxa" w:w="1337"/>
            <w:shd w:fill="FFFFFF"/>
            <w:tcMar>
              <w:top w:w="60" w:type="dxa"/>
              <w:bottom w:w="60" w:type="dxa"/>
              <w:left w:w="100" w:type="dxa"/>
              <w:right w:w="100" w:type="dxa"/>
            </w:tcMar>
          </w:tcPr>
          <w:p>
            <w:pPr>
              <w:jc w:val="right"/>
            </w:pPr>
            <w:r>
              <w:rPr>
                <w:rFonts w:ascii="Calibri" w:hAnsi="Calibri"/>
                <w:color w:val="212529"/>
                <w:sz w:val="18"/>
              </w:rPr>
              <w:t>3.1245</w:t>
            </w:r>
          </w:p>
        </w:tc>
        <w:tc>
          <w:tcPr>
            <w:tcW w:type="dxa" w:w="1337"/>
            <w:shd w:fill="FFFFFF"/>
            <w:tcMar>
              <w:top w:w="60" w:type="dxa"/>
              <w:bottom w:w="60" w:type="dxa"/>
              <w:left w:w="100" w:type="dxa"/>
              <w:right w:w="100" w:type="dxa"/>
            </w:tcMar>
          </w:tcPr>
          <w:p>
            <w:pPr>
              <w:jc w:val="right"/>
            </w:pPr>
            <w:r>
              <w:rPr>
                <w:rFonts w:ascii="Calibri" w:hAnsi="Calibri"/>
                <w:color w:val="212529"/>
                <w:sz w:val="18"/>
              </w:rPr>
              <w:t>71.20%</w:t>
            </w:r>
          </w:p>
        </w:tc>
        <w:tc>
          <w:tcPr>
            <w:tcW w:type="dxa" w:w="1337"/>
            <w:shd w:fill="FFFFFF"/>
            <w:tcMar>
              <w:top w:w="60" w:type="dxa"/>
              <w:bottom w:w="60" w:type="dxa"/>
              <w:left w:w="100" w:type="dxa"/>
              <w:right w:w="100" w:type="dxa"/>
            </w:tcMar>
          </w:tcPr>
          <w:p>
            <w:pPr>
              <w:jc w:val="right"/>
            </w:pPr>
            <w:r>
              <w:rPr>
                <w:rFonts w:ascii="Calibri" w:hAnsi="Calibri"/>
                <w:color w:val="212529"/>
                <w:sz w:val="18"/>
              </w:rPr>
              <w:t>-0.12%</w:t>
            </w:r>
          </w:p>
        </w:tc>
        <w:tc>
          <w:tcPr>
            <w:tcW w:type="dxa" w:w="1337"/>
            <w:shd w:fill="FFFFFF"/>
            <w:tcMar>
              <w:top w:w="60" w:type="dxa"/>
              <w:bottom w:w="60" w:type="dxa"/>
              <w:left w:w="100" w:type="dxa"/>
              <w:right w:w="100" w:type="dxa"/>
            </w:tcMar>
          </w:tcPr>
          <w:p>
            <w:pPr>
              <w:jc w:val="right"/>
            </w:pPr>
            <w:r>
              <w:rPr>
                <w:rFonts w:ascii="Calibri" w:hAnsi="Calibri"/>
                <w:color w:val="212529"/>
                <w:sz w:val="18"/>
              </w:rPr>
              <w:t>Baseline Benchmark</w:t>
            </w:r>
          </w:p>
        </w:tc>
      </w:tr>
      <w:tr>
        <w:tc>
          <w:tcPr>
            <w:tcW w:type="dxa" w:w="1337"/>
            <w:shd w:fill="F8FAFC"/>
            <w:tcMar>
              <w:top w:w="60" w:type="dxa"/>
              <w:bottom w:w="60" w:type="dxa"/>
              <w:left w:w="100" w:type="dxa"/>
              <w:right w:w="100" w:type="dxa"/>
            </w:tcMar>
          </w:tcPr>
          <w:p>
            <w:pPr>
              <w:jc w:val="left"/>
            </w:pPr>
            <w:r>
              <w:rPr>
                <w:rFonts w:ascii="Calibri" w:hAnsi="Calibri"/>
                <w:color w:val="212529"/>
                <w:sz w:val="18"/>
              </w:rPr>
              <w:t>LightGBM MSE (Cell 81)</w:t>
            </w:r>
          </w:p>
        </w:tc>
        <w:tc>
          <w:tcPr>
            <w:tcW w:type="dxa" w:w="1337"/>
            <w:shd w:fill="F8FAFC"/>
            <w:tcMar>
              <w:top w:w="60" w:type="dxa"/>
              <w:bottom w:w="60" w:type="dxa"/>
              <w:left w:w="100" w:type="dxa"/>
              <w:right w:w="100" w:type="dxa"/>
            </w:tcMar>
          </w:tcPr>
          <w:p>
            <w:pPr>
              <w:jc w:val="right"/>
            </w:pPr>
            <w:r>
              <w:rPr>
                <w:rFonts w:ascii="Calibri" w:hAnsi="Calibri"/>
                <w:color w:val="212529"/>
                <w:sz w:val="18"/>
              </w:rPr>
              <w:t>Standard L2</w:t>
            </w:r>
          </w:p>
        </w:tc>
        <w:tc>
          <w:tcPr>
            <w:tcW w:type="dxa" w:w="1337"/>
            <w:shd w:fill="F8FAFC"/>
            <w:tcMar>
              <w:top w:w="60" w:type="dxa"/>
              <w:bottom w:w="60" w:type="dxa"/>
              <w:left w:w="100" w:type="dxa"/>
              <w:right w:w="100" w:type="dxa"/>
            </w:tcMar>
          </w:tcPr>
          <w:p>
            <w:pPr>
              <w:jc w:val="right"/>
            </w:pPr>
            <w:r>
              <w:rPr>
                <w:rFonts w:ascii="Calibri" w:hAnsi="Calibri"/>
                <w:color w:val="212529"/>
                <w:sz w:val="18"/>
              </w:rPr>
              <w:t>0.9845</w:t>
            </w:r>
          </w:p>
        </w:tc>
        <w:tc>
          <w:tcPr>
            <w:tcW w:type="dxa" w:w="1337"/>
            <w:shd w:fill="F8FAFC"/>
            <w:tcMar>
              <w:top w:w="60" w:type="dxa"/>
              <w:bottom w:w="60" w:type="dxa"/>
              <w:left w:w="100" w:type="dxa"/>
              <w:right w:w="100" w:type="dxa"/>
            </w:tcMar>
          </w:tcPr>
          <w:p>
            <w:pPr>
              <w:jc w:val="right"/>
            </w:pPr>
            <w:r>
              <w:rPr>
                <w:rFonts w:ascii="Calibri" w:hAnsi="Calibri"/>
                <w:color w:val="212529"/>
                <w:sz w:val="18"/>
              </w:rPr>
              <w:t>2.3120</w:t>
            </w:r>
          </w:p>
        </w:tc>
        <w:tc>
          <w:tcPr>
            <w:tcW w:type="dxa" w:w="1337"/>
            <w:shd w:fill="F8FAFC"/>
            <w:tcMar>
              <w:top w:w="60" w:type="dxa"/>
              <w:bottom w:w="60" w:type="dxa"/>
              <w:left w:w="100" w:type="dxa"/>
              <w:right w:w="100" w:type="dxa"/>
            </w:tcMar>
          </w:tcPr>
          <w:p>
            <w:pPr>
              <w:jc w:val="right"/>
            </w:pPr>
            <w:r>
              <w:rPr>
                <w:rFonts w:ascii="Calibri" w:hAnsi="Calibri"/>
                <w:color w:val="212529"/>
                <w:sz w:val="18"/>
              </w:rPr>
              <w:t>78.45%</w:t>
            </w:r>
          </w:p>
        </w:tc>
        <w:tc>
          <w:tcPr>
            <w:tcW w:type="dxa" w:w="1337"/>
            <w:shd w:fill="F8FAFC"/>
            <w:tcMar>
              <w:top w:w="60" w:type="dxa"/>
              <w:bottom w:w="60" w:type="dxa"/>
              <w:left w:w="100" w:type="dxa"/>
              <w:right w:w="100" w:type="dxa"/>
            </w:tcMar>
          </w:tcPr>
          <w:p>
            <w:pPr>
              <w:jc w:val="right"/>
            </w:pPr>
            <w:r>
              <w:rPr>
                <w:rFonts w:ascii="Calibri" w:hAnsi="Calibri"/>
                <w:color w:val="212529"/>
                <w:sz w:val="18"/>
              </w:rPr>
              <w:t>-5.12%</w:t>
            </w:r>
          </w:p>
        </w:tc>
        <w:tc>
          <w:tcPr>
            <w:tcW w:type="dxa" w:w="1337"/>
            <w:shd w:fill="F8FAFC"/>
            <w:tcMar>
              <w:top w:w="60" w:type="dxa"/>
              <w:bottom w:w="60" w:type="dxa"/>
              <w:left w:w="100" w:type="dxa"/>
              <w:right w:w="100" w:type="dxa"/>
            </w:tcMar>
          </w:tcPr>
          <w:p>
            <w:pPr>
              <w:jc w:val="right"/>
            </w:pPr>
            <w:r>
              <w:rPr>
                <w:rFonts w:ascii="Calibri" w:hAnsi="Calibri"/>
                <w:color w:val="212529"/>
                <w:sz w:val="18"/>
              </w:rPr>
              <w:t>Alternative</w:t>
            </w:r>
          </w:p>
        </w:tc>
      </w:tr>
      <w:tr>
        <w:tc>
          <w:tcPr>
            <w:tcW w:type="dxa" w:w="1337"/>
            <w:shd w:fill="FFFFFF"/>
            <w:tcMar>
              <w:top w:w="60" w:type="dxa"/>
              <w:bottom w:w="60" w:type="dxa"/>
              <w:left w:w="100" w:type="dxa"/>
              <w:right w:w="100" w:type="dxa"/>
            </w:tcMar>
          </w:tcPr>
          <w:p>
            <w:pPr>
              <w:jc w:val="left"/>
            </w:pPr>
            <w:r>
              <w:rPr>
                <w:rFonts w:ascii="Calibri" w:hAnsi="Calibri"/>
                <w:color w:val="212529"/>
                <w:sz w:val="18"/>
              </w:rPr>
              <w:t>XGBoost Tweedie (Cell 81)</w:t>
            </w:r>
          </w:p>
        </w:tc>
        <w:tc>
          <w:tcPr>
            <w:tcW w:type="dxa" w:w="1337"/>
            <w:shd w:fill="FFFFFF"/>
            <w:tcMar>
              <w:top w:w="60" w:type="dxa"/>
              <w:bottom w:w="60" w:type="dxa"/>
              <w:left w:w="100" w:type="dxa"/>
              <w:right w:w="100" w:type="dxa"/>
            </w:tcMar>
          </w:tcPr>
          <w:p>
            <w:pPr>
              <w:jc w:val="right"/>
            </w:pPr>
            <w:r>
              <w:rPr>
                <w:rFonts w:ascii="Calibri" w:hAnsi="Calibri"/>
                <w:color w:val="212529"/>
                <w:sz w:val="18"/>
              </w:rPr>
              <w:t>Tweedie Deviance (p=1.5)</w:t>
            </w:r>
          </w:p>
        </w:tc>
        <w:tc>
          <w:tcPr>
            <w:tcW w:type="dxa" w:w="1337"/>
            <w:shd w:fill="FFFFFF"/>
            <w:tcMar>
              <w:top w:w="60" w:type="dxa"/>
              <w:bottom w:w="60" w:type="dxa"/>
              <w:left w:w="100" w:type="dxa"/>
              <w:right w:w="100" w:type="dxa"/>
            </w:tcMar>
          </w:tcPr>
          <w:p>
            <w:pPr>
              <w:jc w:val="right"/>
            </w:pPr>
            <w:r>
              <w:rPr>
                <w:rFonts w:ascii="Calibri" w:hAnsi="Calibri"/>
                <w:color w:val="212529"/>
                <w:sz w:val="18"/>
              </w:rPr>
              <w:t>0.9146</w:t>
            </w:r>
          </w:p>
        </w:tc>
        <w:tc>
          <w:tcPr>
            <w:tcW w:type="dxa" w:w="1337"/>
            <w:shd w:fill="FFFFFF"/>
            <w:tcMar>
              <w:top w:w="60" w:type="dxa"/>
              <w:bottom w:w="60" w:type="dxa"/>
              <w:left w:w="100" w:type="dxa"/>
              <w:right w:w="100" w:type="dxa"/>
            </w:tcMar>
          </w:tcPr>
          <w:p>
            <w:pPr>
              <w:jc w:val="right"/>
            </w:pPr>
            <w:r>
              <w:rPr>
                <w:rFonts w:ascii="Calibri" w:hAnsi="Calibri"/>
                <w:color w:val="212529"/>
                <w:sz w:val="18"/>
              </w:rPr>
              <w:t>2.2840</w:t>
            </w:r>
          </w:p>
        </w:tc>
        <w:tc>
          <w:tcPr>
            <w:tcW w:type="dxa" w:w="1337"/>
            <w:shd w:fill="FFFFFF"/>
            <w:tcMar>
              <w:top w:w="60" w:type="dxa"/>
              <w:bottom w:w="60" w:type="dxa"/>
              <w:left w:w="100" w:type="dxa"/>
              <w:right w:w="100" w:type="dxa"/>
            </w:tcMar>
          </w:tcPr>
          <w:p>
            <w:pPr>
              <w:jc w:val="right"/>
            </w:pPr>
            <w:r>
              <w:rPr>
                <w:rFonts w:ascii="Calibri" w:hAnsi="Calibri"/>
                <w:color w:val="212529"/>
                <w:sz w:val="18"/>
              </w:rPr>
              <w:t>84.15%</w:t>
            </w:r>
          </w:p>
        </w:tc>
        <w:tc>
          <w:tcPr>
            <w:tcW w:type="dxa" w:w="1337"/>
            <w:shd w:fill="FFFFFF"/>
            <w:tcMar>
              <w:top w:w="60" w:type="dxa"/>
              <w:bottom w:w="60" w:type="dxa"/>
              <w:left w:w="100" w:type="dxa"/>
              <w:right w:w="100" w:type="dxa"/>
            </w:tcMar>
          </w:tcPr>
          <w:p>
            <w:pPr>
              <w:jc w:val="right"/>
            </w:pPr>
            <w:r>
              <w:rPr>
                <w:rFonts w:ascii="Calibri" w:hAnsi="Calibri"/>
                <w:color w:val="212529"/>
                <w:sz w:val="18"/>
              </w:rPr>
              <w:t>-21.01%</w:t>
            </w:r>
          </w:p>
        </w:tc>
        <w:tc>
          <w:tcPr>
            <w:tcW w:type="dxa" w:w="1337"/>
            <w:shd w:fill="FFFFFF"/>
            <w:tcMar>
              <w:top w:w="60" w:type="dxa"/>
              <w:bottom w:w="60" w:type="dxa"/>
              <w:left w:w="100" w:type="dxa"/>
              <w:right w:w="100" w:type="dxa"/>
            </w:tcMar>
          </w:tcPr>
          <w:p>
            <w:pPr>
              <w:jc w:val="right"/>
            </w:pPr>
            <w:r>
              <w:rPr>
                <w:rFonts w:ascii="Calibri" w:hAnsi="Calibri"/>
                <w:color w:val="212529"/>
                <w:sz w:val="18"/>
              </w:rPr>
              <w:t>Best Statistical MAE (High Stockout Risk)</w:t>
            </w:r>
          </w:p>
        </w:tc>
      </w:tr>
      <w:tr>
        <w:tc>
          <w:tcPr>
            <w:tcW w:type="dxa" w:w="1337"/>
            <w:shd w:fill="F8FAFC"/>
            <w:tcMar>
              <w:top w:w="60" w:type="dxa"/>
              <w:bottom w:w="60" w:type="dxa"/>
              <w:left w:w="100" w:type="dxa"/>
              <w:right w:w="100" w:type="dxa"/>
            </w:tcMar>
          </w:tcPr>
          <w:p>
            <w:pPr>
              <w:jc w:val="left"/>
            </w:pPr>
            <w:r>
              <w:rPr>
                <w:rFonts w:ascii="Calibri" w:hAnsi="Calibri"/>
                <w:color w:val="212529"/>
                <w:sz w:val="18"/>
              </w:rPr>
              <w:t>Random Forest (Cell 81)</w:t>
            </w:r>
          </w:p>
        </w:tc>
        <w:tc>
          <w:tcPr>
            <w:tcW w:type="dxa" w:w="1337"/>
            <w:shd w:fill="F8FAFC"/>
            <w:tcMar>
              <w:top w:w="60" w:type="dxa"/>
              <w:bottom w:w="60" w:type="dxa"/>
              <w:left w:w="100" w:type="dxa"/>
              <w:right w:w="100" w:type="dxa"/>
            </w:tcMar>
          </w:tcPr>
          <w:p>
            <w:pPr>
              <w:jc w:val="right"/>
            </w:pPr>
            <w:r>
              <w:rPr>
                <w:rFonts w:ascii="Calibri" w:hAnsi="Calibri"/>
                <w:color w:val="212529"/>
                <w:sz w:val="18"/>
              </w:rPr>
              <w:t>Variance Reduction (MSE)</w:t>
            </w:r>
          </w:p>
        </w:tc>
        <w:tc>
          <w:tcPr>
            <w:tcW w:type="dxa" w:w="1337"/>
            <w:shd w:fill="F8FAFC"/>
            <w:tcMar>
              <w:top w:w="60" w:type="dxa"/>
              <w:bottom w:w="60" w:type="dxa"/>
              <w:left w:w="100" w:type="dxa"/>
              <w:right w:w="100" w:type="dxa"/>
            </w:tcMar>
          </w:tcPr>
          <w:p>
            <w:pPr>
              <w:jc w:val="right"/>
            </w:pPr>
            <w:r>
              <w:rPr>
                <w:rFonts w:ascii="Calibri" w:hAnsi="Calibri"/>
                <w:color w:val="212529"/>
                <w:sz w:val="18"/>
              </w:rPr>
              <w:t>0.9654</w:t>
            </w:r>
          </w:p>
        </w:tc>
        <w:tc>
          <w:tcPr>
            <w:tcW w:type="dxa" w:w="1337"/>
            <w:shd w:fill="F8FAFC"/>
            <w:tcMar>
              <w:top w:w="60" w:type="dxa"/>
              <w:bottom w:w="60" w:type="dxa"/>
              <w:left w:w="100" w:type="dxa"/>
              <w:right w:w="100" w:type="dxa"/>
            </w:tcMar>
          </w:tcPr>
          <w:p>
            <w:pPr>
              <w:jc w:val="right"/>
            </w:pPr>
            <w:r>
              <w:rPr>
                <w:rFonts w:ascii="Calibri" w:hAnsi="Calibri"/>
                <w:color w:val="212529"/>
                <w:sz w:val="18"/>
              </w:rPr>
              <w:t>2.2591</w:t>
            </w:r>
          </w:p>
        </w:tc>
        <w:tc>
          <w:tcPr>
            <w:tcW w:type="dxa" w:w="1337"/>
            <w:shd w:fill="F8FAFC"/>
            <w:tcMar>
              <w:top w:w="60" w:type="dxa"/>
              <w:bottom w:w="60" w:type="dxa"/>
              <w:left w:w="100" w:type="dxa"/>
              <w:right w:w="100" w:type="dxa"/>
            </w:tcMar>
          </w:tcPr>
          <w:p>
            <w:pPr>
              <w:jc w:val="right"/>
            </w:pPr>
            <w:r>
              <w:rPr>
                <w:rFonts w:ascii="Calibri" w:hAnsi="Calibri"/>
                <w:color w:val="212529"/>
                <w:sz w:val="18"/>
              </w:rPr>
              <w:t>81.30%</w:t>
            </w:r>
          </w:p>
        </w:tc>
        <w:tc>
          <w:tcPr>
            <w:tcW w:type="dxa" w:w="1337"/>
            <w:shd w:fill="F8FAFC"/>
            <w:tcMar>
              <w:top w:w="60" w:type="dxa"/>
              <w:bottom w:w="60" w:type="dxa"/>
              <w:left w:w="100" w:type="dxa"/>
              <w:right w:w="100" w:type="dxa"/>
            </w:tcMar>
          </w:tcPr>
          <w:p>
            <w:pPr>
              <w:jc w:val="right"/>
            </w:pPr>
            <w:r>
              <w:rPr>
                <w:rFonts w:ascii="Calibri" w:hAnsi="Calibri"/>
                <w:color w:val="212529"/>
                <w:sz w:val="18"/>
              </w:rPr>
              <w:t>-3.03%</w:t>
            </w:r>
          </w:p>
        </w:tc>
        <w:tc>
          <w:tcPr>
            <w:tcW w:type="dxa" w:w="1337"/>
            <w:shd w:fill="F8FAFC"/>
            <w:tcMar>
              <w:top w:w="60" w:type="dxa"/>
              <w:bottom w:w="60" w:type="dxa"/>
              <w:left w:w="100" w:type="dxa"/>
              <w:right w:w="100" w:type="dxa"/>
            </w:tcMar>
          </w:tcPr>
          <w:p>
            <w:pPr>
              <w:jc w:val="right"/>
            </w:pPr>
            <w:r>
              <w:rPr>
                <w:rFonts w:ascii="Calibri" w:hAnsi="Calibri"/>
                <w:color w:val="212529"/>
                <w:sz w:val="18"/>
              </w:rPr>
              <w:t>Selected Production Model (Best RMSE &amp; Bias)</w:t>
            </w:r>
          </w:p>
        </w:tc>
      </w:tr>
    </w:tbl>
    <w:p>
      <w:pPr>
        <w:spacing w:after="160"/>
      </w:pPr>
    </w:p>
    <w:p>
      <w:pPr/>
      <w:r>
        <w:rPr>
          <w:b/>
        </w:rPr>
        <w:t>Table 4: Final Production Decision Matrix and Stochastic Replenishment Parameters.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337"/>
        <w:gridCol w:w="1337"/>
        <w:gridCol w:w="1337"/>
        <w:gridCol w:w="1337"/>
        <w:gridCol w:w="1337"/>
        <w:gridCol w:w="1337"/>
        <w:gridCol w:w="1337"/>
      </w:tblGrid>
      <w:tr>
        <w:tc>
          <w:tcPr>
            <w:tcW w:type="dxa" w:w="1337"/>
            <w:shd w:fill="102C57"/>
            <w:tcMar>
              <w:top w:w="80" w:type="dxa"/>
              <w:bottom w:w="80" w:type="dxa"/>
              <w:left w:w="100" w:type="dxa"/>
              <w:right w:w="100" w:type="dxa"/>
            </w:tcMar>
          </w:tcPr>
          <w:p>
            <w:pPr>
              <w:jc w:val="center"/>
            </w:pPr>
            <w:r>
              <w:rPr>
                <w:rFonts w:ascii="Calibri" w:hAnsi="Calibri"/>
                <w:b/>
                <w:color w:val="FFFFFF"/>
                <w:sz w:val="19"/>
              </w:rPr>
              <w:t>Retail Dataset</w:t>
            </w:r>
          </w:p>
        </w:tc>
        <w:tc>
          <w:tcPr>
            <w:tcW w:type="dxa" w:w="1337"/>
            <w:shd w:fill="102C57"/>
            <w:tcMar>
              <w:top w:w="80" w:type="dxa"/>
              <w:bottom w:w="80" w:type="dxa"/>
              <w:left w:w="100" w:type="dxa"/>
              <w:right w:w="100" w:type="dxa"/>
            </w:tcMar>
          </w:tcPr>
          <w:p>
            <w:pPr>
              <w:jc w:val="center"/>
            </w:pPr>
            <w:r>
              <w:rPr>
                <w:rFonts w:ascii="Calibri" w:hAnsi="Calibri"/>
                <w:b/>
                <w:color w:val="FFFFFF"/>
                <w:sz w:val="19"/>
              </w:rPr>
              <w:t>Selected Model</w:t>
            </w:r>
          </w:p>
        </w:tc>
        <w:tc>
          <w:tcPr>
            <w:tcW w:type="dxa" w:w="1337"/>
            <w:shd w:fill="102C57"/>
            <w:tcMar>
              <w:top w:w="80" w:type="dxa"/>
              <w:bottom w:w="80" w:type="dxa"/>
              <w:left w:w="100" w:type="dxa"/>
              <w:right w:w="100" w:type="dxa"/>
            </w:tcMar>
          </w:tcPr>
          <w:p>
            <w:pPr>
              <w:jc w:val="center"/>
            </w:pPr>
            <w:r>
              <w:rPr>
                <w:rFonts w:ascii="Calibri" w:hAnsi="Calibri"/>
                <w:b/>
                <w:color w:val="FFFFFF"/>
                <w:sz w:val="19"/>
              </w:rPr>
              <w:t>Selection Basis</w:t>
            </w:r>
          </w:p>
        </w:tc>
        <w:tc>
          <w:tcPr>
            <w:tcW w:type="dxa" w:w="1337"/>
            <w:shd w:fill="102C57"/>
            <w:tcMar>
              <w:top w:w="80" w:type="dxa"/>
              <w:bottom w:w="80" w:type="dxa"/>
              <w:left w:w="100" w:type="dxa"/>
              <w:right w:w="100" w:type="dxa"/>
            </w:tcMar>
          </w:tcPr>
          <w:p>
            <w:pPr>
              <w:jc w:val="center"/>
            </w:pPr>
            <w:r>
              <w:rPr>
                <w:rFonts w:ascii="Calibri" w:hAnsi="Calibri"/>
                <w:b/>
                <w:color w:val="FFFFFF"/>
                <w:sz w:val="19"/>
              </w:rPr>
              <w:t>Forecast MAE</w:t>
            </w:r>
          </w:p>
        </w:tc>
        <w:tc>
          <w:tcPr>
            <w:tcW w:type="dxa" w:w="1337"/>
            <w:shd w:fill="102C57"/>
            <w:tcMar>
              <w:top w:w="80" w:type="dxa"/>
              <w:bottom w:w="80" w:type="dxa"/>
              <w:left w:w="100" w:type="dxa"/>
              <w:right w:w="100" w:type="dxa"/>
            </w:tcMar>
          </w:tcPr>
          <w:p>
            <w:pPr>
              <w:jc w:val="center"/>
            </w:pPr>
            <w:r>
              <w:rPr>
                <w:rFonts w:ascii="Calibri" w:hAnsi="Calibri"/>
                <w:b/>
                <w:color w:val="FFFFFF"/>
                <w:sz w:val="19"/>
              </w:rPr>
              <w:t>Forecast RMSE</w:t>
            </w:r>
          </w:p>
        </w:tc>
        <w:tc>
          <w:tcPr>
            <w:tcW w:type="dxa" w:w="1337"/>
            <w:shd w:fill="102C57"/>
            <w:tcMar>
              <w:top w:w="80" w:type="dxa"/>
              <w:bottom w:w="80" w:type="dxa"/>
              <w:left w:w="100" w:type="dxa"/>
              <w:right w:w="100" w:type="dxa"/>
            </w:tcMar>
          </w:tcPr>
          <w:p>
            <w:pPr>
              <w:jc w:val="center"/>
            </w:pPr>
            <w:r>
              <w:rPr>
                <w:rFonts w:ascii="Calibri" w:hAnsi="Calibri"/>
                <w:b/>
                <w:color w:val="FFFFFF"/>
                <w:sz w:val="19"/>
              </w:rPr>
              <w:t>Residual Bias</w:t>
            </w:r>
          </w:p>
        </w:tc>
        <w:tc>
          <w:tcPr>
            <w:tcW w:type="dxa" w:w="1337"/>
            <w:shd w:fill="102C57"/>
            <w:tcMar>
              <w:top w:w="80" w:type="dxa"/>
              <w:bottom w:w="80" w:type="dxa"/>
              <w:left w:w="100" w:type="dxa"/>
              <w:right w:w="100" w:type="dxa"/>
            </w:tcMar>
          </w:tcPr>
          <w:p>
            <w:pPr>
              <w:jc w:val="center"/>
            </w:pPr>
            <w:r>
              <w:rPr>
                <w:rFonts w:ascii="Calibri" w:hAnsi="Calibri"/>
                <w:b/>
                <w:color w:val="FFFFFF"/>
                <w:sz w:val="19"/>
              </w:rPr>
              <w:t>Derived Inventory Parameters</w:t>
            </w:r>
          </w:p>
        </w:tc>
      </w:tr>
      <w:tr>
        <w:tc>
          <w:tcPr>
            <w:tcW w:type="dxa" w:w="1337"/>
            <w:shd w:fill="FFFFFF"/>
            <w:tcMar>
              <w:top w:w="60" w:type="dxa"/>
              <w:bottom w:w="60" w:type="dxa"/>
              <w:left w:w="100" w:type="dxa"/>
              <w:right w:w="100" w:type="dxa"/>
            </w:tcMar>
          </w:tcPr>
          <w:p>
            <w:pPr>
              <w:jc w:val="left"/>
            </w:pPr>
            <w:r>
              <w:rPr>
                <w:rFonts w:ascii="Calibri" w:hAnsi="Calibri"/>
                <w:color w:val="212529"/>
                <w:sz w:val="18"/>
              </w:rPr>
              <w:t>Walmart Weekly Sales</w:t>
            </w:r>
          </w:p>
        </w:tc>
        <w:tc>
          <w:tcPr>
            <w:tcW w:type="dxa" w:w="1337"/>
            <w:shd w:fill="FFFFFF"/>
            <w:tcMar>
              <w:top w:w="60" w:type="dxa"/>
              <w:bottom w:w="60" w:type="dxa"/>
              <w:left w:w="100" w:type="dxa"/>
              <w:right w:w="100" w:type="dxa"/>
            </w:tcMar>
          </w:tcPr>
          <w:p>
            <w:pPr>
              <w:jc w:val="right"/>
            </w:pPr>
            <w:r>
              <w:rPr>
                <w:rFonts w:ascii="Calibri" w:hAnsi="Calibri"/>
                <w:color w:val="212529"/>
                <w:sz w:val="18"/>
              </w:rPr>
              <w:t>XGBoost Optimized</w:t>
            </w:r>
          </w:p>
        </w:tc>
        <w:tc>
          <w:tcPr>
            <w:tcW w:type="dxa" w:w="1337"/>
            <w:shd w:fill="FFFFFF"/>
            <w:tcMar>
              <w:top w:w="60" w:type="dxa"/>
              <w:bottom w:w="60" w:type="dxa"/>
              <w:left w:w="100" w:type="dxa"/>
              <w:right w:w="100" w:type="dxa"/>
            </w:tcMar>
          </w:tcPr>
          <w:p>
            <w:pPr>
              <w:jc w:val="right"/>
            </w:pPr>
            <w:r>
              <w:rPr>
                <w:rFonts w:ascii="Calibri" w:hAnsi="Calibri"/>
                <w:color w:val="212529"/>
                <w:sz w:val="18"/>
              </w:rPr>
              <w:t>Lowest MAE &amp; RMSE, perfect stability</w:t>
            </w:r>
          </w:p>
        </w:tc>
        <w:tc>
          <w:tcPr>
            <w:tcW w:type="dxa" w:w="1337"/>
            <w:shd w:fill="FFFFFF"/>
            <w:tcMar>
              <w:top w:w="60" w:type="dxa"/>
              <w:bottom w:w="60" w:type="dxa"/>
              <w:left w:w="100" w:type="dxa"/>
              <w:right w:w="100" w:type="dxa"/>
            </w:tcMar>
          </w:tcPr>
          <w:p>
            <w:pPr>
              <w:jc w:val="right"/>
            </w:pPr>
            <w:r>
              <w:rPr>
                <w:rFonts w:ascii="Calibri" w:hAnsi="Calibri"/>
                <w:color w:val="212529"/>
                <w:sz w:val="18"/>
              </w:rPr>
              <w:t>$37,598.15</w:t>
            </w:r>
          </w:p>
        </w:tc>
        <w:tc>
          <w:tcPr>
            <w:tcW w:type="dxa" w:w="1337"/>
            <w:shd w:fill="FFFFFF"/>
            <w:tcMar>
              <w:top w:w="60" w:type="dxa"/>
              <w:bottom w:w="60" w:type="dxa"/>
              <w:left w:w="100" w:type="dxa"/>
              <w:right w:w="100" w:type="dxa"/>
            </w:tcMar>
          </w:tcPr>
          <w:p>
            <w:pPr>
              <w:jc w:val="right"/>
            </w:pPr>
            <w:r>
              <w:rPr>
                <w:rFonts w:ascii="Calibri" w:hAnsi="Calibri"/>
                <w:color w:val="212529"/>
                <w:sz w:val="18"/>
              </w:rPr>
              <w:t>$54,161.25</w:t>
            </w:r>
          </w:p>
        </w:tc>
        <w:tc>
          <w:tcPr>
            <w:tcW w:type="dxa" w:w="1337"/>
            <w:shd w:fill="FFFFFF"/>
            <w:tcMar>
              <w:top w:w="60" w:type="dxa"/>
              <w:bottom w:w="60" w:type="dxa"/>
              <w:left w:w="100" w:type="dxa"/>
              <w:right w:w="100" w:type="dxa"/>
            </w:tcMar>
          </w:tcPr>
          <w:p>
            <w:pPr>
              <w:jc w:val="right"/>
            </w:pPr>
            <w:r>
              <w:rPr>
                <w:rFonts w:ascii="Calibri" w:hAnsi="Calibri"/>
                <w:color w:val="212529"/>
                <w:sz w:val="18"/>
              </w:rPr>
              <w:t>+0.15%</w:t>
            </w:r>
          </w:p>
        </w:tc>
        <w:tc>
          <w:tcPr>
            <w:tcW w:type="dxa" w:w="1337"/>
            <w:shd w:fill="FFFFFF"/>
            <w:tcMar>
              <w:top w:w="60" w:type="dxa"/>
              <w:bottom w:w="60" w:type="dxa"/>
              <w:left w:w="100" w:type="dxa"/>
              <w:right w:w="100" w:type="dxa"/>
            </w:tcMar>
          </w:tcPr>
          <w:p>
            <w:pPr>
              <w:jc w:val="right"/>
            </w:pPr>
            <w:r>
              <w:rPr>
                <w:rFonts w:ascii="Calibri" w:hAnsi="Calibri"/>
                <w:color w:val="212529"/>
                <w:sz w:val="18"/>
              </w:rPr>
              <w:t>SS: $89,095 | ROP: $1,054,230 | EOQ: $412,500</w:t>
            </w:r>
          </w:p>
        </w:tc>
      </w:tr>
      <w:tr>
        <w:tc>
          <w:tcPr>
            <w:tcW w:type="dxa" w:w="1337"/>
            <w:shd w:fill="F8FAFC"/>
            <w:tcMar>
              <w:top w:w="60" w:type="dxa"/>
              <w:bottom w:w="60" w:type="dxa"/>
              <w:left w:w="100" w:type="dxa"/>
              <w:right w:w="100" w:type="dxa"/>
            </w:tcMar>
          </w:tcPr>
          <w:p>
            <w:pPr>
              <w:jc w:val="left"/>
            </w:pPr>
            <w:r>
              <w:rPr>
                <w:rFonts w:ascii="Calibri" w:hAnsi="Calibri"/>
                <w:color w:val="212529"/>
                <w:sz w:val="18"/>
              </w:rPr>
              <w:t>Online Retail Wholesale</w:t>
            </w:r>
          </w:p>
        </w:tc>
        <w:tc>
          <w:tcPr>
            <w:tcW w:type="dxa" w:w="1337"/>
            <w:shd w:fill="F8FAFC"/>
            <w:tcMar>
              <w:top w:w="60" w:type="dxa"/>
              <w:bottom w:w="60" w:type="dxa"/>
              <w:left w:w="100" w:type="dxa"/>
              <w:right w:w="100" w:type="dxa"/>
            </w:tcMar>
          </w:tcPr>
          <w:p>
            <w:pPr>
              <w:jc w:val="right"/>
            </w:pPr>
            <w:r>
              <w:rPr>
                <w:rFonts w:ascii="Calibri" w:hAnsi="Calibri"/>
                <w:color w:val="212529"/>
                <w:sz w:val="18"/>
              </w:rPr>
              <w:t>LightGBM Standard MSE</w:t>
            </w:r>
          </w:p>
        </w:tc>
        <w:tc>
          <w:tcPr>
            <w:tcW w:type="dxa" w:w="1337"/>
            <w:shd w:fill="F8FAFC"/>
            <w:tcMar>
              <w:top w:w="60" w:type="dxa"/>
              <w:bottom w:w="60" w:type="dxa"/>
              <w:left w:w="100" w:type="dxa"/>
              <w:right w:w="100" w:type="dxa"/>
            </w:tcMar>
          </w:tcPr>
          <w:p>
            <w:pPr>
              <w:jc w:val="right"/>
            </w:pPr>
            <w:r>
              <w:rPr>
                <w:rFonts w:ascii="Calibri" w:hAnsi="Calibri"/>
                <w:color w:val="212529"/>
                <w:sz w:val="18"/>
              </w:rPr>
              <w:t>26.58% RMSE drop, safe bias (+3.92%)</w:t>
            </w:r>
          </w:p>
        </w:tc>
        <w:tc>
          <w:tcPr>
            <w:tcW w:type="dxa" w:w="1337"/>
            <w:shd w:fill="F8FAFC"/>
            <w:tcMar>
              <w:top w:w="60" w:type="dxa"/>
              <w:bottom w:w="60" w:type="dxa"/>
              <w:left w:w="100" w:type="dxa"/>
              <w:right w:w="100" w:type="dxa"/>
            </w:tcMar>
          </w:tcPr>
          <w:p>
            <w:pPr>
              <w:jc w:val="right"/>
            </w:pPr>
            <w:r>
              <w:rPr>
                <w:rFonts w:ascii="Calibri" w:hAnsi="Calibri"/>
                <w:color w:val="212529"/>
                <w:sz w:val="18"/>
              </w:rPr>
              <w:t>17.82 u</w:t>
            </w:r>
          </w:p>
        </w:tc>
        <w:tc>
          <w:tcPr>
            <w:tcW w:type="dxa" w:w="1337"/>
            <w:shd w:fill="F8FAFC"/>
            <w:tcMar>
              <w:top w:w="60" w:type="dxa"/>
              <w:bottom w:w="60" w:type="dxa"/>
              <w:left w:w="100" w:type="dxa"/>
              <w:right w:w="100" w:type="dxa"/>
            </w:tcMar>
          </w:tcPr>
          <w:p>
            <w:pPr>
              <w:jc w:val="right"/>
            </w:pPr>
            <w:r>
              <w:rPr>
                <w:rFonts w:ascii="Calibri" w:hAnsi="Calibri"/>
                <w:color w:val="212529"/>
                <w:sz w:val="18"/>
              </w:rPr>
              <w:t>55.09 u</w:t>
            </w:r>
          </w:p>
        </w:tc>
        <w:tc>
          <w:tcPr>
            <w:tcW w:type="dxa" w:w="1337"/>
            <w:shd w:fill="F8FAFC"/>
            <w:tcMar>
              <w:top w:w="60" w:type="dxa"/>
              <w:bottom w:w="60" w:type="dxa"/>
              <w:left w:w="100" w:type="dxa"/>
              <w:right w:w="100" w:type="dxa"/>
            </w:tcMar>
          </w:tcPr>
          <w:p>
            <w:pPr>
              <w:jc w:val="right"/>
            </w:pPr>
            <w:r>
              <w:rPr>
                <w:rFonts w:ascii="Calibri" w:hAnsi="Calibri"/>
                <w:color w:val="212529"/>
                <w:sz w:val="18"/>
              </w:rPr>
              <w:t>+3.92%</w:t>
            </w:r>
          </w:p>
        </w:tc>
        <w:tc>
          <w:tcPr>
            <w:tcW w:type="dxa" w:w="1337"/>
            <w:shd w:fill="F8FAFC"/>
            <w:tcMar>
              <w:top w:w="60" w:type="dxa"/>
              <w:bottom w:w="60" w:type="dxa"/>
              <w:left w:w="100" w:type="dxa"/>
              <w:right w:w="100" w:type="dxa"/>
            </w:tcMar>
          </w:tcPr>
          <w:p>
            <w:pPr>
              <w:jc w:val="right"/>
            </w:pPr>
            <w:r>
              <w:rPr>
                <w:rFonts w:ascii="Calibri" w:hAnsi="Calibri"/>
                <w:color w:val="212529"/>
                <w:sz w:val="18"/>
              </w:rPr>
              <w:t>SS: 209.8 u | ROP: 523.4 u | EOQ: 1,528.2 u</w:t>
            </w:r>
          </w:p>
        </w:tc>
      </w:tr>
      <w:tr>
        <w:tc>
          <w:tcPr>
            <w:tcW w:type="dxa" w:w="1337"/>
            <w:shd w:fill="FFFFFF"/>
            <w:tcMar>
              <w:top w:w="60" w:type="dxa"/>
              <w:bottom w:w="60" w:type="dxa"/>
              <w:left w:w="100" w:type="dxa"/>
              <w:right w:w="100" w:type="dxa"/>
            </w:tcMar>
          </w:tcPr>
          <w:p>
            <w:pPr>
              <w:jc w:val="left"/>
            </w:pPr>
            <w:r>
              <w:rPr>
                <w:rFonts w:ascii="Calibri" w:hAnsi="Calibri"/>
                <w:color w:val="212529"/>
                <w:sz w:val="18"/>
              </w:rPr>
              <w:t>M5 Zero-Inflated Grocery</w:t>
            </w:r>
          </w:p>
        </w:tc>
        <w:tc>
          <w:tcPr>
            <w:tcW w:type="dxa" w:w="1337"/>
            <w:shd w:fill="FFFFFF"/>
            <w:tcMar>
              <w:top w:w="60" w:type="dxa"/>
              <w:bottom w:w="60" w:type="dxa"/>
              <w:left w:w="100" w:type="dxa"/>
              <w:right w:w="100" w:type="dxa"/>
            </w:tcMar>
          </w:tcPr>
          <w:p>
            <w:pPr>
              <w:jc w:val="right"/>
            </w:pPr>
            <w:r>
              <w:rPr>
                <w:rFonts w:ascii="Calibri" w:hAnsi="Calibri"/>
                <w:color w:val="212529"/>
                <w:sz w:val="18"/>
              </w:rPr>
              <w:t>Random Forest Regressor</w:t>
            </w:r>
          </w:p>
        </w:tc>
        <w:tc>
          <w:tcPr>
            <w:tcW w:type="dxa" w:w="1337"/>
            <w:shd w:fill="FFFFFF"/>
            <w:tcMar>
              <w:top w:w="60" w:type="dxa"/>
              <w:bottom w:w="60" w:type="dxa"/>
              <w:left w:w="100" w:type="dxa"/>
              <w:right w:w="100" w:type="dxa"/>
            </w:tcMar>
          </w:tcPr>
          <w:p>
            <w:pPr>
              <w:jc w:val="right"/>
            </w:pPr>
            <w:r>
              <w:rPr>
                <w:rFonts w:ascii="Calibri" w:hAnsi="Calibri"/>
                <w:color w:val="212529"/>
                <w:sz w:val="18"/>
              </w:rPr>
              <w:t>Operational safeguard (Bias -3.03%)</w:t>
            </w:r>
          </w:p>
        </w:tc>
        <w:tc>
          <w:tcPr>
            <w:tcW w:type="dxa" w:w="1337"/>
            <w:shd w:fill="FFFFFF"/>
            <w:tcMar>
              <w:top w:w="60" w:type="dxa"/>
              <w:bottom w:w="60" w:type="dxa"/>
              <w:left w:w="100" w:type="dxa"/>
              <w:right w:w="100" w:type="dxa"/>
            </w:tcMar>
          </w:tcPr>
          <w:p>
            <w:pPr>
              <w:jc w:val="right"/>
            </w:pPr>
            <w:r>
              <w:rPr>
                <w:rFonts w:ascii="Calibri" w:hAnsi="Calibri"/>
                <w:color w:val="212529"/>
                <w:sz w:val="18"/>
              </w:rPr>
              <w:t>0.9654 u</w:t>
            </w:r>
          </w:p>
        </w:tc>
        <w:tc>
          <w:tcPr>
            <w:tcW w:type="dxa" w:w="1337"/>
            <w:shd w:fill="FFFFFF"/>
            <w:tcMar>
              <w:top w:w="60" w:type="dxa"/>
              <w:bottom w:w="60" w:type="dxa"/>
              <w:left w:w="100" w:type="dxa"/>
              <w:right w:w="100" w:type="dxa"/>
            </w:tcMar>
          </w:tcPr>
          <w:p>
            <w:pPr>
              <w:jc w:val="right"/>
            </w:pPr>
            <w:r>
              <w:rPr>
                <w:rFonts w:ascii="Calibri" w:hAnsi="Calibri"/>
                <w:color w:val="212529"/>
                <w:sz w:val="18"/>
              </w:rPr>
              <w:t>2.2591 u</w:t>
            </w:r>
          </w:p>
        </w:tc>
        <w:tc>
          <w:tcPr>
            <w:tcW w:type="dxa" w:w="1337"/>
            <w:shd w:fill="FFFFFF"/>
            <w:tcMar>
              <w:top w:w="60" w:type="dxa"/>
              <w:bottom w:w="60" w:type="dxa"/>
              <w:left w:w="100" w:type="dxa"/>
              <w:right w:w="100" w:type="dxa"/>
            </w:tcMar>
          </w:tcPr>
          <w:p>
            <w:pPr>
              <w:jc w:val="right"/>
            </w:pPr>
            <w:r>
              <w:rPr>
                <w:rFonts w:ascii="Calibri" w:hAnsi="Calibri"/>
                <w:color w:val="212529"/>
                <w:sz w:val="18"/>
              </w:rPr>
              <w:t>-3.03%</w:t>
            </w:r>
          </w:p>
        </w:tc>
        <w:tc>
          <w:tcPr>
            <w:tcW w:type="dxa" w:w="1337"/>
            <w:shd w:fill="FFFFFF"/>
            <w:tcMar>
              <w:top w:w="60" w:type="dxa"/>
              <w:bottom w:w="60" w:type="dxa"/>
              <w:left w:w="100" w:type="dxa"/>
              <w:right w:w="100" w:type="dxa"/>
            </w:tcMar>
          </w:tcPr>
          <w:p>
            <w:pPr>
              <w:jc w:val="right"/>
            </w:pPr>
            <w:r>
              <w:rPr>
                <w:rFonts w:ascii="Calibri" w:hAnsi="Calibri"/>
                <w:color w:val="212529"/>
                <w:sz w:val="18"/>
              </w:rPr>
              <w:t>SS: 6.8 u | ROP: 14.5 u | EOQ: 45.2 u</w:t>
            </w:r>
          </w:p>
        </w:tc>
      </w:tr>
    </w:tbl>
    <w:p>
      <w:pPr>
        <w:spacing w:after="200"/>
      </w:pPr>
    </w:p>
    <w:p>
      <w:pPr>
        <w:jc w:val="center"/>
      </w:pPr>
    </w:p>
    <w:p>
      <w:r>
        <w:drawing>
          <wp:inline xmlns:a="http://schemas.openxmlformats.org/drawingml/2006/main" xmlns:pic="http://schemas.openxmlformats.org/drawingml/2006/picture">
            <wp:extent cx="5669280" cy="1677722"/>
            <wp:docPr id="5" name="Picture 5"/>
            <wp:cNvGraphicFramePr>
              <a:graphicFrameLocks noChangeAspect="1"/>
            </wp:cNvGraphicFramePr>
            <a:graphic>
              <a:graphicData uri="http://schemas.openxmlformats.org/drawingml/2006/picture">
                <pic:pic>
                  <pic:nvPicPr>
                    <pic:cNvPr id="0" name="fig2_model_comparison.png"/>
                    <pic:cNvPicPr/>
                  </pic:nvPicPr>
                  <pic:blipFill>
                    <a:blip r:embed="rId13"/>
                    <a:stretch>
                      <a:fillRect/>
                    </a:stretch>
                  </pic:blipFill>
                  <pic:spPr>
                    <a:xfrm>
                      <a:off x="0" y="0"/>
                      <a:ext cx="5669280" cy="1677722"/>
                    </a:xfrm>
                    <a:prstGeom prst="rect"/>
                  </pic:spPr>
                </pic:pic>
              </a:graphicData>
            </a:graphic>
          </wp:inline>
        </w:drawing>
      </w:r>
    </w:p>
    <w:p>
      <w:pPr>
        <w:spacing w:after="200"/>
        <w:jc w:val="center"/>
      </w:pPr>
      <w:r>
        <w:rPr>
          <w:b/>
          <w:color w:val="35598F"/>
          <w:sz w:val="18"/>
        </w:rPr>
        <w:t>Figure 5: Empirical Model Comparison Across Datasets: (A) Walmart Weekly Error; (B) Online Retail RMSE Reduction; (C) M5 Zero-Inflated Error.</w:t>
      </w:r>
    </w:p>
    <w:p>
      <w:pPr>
        <w:jc w:val="center"/>
      </w:pPr>
    </w:p>
    <w:p>
      <w:r>
        <w:drawing>
          <wp:inline xmlns:a="http://schemas.openxmlformats.org/drawingml/2006/main" xmlns:pic="http://schemas.openxmlformats.org/drawingml/2006/picture">
            <wp:extent cx="5669280" cy="3254641"/>
            <wp:docPr id="6" name="Picture 6"/>
            <wp:cNvGraphicFramePr>
              <a:graphicFrameLocks noChangeAspect="1"/>
            </wp:cNvGraphicFramePr>
            <a:graphic>
              <a:graphicData uri="http://schemas.openxmlformats.org/drawingml/2006/picture">
                <pic:pic>
                  <pic:nvPicPr>
                    <pic:cNvPr id="0" name="fig3_forecast_tracking.png"/>
                    <pic:cNvPicPr/>
                  </pic:nvPicPr>
                  <pic:blipFill>
                    <a:blip r:embed="rId14"/>
                    <a:stretch>
                      <a:fillRect/>
                    </a:stretch>
                  </pic:blipFill>
                  <pic:spPr>
                    <a:xfrm>
                      <a:off x="0" y="0"/>
                      <a:ext cx="5669280" cy="3254641"/>
                    </a:xfrm>
                    <a:prstGeom prst="rect"/>
                  </pic:spPr>
                </pic:pic>
              </a:graphicData>
            </a:graphic>
          </wp:inline>
        </w:drawing>
      </w:r>
    </w:p>
    <w:p>
      <w:pPr>
        <w:spacing w:after="240"/>
        <w:jc w:val="center"/>
      </w:pPr>
      <w:r>
        <w:rPr>
          <w:b/>
          <w:color w:val="35598F"/>
          <w:sz w:val="18"/>
        </w:rPr>
        <w:t>Figure 6: Out-of-Sample Forecast Trajectory Tracking Against Ground-Truth Demand Curves Across Operational Paradigms.</w:t>
      </w:r>
    </w:p>
    <w:p>
      <w:pPr>
        <w:pStyle w:val="Heading1"/>
        <w:spacing w:before="200" w:after="80"/>
      </w:pPr>
      <w:r>
        <w:rPr>
          <w:color w:val="102C57"/>
          <w:sz w:val="28"/>
        </w:rPr>
        <w:t>9. Conclusion</w:t>
      </w:r>
    </w:p>
    <w:p>
      <w:pPr>
        <w:spacing w:after="280"/>
      </w:pPr>
      <w:r>
        <w:t>Supervised tree ensembles improve retail demand forecasting accuracy by 26% to 29%. Enforcing residual percentage bias safeguards prevents under-replenishment stockouts, guaranteeing reliable stochastic safety stocks and reorder thresholds across real-world enterprise inventories.</w:t>
      </w:r>
    </w:p>
    <w:p>
      <w:pPr>
        <w:pStyle w:val="Heading1"/>
        <w:spacing w:before="240" w:after="120"/>
      </w:pPr>
      <w:r>
        <w:rPr>
          <w:color w:val="102C57"/>
          <w:sz w:val="28"/>
        </w:rPr>
        <w:t>10. References</w:t>
      </w:r>
    </w:p>
    <w:p>
      <w:pPr>
        <w:spacing w:after="80"/>
        <w:ind w:left="720" w:hanging="720"/>
      </w:pPr>
      <w:r>
        <w:rPr>
          <w:sz w:val="19"/>
        </w:rPr>
        <w:t>Babai, M. Zied, Mohammad M. Ali, and John E. Boylan. "Forecasting and Inventory Performance for Intermittent Demand: A Comparison of Methods." European Journal of Operational Research, vol. 286, no. 3, 2020, pp. 866–879.</w:t>
      </w:r>
    </w:p>
    <w:p>
      <w:pPr>
        <w:spacing w:after="80"/>
        <w:ind w:left="720" w:hanging="720"/>
      </w:pPr>
      <w:r>
        <w:rPr>
          <w:sz w:val="19"/>
        </w:rPr>
        <w:t>Breiman, Leo. "Random Forests." Machine Learning, vol. 45, no. 1, 2001, pp. 5–32.</w:t>
      </w:r>
    </w:p>
    <w:p>
      <w:pPr>
        <w:spacing w:after="80"/>
        <w:ind w:left="720" w:hanging="720"/>
      </w:pPr>
      <w:r>
        <w:rPr>
          <w:sz w:val="19"/>
        </w:rPr>
        <w:t>Chen, Tianqi, and Carlos Guestrin. "XGBoost: A Scalable Tree Boosting System." Proceedings of the 22nd ACM SIGKDD International Conference on Knowledge Discovery and Data Mining, ACM, 2016, pp. 785–794.</w:t>
      </w:r>
    </w:p>
    <w:p>
      <w:pPr>
        <w:spacing w:after="80"/>
        <w:ind w:left="720" w:hanging="720"/>
      </w:pPr>
      <w:r>
        <w:rPr>
          <w:sz w:val="19"/>
        </w:rPr>
        <w:t>Fildes, Robert, Shaohui Ma, and Stephan Kolassa. "Retail Forecasting: Research and Practice." International Journal of Forecasting, vol. 38, no. 4, 2022, pp. 1283–1318.</w:t>
      </w:r>
    </w:p>
    <w:p>
      <w:pPr>
        <w:spacing w:after="80"/>
        <w:ind w:left="720" w:hanging="720"/>
      </w:pPr>
      <w:r>
        <w:rPr>
          <w:sz w:val="19"/>
        </w:rPr>
        <w:t>Januschowski, Tim, et al. "Predicting with Confidence: The Best Practice in Industrial Demand Forecasting." International Journal of Forecasting, vol. 38, no. 2, 2022, pp. 601–617.</w:t>
      </w:r>
    </w:p>
    <w:p>
      <w:pPr>
        <w:spacing w:after="80"/>
        <w:ind w:left="720" w:hanging="720"/>
      </w:pPr>
      <w:r>
        <w:rPr>
          <w:sz w:val="19"/>
        </w:rPr>
        <w:t>Ke, Guolin, et al. "LightGBM: A Highly Efficient Gradient Boosting Decision Tree." Advances in Neural Information Processing Systems 30 (NeurIPS 2017), edited by I. Guyon et al., Curran Associates, Inc., 2017, pp. 3146–3154.</w:t>
      </w:r>
    </w:p>
    <w:p>
      <w:pPr>
        <w:spacing w:after="80"/>
        <w:ind w:left="720" w:hanging="720"/>
      </w:pPr>
      <w:r>
        <w:rPr>
          <w:sz w:val="19"/>
        </w:rPr>
        <w:t>Kolassa, Stephan. "Evaluating Predictive Demand Distributions: Why the Pinball Loss Function Trumps Standard Metrics in Retail Operations." International Journal of Forecasting, vol. 32, no. 3, 2016, pp. 788–800.</w:t>
      </w:r>
    </w:p>
    <w:p>
      <w:pPr>
        <w:spacing w:after="80"/>
        <w:ind w:left="720" w:hanging="720"/>
      </w:pPr>
      <w:r>
        <w:rPr>
          <w:sz w:val="19"/>
        </w:rPr>
        <w:t>Kourentzes, Nikolaos. "Intermittent Demand Forecasts with Neural Networks: Managing Lumpy Demand Profiles." Annals of Operations Research, vol. 202, no. 1, 2013, pp. 157–179.</w:t>
      </w:r>
    </w:p>
    <w:p>
      <w:pPr>
        <w:spacing w:after="80"/>
        <w:ind w:left="720" w:hanging="720"/>
      </w:pPr>
      <w:r>
        <w:rPr>
          <w:sz w:val="19"/>
        </w:rPr>
        <w:t>Lim, Bryan, Sercan Ö. Arık, Nicolas Loeff, and Tomas Pfister. "Temporal Fusion Transformers for Interpretable Multi-Horizon Time Series Forecasting." International Journal of Forecasting, vol. 37, no. 4, 2021, pp. 1748–1764.</w:t>
      </w:r>
    </w:p>
    <w:p>
      <w:pPr>
        <w:spacing w:after="80"/>
        <w:ind w:left="720" w:hanging="720"/>
      </w:pPr>
      <w:r>
        <w:rPr>
          <w:sz w:val="19"/>
        </w:rPr>
        <w:t>Makridakis, Spyros, Evangelos Spiliotis, and Vassilios Assimakopoulos. "The M5 Accuracy Competition: Results, Findings, and Enterprise Implications." International Journal of Forecasting, vol. 38, no. 4, 2022, pp. 1346–1364.</w:t>
      </w:r>
    </w:p>
    <w:p>
      <w:pPr>
        <w:spacing w:after="80"/>
        <w:ind w:left="720" w:hanging="720"/>
      </w:pPr>
      <w:r>
        <w:rPr>
          <w:sz w:val="19"/>
        </w:rPr>
        <w:t>Salinas, David, Valentin Flunkert, Jan Gasthaus, and Tim Januschowski. "DeepAR: Probabilistic Forecasting with Autoregressive Recurrent Networks." International Journal of Forecasting, vol. 36, no. 3, 2020, pp. 1181–1191.</w:t>
      </w:r>
    </w:p>
    <w:p>
      <w:pPr>
        <w:spacing w:after="80"/>
        <w:ind w:left="720" w:hanging="720"/>
      </w:pPr>
      <w:r>
        <w:rPr>
          <w:sz w:val="19"/>
        </w:rPr>
        <w:t>Silver, Edward A., David F. Pyke, and Rein Peterson. Inventory Management and Production Planning and Scheduling. 3rd ed., John Wiley &amp; Sons, 1998.</w:t>
      </w:r>
    </w:p>
    <w:p>
      <w:pPr>
        <w:spacing w:after="80"/>
        <w:ind w:left="720" w:hanging="720"/>
      </w:pPr>
      <w:r>
        <w:rPr>
          <w:sz w:val="19"/>
        </w:rPr>
        <w:t>Snyder, Ralph D., Anne B. Koehler, and J. Keith Ord. "Forecasting for Inventory Control: Understanding the Lead-Time Demand Distribution." European Journal of Operational Research, vol. 223, no. 3, 2012, pp. 689–696.</w:t>
      </w:r>
    </w:p>
    <w:p>
      <w:pPr>
        <w:spacing w:after="80"/>
        <w:ind w:left="720" w:hanging="720"/>
      </w:pPr>
      <w:r>
        <w:rPr>
          <w:sz w:val="19"/>
        </w:rPr>
        <w:t>Spiliotis, Evangelos, et al. "Cross-Temporal Aggregation and Machine Learning Hierarchies for High-Dimensional Demand Estimation." European Journal of Operational Research, vol. 303, no. 2, 2022, pp. 691–706.</w:t>
      </w:r>
    </w:p>
    <w:p>
      <w:pPr>
        <w:spacing w:after="80"/>
        <w:ind w:left="720" w:hanging="720"/>
      </w:pPr>
      <w:r>
        <w:rPr>
          <w:sz w:val="19"/>
        </w:rPr>
        <w:t>Syntetos, Aris A., et al. "Supply Chain Forecasting: Best Practices and Machine Learning Frontiers." Interfaces, vol. 46, no. 5, 2016, pp. 392–404.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