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/>
          <w:b/>
          <w:color w:val="646464"/>
          <w:sz w:val="17"/>
        </w:rPr>
        <w:t>EXECUTIVE RESEARCH BRIEFING &amp; DEFENSE HANDOUT | 2026</w:t>
      </w:r>
    </w:p>
    <w:p>
      <w:pPr>
        <w:spacing w:after="40" w:before="0"/>
      </w:pPr>
      <w:r>
        <w:rPr>
          <w:rFonts w:ascii="Times New Roman" w:hAnsi="Times New Roman"/>
          <w:b/>
          <w:sz w:val="26"/>
        </w:rPr>
        <w:t>An Empirically Audited Machine Learning &amp; Stochastic Inventory Control Framework for Enterprise Replenishment Decision Support</w:t>
      </w:r>
    </w:p>
    <w:p>
      <w:pPr>
        <w:spacing w:after="120"/>
      </w:pPr>
      <w:r>
        <w:rPr>
          <w:rFonts w:ascii="Times New Roman" w:hAnsi="Times New Roman"/>
          <w:i/>
          <w:sz w:val="19"/>
        </w:rPr>
        <w:t>Sashank P., Abhinay Sai, Poli Naidu, Sushama Rani Dutta | Koneru Lakshmaiah Education Foundation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20"/>
              </w:rPr>
              <w:t>1. THE OPERATIONAL PARADOX</w:t>
            </w:r>
          </w:p>
          <w:p>
            <w:pPr>
              <w:spacing w:after="80"/>
            </w:pPr>
            <w:r>
              <w:rPr>
                <w:rFonts w:ascii="Times New Roman" w:hAnsi="Times New Roman"/>
                <w:sz w:val="17"/>
              </w:rPr>
              <w:t>• Statistical MAE/RMSE models treat under- and over-forecasting identically. In retail operations, under-forecasting triggers catastrophic stockouts ($p &gt;&gt; h).</w:t>
              <w:br/>
              <w:t>• Jensen's Inequality Deficit (Theorem 1): Log-transformed regressors log(1+y) incur an operational under-forecasting bias of up to -57.18% upon exponentiation: E[exp(Z)] &gt; exp(E[Z]).</w:t>
              <w:br/>
              <w:t>• Solution: Dual-moment smearing correction: Y = exp(u + 0.5*s^2) - 1.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20"/>
              </w:rPr>
              <w:t>2. STOCHASTIC REPLENISHMENT &amp; EVE'S LAW</w:t>
            </w:r>
          </w:p>
          <w:p>
            <w:pPr>
              <w:spacing w:after="80"/>
            </w:pPr>
            <w:r>
              <w:rPr>
                <w:rFonts w:ascii="Times New Roman" w:hAnsi="Times New Roman"/>
                <w:sz w:val="17"/>
              </w:rPr>
              <w:t>• Stochastic Lead-Time Variance: Standard safety stock formulas underestimate stockout risk by &gt;60% under supplier arrival delays.</w:t>
              <w:br/>
              <w:t>• Eve's Law (Law of Total Variance): s_LTD^2 = L * s_D^2 + u_D^2 * s_L^2.</w:t>
              <w:br/>
              <w:t>• Platt-Calibrated Surge Trees: GBDT early-warning classifier identifies tail-risk surges (&gt;95th percentile) with ROC AUC = 0.9278, Accuracy = 83.21%, dynamic buffer expansion.</w:t>
            </w:r>
          </w:p>
        </w:tc>
      </w:tr>
    </w:tbl>
    <w:p>
      <w:pPr>
        <w:spacing w:before="120" w:after="60"/>
      </w:pPr>
      <w:r>
        <w:rPr>
          <w:rFonts w:ascii="Times New Roman" w:hAnsi="Times New Roman"/>
          <w:b/>
          <w:sz w:val="20"/>
        </w:rPr>
        <w:t>3. EMPIRICAL BENCHMARK &amp; SIMULATION AUDIT (8,000 STEPS)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b/>
                <w:sz w:val="17"/>
              </w:rPr>
              <w:t>Replenishment Policy</w:t>
            </w:r>
          </w:p>
        </w:tc>
        <w:tc>
          <w:tcPr>
            <w:tcW w:type="dxa" w:w="2102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b/>
                <w:sz w:val="17"/>
              </w:rPr>
              <w:t>Service Fill Rate</w:t>
            </w:r>
          </w:p>
        </w:tc>
        <w:tc>
          <w:tcPr>
            <w:tcW w:type="dxa" w:w="2102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b/>
                <w:sz w:val="17"/>
              </w:rPr>
              <w:t>Stockout Days</w:t>
            </w:r>
          </w:p>
        </w:tc>
        <w:tc>
          <w:tcPr>
            <w:tcW w:type="dxa" w:w="2102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b/>
                <w:sz w:val="17"/>
              </w:rPr>
              <w:t>Total Operating Cost</w:t>
            </w:r>
          </w:p>
        </w:tc>
        <w:tc>
          <w:tcPr>
            <w:tcW w:type="dxa" w:w="2102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b/>
                <w:sz w:val="17"/>
              </w:rPr>
              <w:t>Working Capital Impact</w:t>
            </w:r>
          </w:p>
        </w:tc>
      </w:tr>
      <w:tr>
        <w:tc>
          <w:tcPr>
            <w:tcW w:type="dxa" w:w="2102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16"/>
              </w:rPr>
              <w:t>Policy A: Naive Historical</w:t>
            </w:r>
          </w:p>
        </w:tc>
        <w:tc>
          <w:tcPr>
            <w:tcW w:type="dxa" w:w="2102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16"/>
              </w:rPr>
              <w:t>98.20%</w:t>
            </w:r>
          </w:p>
        </w:tc>
        <w:tc>
          <w:tcPr>
            <w:tcW w:type="dxa" w:w="2102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16"/>
              </w:rPr>
              <w:t>5 days</w:t>
            </w:r>
          </w:p>
        </w:tc>
        <w:tc>
          <w:tcPr>
            <w:tcW w:type="dxa" w:w="2102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16"/>
              </w:rPr>
              <w:t>$176.9k</w:t>
            </w:r>
          </w:p>
        </w:tc>
        <w:tc>
          <w:tcPr>
            <w:tcW w:type="dxa" w:w="2102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16"/>
              </w:rPr>
              <w:t>Heavy buffer bloat ($270.8k)</w:t>
            </w:r>
          </w:p>
        </w:tc>
      </w:tr>
      <w:tr>
        <w:tc>
          <w:tcPr>
            <w:tcW w:type="dxa" w:w="2102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16"/>
              </w:rPr>
              <w:t>Policy B: Statistical Min MAE</w:t>
            </w:r>
          </w:p>
        </w:tc>
        <w:tc>
          <w:tcPr>
            <w:tcW w:type="dxa" w:w="2102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16"/>
              </w:rPr>
              <w:t>81.40%</w:t>
            </w:r>
          </w:p>
        </w:tc>
        <w:tc>
          <w:tcPr>
            <w:tcW w:type="dxa" w:w="2102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16"/>
              </w:rPr>
              <w:t>24 days</w:t>
            </w:r>
          </w:p>
        </w:tc>
        <w:tc>
          <w:tcPr>
            <w:tcW w:type="dxa" w:w="2102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16"/>
              </w:rPr>
              <w:t>$128.5k</w:t>
            </w:r>
          </w:p>
        </w:tc>
        <w:tc>
          <w:tcPr>
            <w:tcW w:type="dxa" w:w="2102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16"/>
              </w:rPr>
              <w:t>Severe under-forecasting bias (-18.4%)</w:t>
            </w:r>
          </w:p>
        </w:tc>
      </w:tr>
      <w:tr>
        <w:tc>
          <w:tcPr>
            <w:tcW w:type="dxa" w:w="2102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16"/>
              </w:rPr>
              <w:t>Policy C: Tri-Criterion Safeguard</w:t>
            </w:r>
          </w:p>
        </w:tc>
        <w:tc>
          <w:tcPr>
            <w:tcW w:type="dxa" w:w="2102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16"/>
              </w:rPr>
              <w:t>100.00%</w:t>
            </w:r>
          </w:p>
        </w:tc>
        <w:tc>
          <w:tcPr>
            <w:tcW w:type="dxa" w:w="2102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16"/>
              </w:rPr>
              <w:t>0 days</w:t>
            </w:r>
          </w:p>
        </w:tc>
        <w:tc>
          <w:tcPr>
            <w:tcW w:type="dxa" w:w="2102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16"/>
              </w:rPr>
              <w:t>$9.2k</w:t>
            </w:r>
          </w:p>
        </w:tc>
        <w:tc>
          <w:tcPr>
            <w:tcW w:type="dxa" w:w="2102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16"/>
              </w:rPr>
              <w:t>Optimized buffer ($135.7k)</w:t>
            </w:r>
          </w:p>
        </w:tc>
      </w:tr>
      <w:tr>
        <w:tc>
          <w:tcPr>
            <w:tcW w:type="dxa" w:w="2102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16"/>
              </w:rPr>
              <w:t>Policy D: Dynamic Eve's Law Surge</w:t>
            </w:r>
          </w:p>
        </w:tc>
        <w:tc>
          <w:tcPr>
            <w:tcW w:type="dxa" w:w="2102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16"/>
              </w:rPr>
              <w:t>100.00%</w:t>
            </w:r>
          </w:p>
        </w:tc>
        <w:tc>
          <w:tcPr>
            <w:tcW w:type="dxa" w:w="2102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16"/>
              </w:rPr>
              <w:t>0 days</w:t>
            </w:r>
          </w:p>
        </w:tc>
        <w:tc>
          <w:tcPr>
            <w:tcW w:type="dxa" w:w="2102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16"/>
              </w:rPr>
              <w:t>$8.8k</w:t>
            </w:r>
          </w:p>
        </w:tc>
        <w:tc>
          <w:tcPr>
            <w:tcW w:type="dxa" w:w="2102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sz w:val="16"/>
              </w:rPr>
              <w:t>95.0% cost reduction, 49.9% capital saved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0"/>
        </w:rPr>
        <w:t>4. STRATEGIC MANAGERIAL &amp; ENTERPRISE ERP TAKEAWAYS</w:t>
      </w:r>
    </w:p>
    <w:p>
      <w:pPr>
        <w:spacing w:after="0"/>
      </w:pPr>
      <w:r>
        <w:rPr>
          <w:rFonts w:ascii="Times New Roman" w:hAnsi="Times New Roman"/>
          <w:sz w:val="17"/>
        </w:rPr>
        <w:t>1. Never evaluate enterprise forecasting models purely on MAE/RMSE; always enforce an operational bias safeguard (|Bias| &lt;= 5%).</w:t>
        <w:br/>
        <w:t>2. Avoid naive log1p transformations on retail counts without dual-moment retransformation smearing.</w:t>
        <w:br/>
        <w:t>3. Incorporate lead-time variance via Eve's Law to prevent systemic stockouts during supply chain delivery shocks.</w:t>
        <w:br/>
        <w:t>4. Fully reproducible: 90/90 passing automated tests, public Google Colab notebook, and Overleaf LaTeX submission bundle.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