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pPr>
      <w:r>
        <w:rPr>
          <w:b w:val="1"/>
          <w:sz w:val="30"/>
        </w:rPr>
        <w:t>TASK 3</w:t>
      </w:r>
    </w:p>
    <w:p>
      <w:pPr>
        <w:jc w:val="center"/>
      </w:pPr>
      <w:r>
        <w:rPr>
          <w:b w:val="1"/>
          <w:sz w:val="48"/>
        </w:rPr>
        <w:t>FINANCIAL RISK ANALYSIS</w:t>
      </w:r>
    </w:p>
    <w:p>
      <w:pPr>
        <w:jc w:val="center"/>
      </w:pPr>
      <w:r>
        <w:rPr>
          <w:b w:val="1"/>
          <w:sz w:val="34"/>
        </w:rPr>
        <w:t>Reliance Industries Limited (RELIANCE</w:t>
      </w:r>
      <w:r>
        <w:rPr>
          <w:b w:val="1"/>
          <w:sz w:val="34"/>
        </w:rPr>
        <w:t>)</w:t>
      </w:r>
    </w:p>
    <w:p>
      <w:pPr>
        <w:jc w:val="center"/>
      </w:pPr>
      <w:r>
        <w:rPr>
          <w:i w:val="1"/>
        </w:rPr>
        <w:t>Historical Market Risk Assessment | 1996–2025</w:t>
      </w:r>
    </w:p>
    <w:p/>
    <w:p>
      <w:pPr>
        <w:jc w:val="center"/>
      </w:pPr>
      <w:r>
        <w:rPr>
          <w:sz w:val="22"/>
        </w:rPr>
        <w:t>This report identifies potential financial risks, assesses their impact using historical stock data, and proposes practical mitigation strategies.</w:t>
      </w:r>
    </w:p>
    <w:p>
      <w:r>
        <w:br w:type="page"/>
      </w:r>
    </w:p>
    <w:p>
      <w:pPr>
        <w:pStyle w:val="P3"/>
        <w:rPr>
          <w:color w:val="000000"/>
        </w:rPr>
      </w:pPr>
      <w:r>
        <w:rPr>
          <w:color w:val="000000"/>
        </w:rPr>
        <w:t>1. Objective</w:t>
      </w:r>
    </w:p>
    <w:p>
      <w:r>
        <w:t>The objective of this task is to conduct a financial risk analysis using historical Reliance Industries stock-market data. The analysis identifies potential sources of investment risk, measures price fluctuations and drawdowns, and translates the findings into practical mitigation strategies. Daily returns, volatility, maximum loss, drawdown, trading volume, and historical closing-price movements were examined to understand the historical risk profile of the stock.</w:t>
      </w:r>
    </w:p>
    <w:p>
      <w:pPr>
        <w:pStyle w:val="P3"/>
        <w:rPr>
          <w:color w:val="000000"/>
        </w:rPr>
      </w:pPr>
      <w:r>
        <w:rPr>
          <w:color w:val="000000"/>
        </w:rPr>
        <w:t>2. Dataset Overview</w:t>
      </w:r>
    </w:p>
    <w:p>
      <w:r>
        <w:t>The analysis uses a cleaned historical dataset covering January 1996 to February 2025. The dataset contains daily market observations and was cleaned before the risk calculations were performed.</w:t>
      </w:r>
    </w:p>
    <w:tbl>
      <w:tblPr>
        <w:tblStyle w:val="T2"/>
        <w:tblW w:w="0" w:type="auto"/>
        <w:jc w:val="center"/>
        <w:tblLook w:val="04A0"/>
      </w:tblPr>
      <w:tblGrid>
        <w:gridCol w:w="5040"/>
        <w:gridCol w:w="5040"/>
      </w:tblGrid>
      <w:tr>
        <w:tc>
          <w:tcPr>
            <w:tcW w:w="5040" w:type="dxa"/>
            <w:shd w:val="clear" w:color="auto" w:fill="D9EAF7"/>
          </w:tcPr>
          <w:p>
            <w:r>
              <w:rPr>
                <w:b w:val="1"/>
              </w:rPr>
              <w:t>Attribute</w:t>
            </w:r>
          </w:p>
        </w:tc>
        <w:tc>
          <w:tcPr>
            <w:tcW w:w="5040" w:type="dxa"/>
            <w:shd w:val="clear" w:color="auto" w:fill="D9EAF7"/>
          </w:tcPr>
          <w:p>
            <w:r>
              <w:rPr>
                <w:b w:val="1"/>
              </w:rPr>
              <w:t>Details</w:t>
            </w:r>
          </w:p>
        </w:tc>
      </w:tr>
      <w:tr>
        <w:tc>
          <w:tcPr>
            <w:tcW w:w="5040" w:type="dxa"/>
            <w:vAlign w:val="center"/>
          </w:tcPr>
          <w:p>
            <w:r>
              <w:rPr>
                <w:sz w:val="18"/>
              </w:rPr>
              <w:t>Company</w:t>
            </w:r>
          </w:p>
        </w:tc>
        <w:tc>
          <w:tcPr>
            <w:tcW w:w="5040" w:type="dxa"/>
            <w:vAlign w:val="center"/>
          </w:tcPr>
          <w:p>
            <w:r>
              <w:rPr>
                <w:sz w:val="18"/>
              </w:rPr>
              <w:t>Reliance Industries Limited</w:t>
            </w:r>
          </w:p>
        </w:tc>
      </w:tr>
      <w:tr>
        <w:tc>
          <w:tcPr>
            <w:tcW w:w="5040" w:type="dxa"/>
            <w:vAlign w:val="center"/>
          </w:tcPr>
          <w:p>
            <w:r>
              <w:rPr>
                <w:sz w:val="18"/>
              </w:rPr>
              <w:t>Ticker</w:t>
            </w:r>
          </w:p>
        </w:tc>
        <w:tc>
          <w:tcPr>
            <w:tcW w:w="5040" w:type="dxa"/>
            <w:vAlign w:val="center"/>
          </w:tcPr>
          <w:p>
            <w:r>
              <w:rPr>
                <w:sz w:val="18"/>
              </w:rPr>
              <w:t>RELIANCE.NS</w:t>
            </w:r>
          </w:p>
        </w:tc>
      </w:tr>
      <w:tr>
        <w:tc>
          <w:tcPr>
            <w:tcW w:w="5040" w:type="dxa"/>
            <w:vAlign w:val="center"/>
          </w:tcPr>
          <w:p>
            <w:r>
              <w:rPr>
                <w:sz w:val="18"/>
              </w:rPr>
              <w:t>Analysis Period</w:t>
            </w:r>
          </w:p>
        </w:tc>
        <w:tc>
          <w:tcPr>
            <w:tcW w:w="5040" w:type="dxa"/>
            <w:vAlign w:val="center"/>
          </w:tcPr>
          <w:p>
            <w:r>
              <w:rPr>
                <w:sz w:val="18"/>
              </w:rPr>
              <w:t>1996–2025</w:t>
            </w:r>
          </w:p>
        </w:tc>
      </w:tr>
      <w:tr>
        <w:tc>
          <w:tcPr>
            <w:tcW w:w="5040" w:type="dxa"/>
            <w:vAlign w:val="center"/>
          </w:tcPr>
          <w:p>
            <w:r>
              <w:rPr>
                <w:sz w:val="18"/>
              </w:rPr>
              <w:t>Cleaned Records</w:t>
            </w:r>
          </w:p>
        </w:tc>
        <w:tc>
          <w:tcPr>
            <w:tcW w:w="5040" w:type="dxa"/>
            <w:vAlign w:val="center"/>
          </w:tcPr>
          <w:p>
            <w:r>
              <w:rPr>
                <w:sz w:val="18"/>
              </w:rPr>
              <w:t>7,324</w:t>
            </w:r>
          </w:p>
        </w:tc>
      </w:tr>
      <w:tr>
        <w:tc>
          <w:tcPr>
            <w:tcW w:w="5040" w:type="dxa"/>
            <w:vAlign w:val="center"/>
          </w:tcPr>
          <w:p>
            <w:r>
              <w:rPr>
                <w:sz w:val="18"/>
              </w:rPr>
              <w:t>Columns</w:t>
            </w:r>
          </w:p>
        </w:tc>
        <w:tc>
          <w:tcPr>
            <w:tcW w:w="5040" w:type="dxa"/>
            <w:vAlign w:val="center"/>
          </w:tcPr>
          <w:p>
            <w:r>
              <w:rPr>
                <w:sz w:val="18"/>
              </w:rPr>
              <w:t>7</w:t>
            </w:r>
          </w:p>
        </w:tc>
      </w:tr>
      <w:tr>
        <w:tc>
          <w:tcPr>
            <w:tcW w:w="5040" w:type="dxa"/>
            <w:vAlign w:val="center"/>
          </w:tcPr>
          <w:p>
            <w:r>
              <w:rPr>
                <w:sz w:val="18"/>
              </w:rPr>
              <w:t>Variables</w:t>
            </w:r>
          </w:p>
        </w:tc>
        <w:tc>
          <w:tcPr>
            <w:tcW w:w="5040" w:type="dxa"/>
            <w:vAlign w:val="center"/>
          </w:tcPr>
          <w:p>
            <w:r>
              <w:rPr>
                <w:sz w:val="18"/>
              </w:rPr>
              <w:t>Date, Open, High, Low, Close, Adjusted Close, Volume</w:t>
            </w:r>
          </w:p>
        </w:tc>
      </w:tr>
      <w:tr>
        <w:tc>
          <w:tcPr>
            <w:tcW w:w="5040" w:type="dxa"/>
            <w:vAlign w:val="center"/>
          </w:tcPr>
          <w:p>
            <w:r>
              <w:rPr>
                <w:sz w:val="18"/>
              </w:rPr>
              <w:t>Primary Risk Measure</w:t>
            </w:r>
          </w:p>
        </w:tc>
        <w:tc>
          <w:tcPr>
            <w:tcW w:w="5040" w:type="dxa"/>
            <w:vAlign w:val="center"/>
          </w:tcPr>
          <w:p>
            <w:r>
              <w:rPr>
                <w:sz w:val="18"/>
              </w:rPr>
              <w:t>Daily closing-price returns</w:t>
            </w:r>
          </w:p>
        </w:tc>
      </w:tr>
    </w:tbl>
    <w:p>
      <w:pPr>
        <w:pStyle w:val="P3"/>
        <w:rPr>
          <w:color w:val="000000"/>
        </w:rPr>
      </w:pPr>
      <w:r>
        <w:rPr>
          <w:color w:val="000000"/>
        </w:rPr>
        <w:t>3. Risk Analysis Methodology</w:t>
      </w:r>
    </w:p>
    <w:p>
      <w:r>
        <w:t>Daily percentage returns were calculated from the closing price. Standard deviation of daily returns was used as daily volatility. Annualized volatility was derived from daily volatility using the 252-trading-day convention. Drawdown was measured relative to the historical running peak, allowing periods of substantial decline to be identified. Trading volume was also reviewed to understand changes in market activity.</w:t>
      </w:r>
    </w:p>
    <w:p>
      <w:pPr>
        <w:pStyle w:val="P3"/>
        <w:rPr>
          <w:color w:val="000000"/>
        </w:rPr>
      </w:pPr>
      <w:r>
        <w:rPr>
          <w:color w:val="000000"/>
        </w:rPr>
        <w:t>4. Risk Statistics</w:t>
      </w:r>
    </w:p>
    <w:tbl>
      <w:tblPr>
        <w:tblStyle w:val="T2"/>
        <w:tblW w:w="0" w:type="auto"/>
        <w:jc w:val="center"/>
        <w:tblLook w:val="04A0"/>
      </w:tblPr>
      <w:tblGrid>
        <w:gridCol w:w="3360"/>
        <w:gridCol w:w="3360"/>
        <w:gridCol w:w="3360"/>
      </w:tblGrid>
      <w:tr>
        <w:tc>
          <w:tcPr>
            <w:tcW w:w="3360" w:type="dxa"/>
            <w:shd w:val="clear" w:color="auto" w:fill="D9EAF7"/>
          </w:tcPr>
          <w:p>
            <w:r>
              <w:rPr>
                <w:b w:val="1"/>
              </w:rPr>
              <w:t>Risk Indicator</w:t>
            </w:r>
          </w:p>
        </w:tc>
        <w:tc>
          <w:tcPr>
            <w:tcW w:w="3360" w:type="dxa"/>
            <w:shd w:val="clear" w:color="auto" w:fill="D9EAF7"/>
          </w:tcPr>
          <w:p>
            <w:r>
              <w:rPr>
                <w:b w:val="1"/>
              </w:rPr>
              <w:t>Observed Value</w:t>
            </w:r>
          </w:p>
        </w:tc>
        <w:tc>
          <w:tcPr>
            <w:tcW w:w="3360" w:type="dxa"/>
            <w:shd w:val="clear" w:color="auto" w:fill="D9EAF7"/>
          </w:tcPr>
          <w:p>
            <w:r>
              <w:rPr>
                <w:b w:val="1"/>
              </w:rPr>
              <w:t>Interpretation</w:t>
            </w:r>
          </w:p>
        </w:tc>
      </w:tr>
      <w:tr>
        <w:tc>
          <w:tcPr>
            <w:tcW w:w="3360" w:type="dxa"/>
            <w:vAlign w:val="center"/>
          </w:tcPr>
          <w:p>
            <w:r>
              <w:rPr>
                <w:sz w:val="18"/>
              </w:rPr>
              <w:t>Average Daily Return</w:t>
            </w:r>
          </w:p>
        </w:tc>
        <w:tc>
          <w:tcPr>
            <w:tcW w:w="3360" w:type="dxa"/>
            <w:vAlign w:val="center"/>
          </w:tcPr>
          <w:p>
            <w:r>
              <w:rPr>
                <w:sz w:val="18"/>
              </w:rPr>
              <w:t>0.1354%</w:t>
            </w:r>
          </w:p>
        </w:tc>
        <w:tc>
          <w:tcPr>
            <w:tcW w:w="3360" w:type="dxa"/>
            <w:vAlign w:val="center"/>
          </w:tcPr>
          <w:p>
            <w:r>
              <w:rPr>
                <w:sz w:val="18"/>
              </w:rPr>
              <w:t>Positive average daily return over the analyzed period.</w:t>
            </w:r>
          </w:p>
        </w:tc>
      </w:tr>
      <w:tr>
        <w:tc>
          <w:tcPr>
            <w:tcW w:w="3360" w:type="dxa"/>
            <w:vAlign w:val="center"/>
          </w:tcPr>
          <w:p>
            <w:r>
              <w:rPr>
                <w:sz w:val="18"/>
              </w:rPr>
              <w:t>Daily Volatility</w:t>
            </w:r>
          </w:p>
        </w:tc>
        <w:tc>
          <w:tcPr>
            <w:tcW w:w="3360" w:type="dxa"/>
            <w:vAlign w:val="center"/>
          </w:tcPr>
          <w:p>
            <w:r>
              <w:rPr>
                <w:sz w:val="18"/>
              </w:rPr>
              <w:t>4.76%</w:t>
            </w:r>
          </w:p>
        </w:tc>
        <w:tc>
          <w:tcPr>
            <w:tcW w:w="3360" w:type="dxa"/>
            <w:vAlign w:val="center"/>
          </w:tcPr>
          <w:p>
            <w:r>
              <w:rPr>
                <w:sz w:val="18"/>
              </w:rPr>
              <w:t>High day-to-day price variability.</w:t>
            </w:r>
          </w:p>
        </w:tc>
      </w:tr>
      <w:tr>
        <w:tc>
          <w:tcPr>
            <w:tcW w:w="3360" w:type="dxa"/>
            <w:vAlign w:val="center"/>
          </w:tcPr>
          <w:p>
            <w:r>
              <w:rPr>
                <w:sz w:val="18"/>
              </w:rPr>
              <w:t>Annualized Volatility</w:t>
            </w:r>
          </w:p>
        </w:tc>
        <w:tc>
          <w:tcPr>
            <w:tcW w:w="3360" w:type="dxa"/>
            <w:vAlign w:val="center"/>
          </w:tcPr>
          <w:p>
            <w:r>
              <w:rPr>
                <w:sz w:val="18"/>
              </w:rPr>
              <w:t>75.64%</w:t>
            </w:r>
          </w:p>
        </w:tc>
        <w:tc>
          <w:tcPr>
            <w:tcW w:w="3360" w:type="dxa"/>
            <w:vAlign w:val="center"/>
          </w:tcPr>
          <w:p>
            <w:r>
              <w:rPr>
                <w:sz w:val="18"/>
              </w:rPr>
              <w:t>Substantial historical annualized market risk.</w:t>
            </w:r>
          </w:p>
        </w:tc>
      </w:tr>
      <w:tr>
        <w:tc>
          <w:tcPr>
            <w:tcW w:w="3360" w:type="dxa"/>
            <w:vAlign w:val="center"/>
          </w:tcPr>
          <w:p>
            <w:r>
              <w:rPr>
                <w:sz w:val="18"/>
              </w:rPr>
              <w:t>Maximum Daily Gain</w:t>
            </w:r>
          </w:p>
        </w:tc>
        <w:tc>
          <w:tcPr>
            <w:tcW w:w="3360" w:type="dxa"/>
            <w:vAlign w:val="center"/>
          </w:tcPr>
          <w:p>
            <w:r>
              <w:rPr>
                <w:sz w:val="18"/>
              </w:rPr>
              <w:t>337.48%</w:t>
            </w:r>
          </w:p>
        </w:tc>
        <w:tc>
          <w:tcPr>
            <w:tcW w:w="3360" w:type="dxa"/>
            <w:vAlign w:val="center"/>
          </w:tcPr>
          <w:p>
            <w:r>
              <w:rPr>
                <w:sz w:val="18"/>
              </w:rPr>
              <w:t>Extreme positive one-day movement occurred historically.</w:t>
            </w:r>
          </w:p>
        </w:tc>
      </w:tr>
      <w:tr>
        <w:tc>
          <w:tcPr>
            <w:tcW w:w="3360" w:type="dxa"/>
            <w:vAlign w:val="center"/>
          </w:tcPr>
          <w:p>
            <w:r>
              <w:rPr>
                <w:sz w:val="18"/>
              </w:rPr>
              <w:t>Maximum Daily Loss</w:t>
            </w:r>
          </w:p>
        </w:tc>
        <w:tc>
          <w:tcPr>
            <w:tcW w:w="3360" w:type="dxa"/>
            <w:vAlign w:val="center"/>
          </w:tcPr>
          <w:p>
            <w:r>
              <w:rPr>
                <w:sz w:val="18"/>
              </w:rPr>
              <w:t>-76.99%</w:t>
            </w:r>
          </w:p>
        </w:tc>
        <w:tc>
          <w:tcPr>
            <w:tcW w:w="3360" w:type="dxa"/>
            <w:vAlign w:val="center"/>
          </w:tcPr>
          <w:p>
            <w:r>
              <w:rPr>
                <w:sz w:val="18"/>
              </w:rPr>
              <w:t>Extreme historical downside movement.</w:t>
            </w:r>
          </w:p>
        </w:tc>
      </w:tr>
      <w:tr>
        <w:tc>
          <w:tcPr>
            <w:tcW w:w="3360" w:type="dxa"/>
            <w:vAlign w:val="center"/>
          </w:tcPr>
          <w:p>
            <w:r>
              <w:rPr>
                <w:sz w:val="18"/>
              </w:rPr>
              <w:t>Maximum Drawdown</w:t>
            </w:r>
          </w:p>
        </w:tc>
        <w:tc>
          <w:tcPr>
            <w:tcW w:w="3360" w:type="dxa"/>
            <w:vAlign w:val="center"/>
          </w:tcPr>
          <w:p>
            <w:r>
              <w:rPr>
                <w:sz w:val="18"/>
              </w:rPr>
              <w:t>-77.59%</w:t>
            </w:r>
          </w:p>
        </w:tc>
        <w:tc>
          <w:tcPr>
            <w:tcW w:w="3360" w:type="dxa"/>
            <w:vAlign w:val="center"/>
          </w:tcPr>
          <w:p>
            <w:r>
              <w:rPr>
                <w:sz w:val="18"/>
              </w:rPr>
              <w:t>Severe decline from a previous peak.</w:t>
            </w:r>
          </w:p>
        </w:tc>
      </w:tr>
      <w:tr>
        <w:tc>
          <w:tcPr>
            <w:tcW w:w="3360" w:type="dxa"/>
            <w:vAlign w:val="center"/>
          </w:tcPr>
          <w:p>
            <w:r>
              <w:rPr>
                <w:sz w:val="18"/>
              </w:rPr>
              <w:t>Worst Drawdown Date</w:t>
            </w:r>
          </w:p>
        </w:tc>
        <w:tc>
          <w:tcPr>
            <w:tcW w:w="3360" w:type="dxa"/>
            <w:vAlign w:val="center"/>
          </w:tcPr>
          <w:p>
            <w:r>
              <w:rPr>
                <w:sz w:val="18"/>
              </w:rPr>
              <w:t>23-Aug-2005</w:t>
            </w:r>
          </w:p>
        </w:tc>
        <w:tc>
          <w:tcPr>
            <w:tcW w:w="3360" w:type="dxa"/>
            <w:vAlign w:val="center"/>
          </w:tcPr>
          <w:p>
            <w:r>
              <w:rPr>
                <w:sz w:val="18"/>
              </w:rPr>
              <w:t>Date associated with the maximum observed drawdown.</w:t>
            </w:r>
          </w:p>
        </w:tc>
      </w:tr>
    </w:tbl>
    <w:p>
      <w:pPr>
        <w:pStyle w:val="P3"/>
        <w:rPr>
          <w:color w:val="000000"/>
        </w:rPr>
      </w:pPr>
      <w:r>
        <w:rPr>
          <w:color w:val="000000"/>
        </w:rPr>
        <w:t>5. Risk Identification</w:t>
      </w:r>
    </w:p>
    <w:tbl>
      <w:tblPr>
        <w:tblStyle w:val="T2"/>
        <w:tblW w:w="0" w:type="auto"/>
        <w:jc w:val="center"/>
        <w:tblLook w:val="04A0"/>
      </w:tblPr>
      <w:tblGrid>
        <w:gridCol w:w="3360"/>
        <w:gridCol w:w="3360"/>
        <w:gridCol w:w="3360"/>
      </w:tblGrid>
      <w:tr>
        <w:tc>
          <w:tcPr>
            <w:tcW w:w="3360" w:type="dxa"/>
            <w:shd w:val="clear" w:color="auto" w:fill="D9EAF7"/>
          </w:tcPr>
          <w:p>
            <w:r>
              <w:rPr>
                <w:b w:val="1"/>
              </w:rPr>
              <w:t>Risk</w:t>
            </w:r>
          </w:p>
        </w:tc>
        <w:tc>
          <w:tcPr>
            <w:tcW w:w="3360" w:type="dxa"/>
            <w:shd w:val="clear" w:color="auto" w:fill="D9EAF7"/>
          </w:tcPr>
          <w:p>
            <w:r>
              <w:rPr>
                <w:b w:val="1"/>
              </w:rPr>
              <w:t>Evidence / Observation</w:t>
            </w:r>
          </w:p>
        </w:tc>
        <w:tc>
          <w:tcPr>
            <w:tcW w:w="3360" w:type="dxa"/>
            <w:shd w:val="clear" w:color="auto" w:fill="D9EAF7"/>
          </w:tcPr>
          <w:p>
            <w:r>
              <w:rPr>
                <w:b w:val="1"/>
              </w:rPr>
              <w:t>Severity</w:t>
            </w:r>
          </w:p>
        </w:tc>
      </w:tr>
      <w:tr>
        <w:tc>
          <w:tcPr>
            <w:tcW w:w="3360" w:type="dxa"/>
            <w:vAlign w:val="center"/>
          </w:tcPr>
          <w:p>
            <w:r>
              <w:rPr>
                <w:sz w:val="18"/>
              </w:rPr>
              <w:t>Market / Price Volatility</w:t>
            </w:r>
          </w:p>
        </w:tc>
        <w:tc>
          <w:tcPr>
            <w:tcW w:w="3360" w:type="dxa"/>
            <w:vAlign w:val="center"/>
          </w:tcPr>
          <w:p>
            <w:r>
              <w:rPr>
                <w:sz w:val="18"/>
              </w:rPr>
              <w:t>Daily volatility of 4.76% indicates substantial day-to-day price variability.</w:t>
            </w:r>
          </w:p>
        </w:tc>
        <w:tc>
          <w:tcPr>
            <w:tcW w:w="3360" w:type="dxa"/>
            <w:vAlign w:val="center"/>
          </w:tcPr>
          <w:p>
            <w:r>
              <w:rPr>
                <w:sz w:val="18"/>
              </w:rPr>
              <w:t>High</w:t>
            </w:r>
          </w:p>
        </w:tc>
      </w:tr>
      <w:tr>
        <w:tc>
          <w:tcPr>
            <w:tcW w:w="3360" w:type="dxa"/>
            <w:vAlign w:val="center"/>
          </w:tcPr>
          <w:p>
            <w:r>
              <w:rPr>
                <w:sz w:val="18"/>
              </w:rPr>
              <w:t>Extreme Downside Risk</w:t>
            </w:r>
          </w:p>
        </w:tc>
        <w:tc>
          <w:tcPr>
            <w:tcW w:w="3360" w:type="dxa"/>
            <w:vAlign w:val="center"/>
          </w:tcPr>
          <w:p>
            <w:r>
              <w:rPr>
                <w:sz w:val="18"/>
              </w:rPr>
              <w:t>Maximum daily loss was -76.99%.</w:t>
            </w:r>
          </w:p>
        </w:tc>
        <w:tc>
          <w:tcPr>
            <w:tcW w:w="3360" w:type="dxa"/>
            <w:vAlign w:val="center"/>
          </w:tcPr>
          <w:p>
            <w:r>
              <w:rPr>
                <w:sz w:val="18"/>
              </w:rPr>
              <w:t>High</w:t>
            </w:r>
          </w:p>
        </w:tc>
      </w:tr>
      <w:tr>
        <w:tc>
          <w:tcPr>
            <w:tcW w:w="3360" w:type="dxa"/>
            <w:vAlign w:val="center"/>
          </w:tcPr>
          <w:p>
            <w:r>
              <w:rPr>
                <w:sz w:val="18"/>
              </w:rPr>
              <w:t>Drawdown Risk</w:t>
            </w:r>
          </w:p>
        </w:tc>
        <w:tc>
          <w:tcPr>
            <w:tcW w:w="3360" w:type="dxa"/>
            <w:vAlign w:val="center"/>
          </w:tcPr>
          <w:p>
            <w:r>
              <w:rPr>
                <w:sz w:val="18"/>
              </w:rPr>
              <w:t>Maximum drawdown was -77.59%.</w:t>
            </w:r>
          </w:p>
        </w:tc>
        <w:tc>
          <w:tcPr>
            <w:tcW w:w="3360" w:type="dxa"/>
            <w:vAlign w:val="center"/>
          </w:tcPr>
          <w:p>
            <w:r>
              <w:rPr>
                <w:sz w:val="18"/>
              </w:rPr>
              <w:t>High</w:t>
            </w:r>
          </w:p>
        </w:tc>
      </w:tr>
      <w:tr>
        <w:tc>
          <w:tcPr>
            <w:tcW w:w="3360" w:type="dxa"/>
            <w:vAlign w:val="center"/>
          </w:tcPr>
          <w:p>
            <w:r>
              <w:rPr>
                <w:sz w:val="18"/>
              </w:rPr>
              <w:t>Liquidity / Trading Activity</w:t>
            </w:r>
          </w:p>
        </w:tc>
        <w:tc>
          <w:tcPr>
            <w:tcW w:w="3360" w:type="dxa"/>
            <w:vAlign w:val="center"/>
          </w:tcPr>
          <w:p>
            <w:r>
              <w:rPr>
                <w:sz w:val="18"/>
              </w:rPr>
              <w:t>Trading volume varies substantially across the historical period.</w:t>
            </w:r>
          </w:p>
        </w:tc>
        <w:tc>
          <w:tcPr>
            <w:tcW w:w="3360" w:type="dxa"/>
            <w:vAlign w:val="center"/>
          </w:tcPr>
          <w:p>
            <w:r>
              <w:rPr>
                <w:sz w:val="18"/>
              </w:rPr>
              <w:t>Medium</w:t>
            </w:r>
          </w:p>
        </w:tc>
      </w:tr>
      <w:tr>
        <w:tc>
          <w:tcPr>
            <w:tcW w:w="3360" w:type="dxa"/>
            <w:vAlign w:val="center"/>
          </w:tcPr>
          <w:p>
            <w:r>
              <w:rPr>
                <w:sz w:val="18"/>
              </w:rPr>
              <w:t>Market Event Risk</w:t>
            </w:r>
          </w:p>
        </w:tc>
        <w:tc>
          <w:tcPr>
            <w:tcW w:w="3360" w:type="dxa"/>
            <w:vAlign w:val="center"/>
          </w:tcPr>
          <w:p>
            <w:r>
              <w:rPr>
                <w:sz w:val="18"/>
              </w:rPr>
              <w:t>Extreme return and volatility spikes indicate periods of unusual market movement.</w:t>
            </w:r>
          </w:p>
        </w:tc>
        <w:tc>
          <w:tcPr>
            <w:tcW w:w="3360" w:type="dxa"/>
            <w:vAlign w:val="center"/>
          </w:tcPr>
          <w:p>
            <w:r>
              <w:rPr>
                <w:sz w:val="18"/>
              </w:rPr>
              <w:t>High</w:t>
            </w:r>
          </w:p>
        </w:tc>
      </w:tr>
    </w:tbl>
    <w:p>
      <w:pPr>
        <w:pStyle w:val="P3"/>
        <w:rPr>
          <w:color w:val="000000"/>
        </w:rPr>
      </w:pPr>
      <w:r>
        <w:rPr>
          <w:color w:val="000000"/>
        </w:rPr>
        <w:t>6. Risk Impact Assessment</w:t>
      </w:r>
    </w:p>
    <w:p>
      <w:r>
        <w:t>The measured indicators show that the stock has experienced periods of substantial historical market uncertainty. High volatility can produce large short-term portfolio fluctuations. A very large daily loss can materially reduce invested capital, while a deep drawdown can create a long recovery period. Volume fluctuations may also accompany unusual market activity and affect trade execution conditions.</w:t>
      </w:r>
    </w:p>
    <w:tbl>
      <w:tblPr>
        <w:tblStyle w:val="T2"/>
        <w:tblW w:w="0" w:type="auto"/>
        <w:jc w:val="center"/>
        <w:tblLook w:val="04A0"/>
      </w:tblPr>
      <w:tblGrid>
        <w:gridCol w:w="3360"/>
        <w:gridCol w:w="3360"/>
        <w:gridCol w:w="3360"/>
      </w:tblGrid>
      <w:tr>
        <w:tc>
          <w:tcPr>
            <w:tcW w:w="3360" w:type="dxa"/>
            <w:shd w:val="clear" w:color="auto" w:fill="D9EAF7"/>
          </w:tcPr>
          <w:p>
            <w:r>
              <w:rPr>
                <w:b w:val="1"/>
              </w:rPr>
              <w:t>Risk</w:t>
            </w:r>
          </w:p>
        </w:tc>
        <w:tc>
          <w:tcPr>
            <w:tcW w:w="3360" w:type="dxa"/>
            <w:shd w:val="clear" w:color="auto" w:fill="D9EAF7"/>
          </w:tcPr>
          <w:p>
            <w:r>
              <w:rPr>
                <w:b w:val="1"/>
              </w:rPr>
              <w:t>Potential Impact</w:t>
            </w:r>
          </w:p>
        </w:tc>
        <w:tc>
          <w:tcPr>
            <w:tcW w:w="3360" w:type="dxa"/>
            <w:shd w:val="clear" w:color="auto" w:fill="D9EAF7"/>
          </w:tcPr>
          <w:p>
            <w:r>
              <w:rPr>
                <w:b w:val="1"/>
              </w:rPr>
              <w:t>Priority</w:t>
            </w:r>
          </w:p>
        </w:tc>
      </w:tr>
      <w:tr>
        <w:tc>
          <w:tcPr>
            <w:tcW w:w="3360" w:type="dxa"/>
            <w:vAlign w:val="center"/>
          </w:tcPr>
          <w:p>
            <w:r>
              <w:rPr>
                <w:sz w:val="18"/>
              </w:rPr>
              <w:t>High volatility</w:t>
            </w:r>
          </w:p>
        </w:tc>
        <w:tc>
          <w:tcPr>
            <w:tcW w:w="3360" w:type="dxa"/>
            <w:vAlign w:val="center"/>
          </w:tcPr>
          <w:p>
            <w:r>
              <w:rPr>
                <w:sz w:val="18"/>
              </w:rPr>
              <w:t>Large daily portfolio-value changes and greater uncertainty.</w:t>
            </w:r>
          </w:p>
        </w:tc>
        <w:tc>
          <w:tcPr>
            <w:tcW w:w="3360" w:type="dxa"/>
            <w:vAlign w:val="center"/>
          </w:tcPr>
          <w:p>
            <w:r>
              <w:rPr>
                <w:sz w:val="18"/>
              </w:rPr>
              <w:t>High</w:t>
            </w:r>
          </w:p>
        </w:tc>
      </w:tr>
      <w:tr>
        <w:tc>
          <w:tcPr>
            <w:tcW w:w="3360" w:type="dxa"/>
            <w:vAlign w:val="center"/>
          </w:tcPr>
          <w:p>
            <w:r>
              <w:rPr>
                <w:sz w:val="18"/>
              </w:rPr>
              <w:t>Extreme daily loss</w:t>
            </w:r>
          </w:p>
        </w:tc>
        <w:tc>
          <w:tcPr>
            <w:tcW w:w="3360" w:type="dxa"/>
            <w:vAlign w:val="center"/>
          </w:tcPr>
          <w:p>
            <w:r>
              <w:rPr>
                <w:sz w:val="18"/>
              </w:rPr>
              <w:t>Potential for substantial short-term capital loss.</w:t>
            </w:r>
          </w:p>
        </w:tc>
        <w:tc>
          <w:tcPr>
            <w:tcW w:w="3360" w:type="dxa"/>
            <w:vAlign w:val="center"/>
          </w:tcPr>
          <w:p>
            <w:r>
              <w:rPr>
                <w:sz w:val="18"/>
              </w:rPr>
              <w:t>High</w:t>
            </w:r>
          </w:p>
        </w:tc>
      </w:tr>
      <w:tr>
        <w:tc>
          <w:tcPr>
            <w:tcW w:w="3360" w:type="dxa"/>
            <w:vAlign w:val="center"/>
          </w:tcPr>
          <w:p>
            <w:r>
              <w:rPr>
                <w:sz w:val="18"/>
              </w:rPr>
              <w:t>Large drawdown</w:t>
            </w:r>
          </w:p>
        </w:tc>
        <w:tc>
          <w:tcPr>
            <w:tcW w:w="3360" w:type="dxa"/>
            <w:vAlign w:val="center"/>
          </w:tcPr>
          <w:p>
            <w:r>
              <w:rPr>
                <w:sz w:val="18"/>
              </w:rPr>
              <w:t>Long recovery period and significant portfolio pressure.</w:t>
            </w:r>
          </w:p>
        </w:tc>
        <w:tc>
          <w:tcPr>
            <w:tcW w:w="3360" w:type="dxa"/>
            <w:vAlign w:val="center"/>
          </w:tcPr>
          <w:p>
            <w:r>
              <w:rPr>
                <w:sz w:val="18"/>
              </w:rPr>
              <w:t>High</w:t>
            </w:r>
          </w:p>
        </w:tc>
      </w:tr>
      <w:tr>
        <w:tc>
          <w:tcPr>
            <w:tcW w:w="3360" w:type="dxa"/>
            <w:vAlign w:val="center"/>
          </w:tcPr>
          <w:p>
            <w:r>
              <w:rPr>
                <w:sz w:val="18"/>
              </w:rPr>
              <w:t>Volume fluctuations</w:t>
            </w:r>
          </w:p>
        </w:tc>
        <w:tc>
          <w:tcPr>
            <w:tcW w:w="3360" w:type="dxa"/>
            <w:vAlign w:val="center"/>
          </w:tcPr>
          <w:p>
            <w:r>
              <w:rPr>
                <w:sz w:val="18"/>
              </w:rPr>
              <w:t>Changes in liquidity and execution conditions.</w:t>
            </w:r>
          </w:p>
        </w:tc>
        <w:tc>
          <w:tcPr>
            <w:tcW w:w="3360" w:type="dxa"/>
            <w:vAlign w:val="center"/>
          </w:tcPr>
          <w:p>
            <w:r>
              <w:rPr>
                <w:sz w:val="18"/>
              </w:rPr>
              <w:t>Medium</w:t>
            </w:r>
          </w:p>
        </w:tc>
      </w:tr>
      <w:tr>
        <w:tc>
          <w:tcPr>
            <w:tcW w:w="3360" w:type="dxa"/>
            <w:vAlign w:val="center"/>
          </w:tcPr>
          <w:p>
            <w:r>
              <w:rPr>
                <w:sz w:val="18"/>
              </w:rPr>
              <w:t>Market events</w:t>
            </w:r>
          </w:p>
        </w:tc>
        <w:tc>
          <w:tcPr>
            <w:tcW w:w="3360" w:type="dxa"/>
            <w:vAlign w:val="center"/>
          </w:tcPr>
          <w:p>
            <w:r>
              <w:rPr>
                <w:sz w:val="18"/>
              </w:rPr>
              <w:t>Sudden price and volatility shocks.</w:t>
            </w:r>
          </w:p>
        </w:tc>
        <w:tc>
          <w:tcPr>
            <w:tcW w:w="3360" w:type="dxa"/>
            <w:vAlign w:val="center"/>
          </w:tcPr>
          <w:p>
            <w:r>
              <w:rPr>
                <w:sz w:val="18"/>
              </w:rPr>
              <w:t>High</w:t>
            </w:r>
          </w:p>
        </w:tc>
      </w:tr>
    </w:tbl>
    <w:p>
      <w:pPr>
        <w:pStyle w:val="P3"/>
        <w:rPr>
          <w:color w:val="000000"/>
        </w:rPr>
      </w:pPr>
      <w:r>
        <w:rPr>
          <w:color w:val="000000"/>
        </w:rPr>
        <w:t>7. Chart-Based Observations</w:t>
      </w:r>
    </w:p>
    <w:p>
      <w:r>
        <w:rPr>
          <w:b w:val="1"/>
        </w:rPr>
        <w:t xml:space="preserve">Historical Closing Price: </w:t>
      </w:r>
      <w:r>
        <w:t>The long-term chart shows major changes in the stock price across 1996–2025, including strong growth phases and substantial corrections.</w:t>
      </w:r>
    </w:p>
    <w:p>
      <w:r>
        <w:rPr>
          <w:b w:val="1"/>
        </w:rPr>
        <w:t xml:space="preserve">Daily Returns: </w:t>
      </w:r>
      <w:r>
        <w:t>Most daily returns are concentrated around smaller movements, while a few extreme spikes indicate historical shock periods.</w:t>
      </w:r>
    </w:p>
    <w:p>
      <w:r>
        <w:rPr>
          <w:b w:val="1"/>
        </w:rPr>
        <w:t xml:space="preserve">Historical Drawdown: </w:t>
      </w:r>
      <w:r>
        <w:t>The drawdown chart shows extended periods below previous peaks, with a maximum observed drawdown of approximately -77.59%.</w:t>
      </w:r>
    </w:p>
    <w:p>
      <w:r>
        <w:rPr>
          <w:b w:val="1"/>
        </w:rPr>
        <w:t xml:space="preserve">Trading Volume: </w:t>
      </w:r>
      <w:r>
        <w:t>Trading volume changes significantly across the historical period, with some periods showing unusually high activity.</w:t>
      </w:r>
    </w:p>
    <w:p>
      <w:r>
        <w:rPr>
          <w:b w:val="1"/>
        </w:rPr>
        <w:t xml:space="preserve">30-Day Rolling Volatility: </w:t>
      </w:r>
      <w:r>
        <w:t>Rolling volatility varies over time, showing relatively stable periods as well as sharp expansions in risk.</w:t>
      </w:r>
    </w:p>
    <w:p>
      <w:r>
        <w:t>Charts generated in Google Colab should be inserted in the final submission below this section:</w:t>
      </w:r>
    </w:p>
    <w:p>
      <w:pPr>
        <w:jc w:val="center"/>
      </w:pPr>
      <w:r>
        <w:drawing>
          <wp:inline xmlns:wp="http://schemas.openxmlformats.org/drawingml/2006/wordprocessingDrawing">
            <wp:extent cx="6400800" cy="29044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elimage1"/>
                    <a:stretch>
                      <a:fillRect/>
                    </a:stretch>
                  </pic:blipFill>
                  <pic:spPr>
                    <a:xfrm>
                      <a:off x="0" y="0"/>
                      <a:ext cx="6400800" cy="2904490"/>
                    </a:xfrm>
                    <a:prstGeom prst="rect"/>
                    <a:noFill/>
                  </pic:spPr>
                </pic:pic>
              </a:graphicData>
            </a:graphic>
          </wp:inline>
        </w:drawing>
      </w:r>
    </w:p>
    <w:p>
      <w:pPr>
        <w:jc w:val="center"/>
        <w:rPr>
          <w:b w:val="1"/>
          <w:sz w:val="20"/>
        </w:rPr>
      </w:pPr>
      <w:r>
        <w:rPr>
          <w:b w:val="1"/>
          <w:sz w:val="20"/>
        </w:rPr>
        <w:t xml:space="preserve"> Historical Closing Price </w:t>
      </w:r>
    </w:p>
    <w:p>
      <w:r>
        <w:drawing>
          <wp:inline xmlns:wp="http://schemas.openxmlformats.org/drawingml/2006/wordprocessingDrawing">
            <wp:extent cx="6400800" cy="27571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elimage2"/>
                    <a:stretch>
                      <a:fillRect/>
                    </a:stretch>
                  </pic:blipFill>
                  <pic:spPr>
                    <a:xfrm>
                      <a:off x="0" y="0"/>
                      <a:ext cx="6400800" cy="2757170"/>
                    </a:xfrm>
                    <a:prstGeom prst="rect"/>
                    <a:noFill/>
                  </pic:spPr>
                </pic:pic>
              </a:graphicData>
            </a:graphic>
          </wp:inline>
        </w:drawing>
      </w:r>
    </w:p>
    <w:p>
      <w:pPr>
        <w:jc w:val="center"/>
      </w:pPr>
      <w:r>
        <w:rPr>
          <w:b w:val="1"/>
          <w:sz w:val="20"/>
        </w:rPr>
        <w:t xml:space="preserve"> Daily Returns </w:t>
      </w:r>
    </w:p>
    <w:p>
      <w:r>
        <w:drawing>
          <wp:inline xmlns:wp="http://schemas.openxmlformats.org/drawingml/2006/wordprocessingDrawing">
            <wp:extent cx="6400800" cy="29876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elimage3"/>
                    <a:stretch>
                      <a:fillRect/>
                    </a:stretch>
                  </pic:blipFill>
                  <pic:spPr>
                    <a:xfrm>
                      <a:off x="0" y="0"/>
                      <a:ext cx="6400800" cy="2987675"/>
                    </a:xfrm>
                    <a:prstGeom prst="rect"/>
                    <a:noFill/>
                  </pic:spPr>
                </pic:pic>
              </a:graphicData>
            </a:graphic>
          </wp:inline>
        </w:drawing>
      </w:r>
    </w:p>
    <w:p>
      <w:pPr>
        <w:jc w:val="center"/>
        <w:rPr>
          <w:b w:val="1"/>
          <w:sz w:val="20"/>
        </w:rPr>
      </w:pPr>
      <w:r>
        <w:rPr>
          <w:b w:val="1"/>
          <w:sz w:val="20"/>
        </w:rPr>
        <w:t xml:space="preserve"> Historical Drawdown </w:t>
      </w:r>
    </w:p>
    <w:p>
      <w:pPr>
        <w:jc w:val="center"/>
      </w:pPr>
      <w:r>
        <w:drawing>
          <wp:inline xmlns:wp="http://schemas.openxmlformats.org/drawingml/2006/wordprocessingDrawing">
            <wp:extent cx="6400800" cy="29832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elimage4"/>
                    <a:stretch>
                      <a:fillRect/>
                    </a:stretch>
                  </pic:blipFill>
                  <pic:spPr>
                    <a:xfrm>
                      <a:off x="0" y="0"/>
                      <a:ext cx="6400800" cy="2983230"/>
                    </a:xfrm>
                    <a:prstGeom prst="rect"/>
                    <a:noFill/>
                  </pic:spPr>
                </pic:pic>
              </a:graphicData>
            </a:graphic>
          </wp:inline>
        </w:drawing>
      </w:r>
    </w:p>
    <w:p>
      <w:pPr>
        <w:jc w:val="center"/>
        <w:rPr>
          <w:b w:val="1"/>
          <w:sz w:val="20"/>
        </w:rPr>
      </w:pPr>
      <w:r>
        <w:rPr>
          <w:b w:val="1"/>
          <w:sz w:val="20"/>
        </w:rPr>
        <w:t xml:space="preserve"> Trading Volume </w:t>
      </w:r>
    </w:p>
    <w:p>
      <w:pPr>
        <w:jc w:val="center"/>
      </w:pPr>
      <w:r>
        <w:drawing>
          <wp:inline xmlns:wp="http://schemas.openxmlformats.org/drawingml/2006/wordprocessingDrawing">
            <wp:extent cx="6400800" cy="30867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elimage5"/>
                    <a:stretch>
                      <a:fillRect/>
                    </a:stretch>
                  </pic:blipFill>
                  <pic:spPr>
                    <a:xfrm>
                      <a:off x="0" y="0"/>
                      <a:ext cx="6400800" cy="3086735"/>
                    </a:xfrm>
                    <a:prstGeom prst="rect"/>
                    <a:noFill/>
                  </pic:spPr>
                </pic:pic>
              </a:graphicData>
            </a:graphic>
          </wp:inline>
        </w:drawing>
      </w:r>
    </w:p>
    <w:p>
      <w:pPr>
        <w:jc w:val="center"/>
      </w:pPr>
      <w:r>
        <w:rPr>
          <w:b w:val="1"/>
          <w:sz w:val="20"/>
        </w:rPr>
        <w:t xml:space="preserve"> 30-Day Rolling Volatility </w:t>
      </w:r>
    </w:p>
    <w:p>
      <w:pPr>
        <w:pStyle w:val="P3"/>
        <w:rPr>
          <w:color w:val="000000"/>
        </w:rPr>
      </w:pPr>
      <w:r>
        <w:rPr>
          <w:color w:val="000000"/>
        </w:rPr>
        <w:t>8. Risk Mitigation Strategies</w:t>
      </w:r>
    </w:p>
    <w:tbl>
      <w:tblPr>
        <w:tblStyle w:val="T2"/>
        <w:tblW w:w="0" w:type="auto"/>
        <w:jc w:val="center"/>
        <w:tblLook w:val="04A0"/>
      </w:tblPr>
      <w:tblGrid>
        <w:gridCol w:w="5040"/>
        <w:gridCol w:w="5040"/>
      </w:tblGrid>
      <w:tr>
        <w:tc>
          <w:tcPr>
            <w:tcW w:w="5040" w:type="dxa"/>
            <w:shd w:val="clear" w:color="auto" w:fill="D9EAF7"/>
          </w:tcPr>
          <w:p>
            <w:r>
              <w:rPr>
                <w:b w:val="1"/>
              </w:rPr>
              <w:t>Strategy</w:t>
            </w:r>
          </w:p>
        </w:tc>
        <w:tc>
          <w:tcPr>
            <w:tcW w:w="5040" w:type="dxa"/>
            <w:shd w:val="clear" w:color="auto" w:fill="D9EAF7"/>
          </w:tcPr>
          <w:p>
            <w:r>
              <w:rPr>
                <w:b w:val="1"/>
              </w:rPr>
              <w:t>Recommended Action</w:t>
            </w:r>
          </w:p>
        </w:tc>
      </w:tr>
      <w:tr>
        <w:tc>
          <w:tcPr>
            <w:tcW w:w="5040" w:type="dxa"/>
            <w:vAlign w:val="center"/>
          </w:tcPr>
          <w:p>
            <w:r>
              <w:rPr>
                <w:sz w:val="18"/>
              </w:rPr>
              <w:t>Diversification</w:t>
            </w:r>
          </w:p>
        </w:tc>
        <w:tc>
          <w:tcPr>
            <w:tcW w:w="5040" w:type="dxa"/>
            <w:vAlign w:val="center"/>
          </w:tcPr>
          <w:p>
            <w:r>
              <w:rPr>
                <w:sz w:val="18"/>
              </w:rPr>
              <w:t>Avoid concentrating the entire portfolio in one stock; combine assets with different risk characteristics.</w:t>
            </w:r>
          </w:p>
        </w:tc>
      </w:tr>
      <w:tr>
        <w:tc>
          <w:tcPr>
            <w:tcW w:w="5040" w:type="dxa"/>
            <w:vAlign w:val="center"/>
          </w:tcPr>
          <w:p>
            <w:r>
              <w:rPr>
                <w:sz w:val="18"/>
              </w:rPr>
              <w:t>Position Sizing</w:t>
            </w:r>
          </w:p>
        </w:tc>
        <w:tc>
          <w:tcPr>
            <w:tcW w:w="5040" w:type="dxa"/>
            <w:vAlign w:val="center"/>
          </w:tcPr>
          <w:p>
            <w:r>
              <w:rPr>
                <w:sz w:val="18"/>
              </w:rPr>
              <w:t>Limit allocation to a high-volatility asset so a severe movement does not disproportionately affect the portfolio.</w:t>
            </w:r>
          </w:p>
        </w:tc>
      </w:tr>
      <w:tr>
        <w:tc>
          <w:tcPr>
            <w:tcW w:w="5040" w:type="dxa"/>
            <w:vAlign w:val="center"/>
          </w:tcPr>
          <w:p>
            <w:r>
              <w:rPr>
                <w:sz w:val="18"/>
              </w:rPr>
              <w:t>Risk Limits</w:t>
            </w:r>
          </w:p>
        </w:tc>
        <w:tc>
          <w:tcPr>
            <w:tcW w:w="5040" w:type="dxa"/>
            <w:vAlign w:val="center"/>
          </w:tcPr>
          <w:p>
            <w:r>
              <w:rPr>
                <w:sz w:val="18"/>
              </w:rPr>
              <w:t>Define portfolio risk limits according to the investment strategy and risk tolerance.</w:t>
            </w:r>
          </w:p>
        </w:tc>
      </w:tr>
      <w:tr>
        <w:tc>
          <w:tcPr>
            <w:tcW w:w="5040" w:type="dxa"/>
            <w:vAlign w:val="center"/>
          </w:tcPr>
          <w:p>
            <w:r>
              <w:rPr>
                <w:sz w:val="18"/>
              </w:rPr>
              <w:t>Volatility Monitoring</w:t>
            </w:r>
          </w:p>
        </w:tc>
        <w:tc>
          <w:tcPr>
            <w:tcW w:w="5040" w:type="dxa"/>
            <w:vAlign w:val="center"/>
          </w:tcPr>
          <w:p>
            <w:r>
              <w:rPr>
                <w:sz w:val="18"/>
              </w:rPr>
              <w:t>Monitor rolling volatility and daily returns for periods of unusually high risk.</w:t>
            </w:r>
          </w:p>
        </w:tc>
      </w:tr>
      <w:tr>
        <w:tc>
          <w:tcPr>
            <w:tcW w:w="5040" w:type="dxa"/>
            <w:vAlign w:val="center"/>
          </w:tcPr>
          <w:p>
            <w:r>
              <w:rPr>
                <w:sz w:val="18"/>
              </w:rPr>
              <w:t>Drawdown Monitoring</w:t>
            </w:r>
          </w:p>
        </w:tc>
        <w:tc>
          <w:tcPr>
            <w:tcW w:w="5040" w:type="dxa"/>
            <w:vAlign w:val="center"/>
          </w:tcPr>
          <w:p>
            <w:r>
              <w:rPr>
                <w:sz w:val="18"/>
              </w:rPr>
              <w:t>Track declines from previous peaks and review exposure when drawdowns become large.</w:t>
            </w:r>
          </w:p>
        </w:tc>
      </w:tr>
      <w:tr>
        <w:tc>
          <w:tcPr>
            <w:tcW w:w="5040" w:type="dxa"/>
            <w:vAlign w:val="center"/>
          </w:tcPr>
          <w:p>
            <w:r>
              <w:rPr>
                <w:sz w:val="18"/>
              </w:rPr>
              <w:t>Volume and Event Monitoring</w:t>
            </w:r>
          </w:p>
        </w:tc>
        <w:tc>
          <w:tcPr>
            <w:tcW w:w="5040" w:type="dxa"/>
            <w:vAlign w:val="center"/>
          </w:tcPr>
          <w:p>
            <w:r>
              <w:rPr>
                <w:sz w:val="18"/>
              </w:rPr>
              <w:t>Investigate major volume spikes together with relevant company and market events.</w:t>
            </w:r>
          </w:p>
        </w:tc>
      </w:tr>
      <w:tr>
        <w:tc>
          <w:tcPr>
            <w:tcW w:w="5040" w:type="dxa"/>
            <w:vAlign w:val="center"/>
          </w:tcPr>
          <w:p>
            <w:r>
              <w:rPr>
                <w:sz w:val="18"/>
              </w:rPr>
              <w:t>Regular Portfolio Review</w:t>
            </w:r>
          </w:p>
        </w:tc>
        <w:tc>
          <w:tcPr>
            <w:tcW w:w="5040" w:type="dxa"/>
            <w:vAlign w:val="center"/>
          </w:tcPr>
          <w:p>
            <w:r>
              <w:rPr>
                <w:sz w:val="18"/>
              </w:rPr>
              <w:t>Reassess exposure periodically rather than relying only on historical performance.</w:t>
            </w:r>
          </w:p>
        </w:tc>
      </w:tr>
    </w:tbl>
    <w:p>
      <w:pPr>
        <w:pStyle w:val="P3"/>
        <w:rPr>
          <w:color w:val="000000"/>
        </w:rPr>
      </w:pPr>
      <w:r>
        <w:rPr>
          <w:color w:val="000000"/>
        </w:rPr>
        <w:t>9. Key Findings</w:t>
      </w:r>
    </w:p>
    <w:p>
      <w:pPr>
        <w:pStyle w:val="P22"/>
      </w:pPr>
      <w:r>
        <w:t>The dataset contains 7,324 cleaned daily records covering 1996–2025.</w:t>
      </w:r>
    </w:p>
    <w:p>
      <w:pPr>
        <w:pStyle w:val="P22"/>
      </w:pPr>
      <w:r>
        <w:t>Daily volatility was 4.76%, indicating considerable short-term price variability.</w:t>
      </w:r>
    </w:p>
    <w:p>
      <w:pPr>
        <w:pStyle w:val="P22"/>
      </w:pPr>
      <w:r>
        <w:t>Annualized volatility was 75.64%, highlighting high historical risk.</w:t>
      </w:r>
    </w:p>
    <w:p>
      <w:pPr>
        <w:pStyle w:val="P22"/>
      </w:pPr>
      <w:r>
        <w:t>The maximum daily loss was -76.99%, showing the presence of extreme downside observations.</w:t>
      </w:r>
    </w:p>
    <w:p>
      <w:pPr>
        <w:pStyle w:val="P22"/>
      </w:pPr>
      <w:r>
        <w:t>The maximum drawdown was -77.59%, demonstrating substantial historical declines from previous peaks.</w:t>
      </w:r>
    </w:p>
    <w:p>
      <w:pPr>
        <w:pStyle w:val="P22"/>
      </w:pPr>
      <w:r>
        <w:t>Rolling volatility and daily-return analysis show that risk levels changed over time.</w:t>
      </w:r>
    </w:p>
    <w:p>
      <w:pPr>
        <w:pStyle w:val="P22"/>
      </w:pPr>
      <w:r>
        <w:t>Risk management should emphasize diversification, position sizing, monitoring, and predefined controls.</w:t>
      </w:r>
    </w:p>
    <w:p>
      <w:pPr>
        <w:pStyle w:val="P3"/>
        <w:rPr>
          <w:color w:val="000000"/>
        </w:rPr>
      </w:pPr>
      <w:r>
        <w:rPr>
          <w:color w:val="000000"/>
        </w:rPr>
        <w:t>10. Conclusion</w:t>
      </w:r>
    </w:p>
    <w:p>
      <w:r>
        <w:t>The analysis indicates that Reliance Industries has displayed substantial historical market-risk characteristics, particularly in volatility, extreme daily movements, and drawdowns. These measures provide a quantitative view of historical downside exposure and can support risk-management decisions. However, historical risk measures do not guarantee future market behavior. They should be combined with current financial information, market conditions, valuation analysis, and an investor's risk tolerance before making investment decisions.</w:t>
      </w:r>
    </w:p>
    <w:p>
      <w:pPr>
        <w:pStyle w:val="P3"/>
        <w:rPr>
          <w:color w:val="000000"/>
        </w:rPr>
      </w:pPr>
      <w:r>
        <w:rPr>
          <w:color w:val="000000"/>
        </w:rPr>
        <w:t>11. Tools Used</w:t>
      </w:r>
    </w:p>
    <w:p>
      <w:r>
        <w:t>Python, Pandas, Matplotlib, Google Colab, and Microsoft Wor</w:t>
      </w:r>
      <w:r>
        <w:rPr>
          <w:rtl w:val="0"/>
          <w:lang w:val="en-US" w:bidi="en-US" w:eastAsia="en-US"/>
        </w:rPr>
        <w:t>d</w:t>
      </w:r>
    </w:p>
    <w:sectPr>
      <w:footerReference w:type="default" r:id="RelFtr1"/>
      <w:type w:val="nextPage"/>
      <w:pgMar w:left="1080" w:right="1080" w:top="936" w:bottom="936" w:header="720" w:footer="720" w:gutter="0"/>
      <w:cols w:equalWidth="1" w:space="720"/>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2"/>
      <w:jc w:val="center"/>
    </w:pPr>
    <w:r>
      <w:rPr>
        <w:sz w:val="16"/>
      </w:rPr>
      <w:t>Task 3 – Financial Risk Analysis | Reliance Industries</w:t>
    </w:r>
  </w:p>
</w:ftr>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4DACC3B9">
      <w:start w:val="1"/>
      <w:numFmt w:val="decimal"/>
      <w:suff w:val="tab"/>
      <w:lvlText w:val="%1."/>
      <w:lvlJc w:val="left"/>
      <w:pPr/>
      <w:rPr/>
    </w:lvl>
    <w:lvl w:ilvl="2" w:tplc="7714B7C3">
      <w:start w:val="1"/>
      <w:numFmt w:val="decimal"/>
      <w:suff w:val="tab"/>
      <w:lvlText w:val="%1."/>
      <w:lvlJc w:val="left"/>
      <w:pPr/>
      <w:rPr/>
    </w:lvl>
    <w:lvl w:ilvl="3" w:tplc="2E77AA05">
      <w:start w:val="1"/>
      <w:numFmt w:val="decimal"/>
      <w:suff w:val="tab"/>
      <w:lvlText w:val="%1."/>
      <w:lvlJc w:val="left"/>
      <w:pPr/>
      <w:rPr/>
    </w:lvl>
    <w:lvl w:ilvl="4" w:tplc="45C7B27C">
      <w:start w:val="1"/>
      <w:numFmt w:val="decimal"/>
      <w:suff w:val="tab"/>
      <w:lvlText w:val="%1."/>
      <w:lvlJc w:val="left"/>
      <w:pPr/>
      <w:rPr/>
    </w:lvl>
    <w:lvl w:ilvl="5" w:tplc="5B7B2768">
      <w:start w:val="1"/>
      <w:numFmt w:val="decimal"/>
      <w:suff w:val="tab"/>
      <w:lvlText w:val="%1."/>
      <w:lvlJc w:val="left"/>
      <w:pPr/>
      <w:rPr/>
    </w:lvl>
    <w:lvl w:ilvl="6" w:tplc="266422C0">
      <w:start w:val="1"/>
      <w:numFmt w:val="decimal"/>
      <w:suff w:val="tab"/>
      <w:lvlText w:val="%1."/>
      <w:lvlJc w:val="left"/>
      <w:pPr/>
      <w:rPr/>
    </w:lvl>
    <w:lvl w:ilvl="7" w:tplc="44E07CCF">
      <w:start w:val="1"/>
      <w:numFmt w:val="decimal"/>
      <w:suff w:val="tab"/>
      <w:lvlText w:val="%1."/>
      <w:lvlJc w:val="left"/>
      <w:pPr/>
      <w:rPr/>
    </w:lvl>
    <w:lvl w:ilvl="8" w:tplc="5810B279">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64F21860">
      <w:start w:val="1"/>
      <w:numFmt w:val="decimal"/>
      <w:suff w:val="tab"/>
      <w:lvlText w:val="%1."/>
      <w:lvlJc w:val="left"/>
      <w:pPr/>
      <w:rPr/>
    </w:lvl>
    <w:lvl w:ilvl="2" w:tplc="0E8B9C72">
      <w:start w:val="1"/>
      <w:numFmt w:val="decimal"/>
      <w:suff w:val="tab"/>
      <w:lvlText w:val="%1."/>
      <w:lvlJc w:val="left"/>
      <w:pPr/>
      <w:rPr/>
    </w:lvl>
    <w:lvl w:ilvl="3" w:tplc="2DABFE48">
      <w:start w:val="1"/>
      <w:numFmt w:val="decimal"/>
      <w:suff w:val="tab"/>
      <w:lvlText w:val="%1."/>
      <w:lvlJc w:val="left"/>
      <w:pPr/>
      <w:rPr/>
    </w:lvl>
    <w:lvl w:ilvl="4" w:tplc="15DAA8B0">
      <w:start w:val="1"/>
      <w:numFmt w:val="decimal"/>
      <w:suff w:val="tab"/>
      <w:lvlText w:val="%1."/>
      <w:lvlJc w:val="left"/>
      <w:pPr/>
      <w:rPr/>
    </w:lvl>
    <w:lvl w:ilvl="5" w:tplc="7B58FB5E">
      <w:start w:val="1"/>
      <w:numFmt w:val="decimal"/>
      <w:suff w:val="tab"/>
      <w:lvlText w:val="%1."/>
      <w:lvlJc w:val="left"/>
      <w:pPr/>
      <w:rPr/>
    </w:lvl>
    <w:lvl w:ilvl="6" w:tplc="260F8B49">
      <w:start w:val="1"/>
      <w:numFmt w:val="decimal"/>
      <w:suff w:val="tab"/>
      <w:lvlText w:val="%1."/>
      <w:lvlJc w:val="left"/>
      <w:pPr/>
      <w:rPr/>
    </w:lvl>
    <w:lvl w:ilvl="7" w:tplc="76846A47">
      <w:start w:val="1"/>
      <w:numFmt w:val="decimal"/>
      <w:suff w:val="tab"/>
      <w:lvlText w:val="%1."/>
      <w:lvlJc w:val="left"/>
      <w:pPr/>
      <w:rPr/>
    </w:lvl>
    <w:lvl w:ilvl="8" w:tplc="55031042">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0C9CE415">
      <w:start w:val="1"/>
      <w:numFmt w:val="decimal"/>
      <w:suff w:val="tab"/>
      <w:lvlText w:val="%1."/>
      <w:lvlJc w:val="left"/>
      <w:pPr/>
      <w:rPr/>
    </w:lvl>
    <w:lvl w:ilvl="2" w:tplc="20D6D8EB">
      <w:start w:val="1"/>
      <w:numFmt w:val="decimal"/>
      <w:suff w:val="tab"/>
      <w:lvlText w:val="%1."/>
      <w:lvlJc w:val="left"/>
      <w:pPr/>
      <w:rPr/>
    </w:lvl>
    <w:lvl w:ilvl="3" w:tplc="20DD2544">
      <w:start w:val="1"/>
      <w:numFmt w:val="decimal"/>
      <w:suff w:val="tab"/>
      <w:lvlText w:val="%1."/>
      <w:lvlJc w:val="left"/>
      <w:pPr/>
      <w:rPr/>
    </w:lvl>
    <w:lvl w:ilvl="4" w:tplc="277244C0">
      <w:start w:val="1"/>
      <w:numFmt w:val="decimal"/>
      <w:suff w:val="tab"/>
      <w:lvlText w:val="%1."/>
      <w:lvlJc w:val="left"/>
      <w:pPr/>
      <w:rPr/>
    </w:lvl>
    <w:lvl w:ilvl="5" w:tplc="319C2383">
      <w:start w:val="1"/>
      <w:numFmt w:val="decimal"/>
      <w:suff w:val="tab"/>
      <w:lvlText w:val="%1."/>
      <w:lvlJc w:val="left"/>
      <w:pPr/>
      <w:rPr/>
    </w:lvl>
    <w:lvl w:ilvl="6" w:tplc="6005367D">
      <w:start w:val="1"/>
      <w:numFmt w:val="decimal"/>
      <w:suff w:val="tab"/>
      <w:lvlText w:val="%1."/>
      <w:lvlJc w:val="left"/>
      <w:pPr/>
      <w:rPr/>
    </w:lvl>
    <w:lvl w:ilvl="7" w:tplc="5472733A">
      <w:start w:val="1"/>
      <w:numFmt w:val="decimal"/>
      <w:suff w:val="tab"/>
      <w:lvlText w:val="%1."/>
      <w:lvlJc w:val="left"/>
      <w:pPr/>
      <w:rPr/>
    </w:lvl>
    <w:lvl w:ilvl="8" w:tplc="4604CD0E">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33F75241">
      <w:start w:val="1"/>
      <w:numFmt w:val="decimal"/>
      <w:suff w:val="tab"/>
      <w:lvlText w:val="%1."/>
      <w:lvlJc w:val="left"/>
      <w:pPr/>
      <w:rPr/>
    </w:lvl>
    <w:lvl w:ilvl="2" w:tplc="6EC06A36">
      <w:start w:val="1"/>
      <w:numFmt w:val="decimal"/>
      <w:suff w:val="tab"/>
      <w:lvlText w:val="%1."/>
      <w:lvlJc w:val="left"/>
      <w:pPr/>
      <w:rPr/>
    </w:lvl>
    <w:lvl w:ilvl="3" w:tplc="4F4A5D7D">
      <w:start w:val="1"/>
      <w:numFmt w:val="decimal"/>
      <w:suff w:val="tab"/>
      <w:lvlText w:val="%1."/>
      <w:lvlJc w:val="left"/>
      <w:pPr/>
      <w:rPr/>
    </w:lvl>
    <w:lvl w:ilvl="4" w:tplc="09F15EE2">
      <w:start w:val="1"/>
      <w:numFmt w:val="decimal"/>
      <w:suff w:val="tab"/>
      <w:lvlText w:val="%1."/>
      <w:lvlJc w:val="left"/>
      <w:pPr/>
      <w:rPr/>
    </w:lvl>
    <w:lvl w:ilvl="5" w:tplc="7EDE7B35">
      <w:start w:val="1"/>
      <w:numFmt w:val="decimal"/>
      <w:suff w:val="tab"/>
      <w:lvlText w:val="%1."/>
      <w:lvlJc w:val="left"/>
      <w:pPr/>
      <w:rPr/>
    </w:lvl>
    <w:lvl w:ilvl="6" w:tplc="0DCB6206">
      <w:start w:val="1"/>
      <w:numFmt w:val="decimal"/>
      <w:suff w:val="tab"/>
      <w:lvlText w:val="%1."/>
      <w:lvlJc w:val="left"/>
      <w:pPr/>
      <w:rPr/>
    </w:lvl>
    <w:lvl w:ilvl="7" w:tplc="793FD8D9">
      <w:start w:val="1"/>
      <w:numFmt w:val="decimal"/>
      <w:suff w:val="tab"/>
      <w:lvlText w:val="%1."/>
      <w:lvlJc w:val="left"/>
      <w:pPr/>
      <w:rPr/>
    </w:lvl>
    <w:lvl w:ilvl="8" w:tplc="00EC6C90">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6ACCA455">
      <w:start w:val="1"/>
      <w:numFmt w:val="decimal"/>
      <w:suff w:val="tab"/>
      <w:lvlText w:val="%1."/>
      <w:lvlJc w:val="left"/>
      <w:pPr/>
      <w:rPr/>
    </w:lvl>
    <w:lvl w:ilvl="2" w:tplc="3907B4A3">
      <w:start w:val="1"/>
      <w:numFmt w:val="decimal"/>
      <w:suff w:val="tab"/>
      <w:lvlText w:val="%1."/>
      <w:lvlJc w:val="left"/>
      <w:pPr/>
      <w:rPr/>
    </w:lvl>
    <w:lvl w:ilvl="3" w:tplc="74274E7F">
      <w:start w:val="1"/>
      <w:numFmt w:val="decimal"/>
      <w:suff w:val="tab"/>
      <w:lvlText w:val="%1."/>
      <w:lvlJc w:val="left"/>
      <w:pPr/>
      <w:rPr/>
    </w:lvl>
    <w:lvl w:ilvl="4" w:tplc="56916995">
      <w:start w:val="1"/>
      <w:numFmt w:val="decimal"/>
      <w:suff w:val="tab"/>
      <w:lvlText w:val="%1."/>
      <w:lvlJc w:val="left"/>
      <w:pPr/>
      <w:rPr/>
    </w:lvl>
    <w:lvl w:ilvl="5" w:tplc="41D86425">
      <w:start w:val="1"/>
      <w:numFmt w:val="decimal"/>
      <w:suff w:val="tab"/>
      <w:lvlText w:val="%1."/>
      <w:lvlJc w:val="left"/>
      <w:pPr/>
      <w:rPr/>
    </w:lvl>
    <w:lvl w:ilvl="6" w:tplc="03BFFFED">
      <w:start w:val="1"/>
      <w:numFmt w:val="decimal"/>
      <w:suff w:val="tab"/>
      <w:lvlText w:val="%1."/>
      <w:lvlJc w:val="left"/>
      <w:pPr/>
      <w:rPr/>
    </w:lvl>
    <w:lvl w:ilvl="7" w:tplc="7A7A299C">
      <w:start w:val="1"/>
      <w:numFmt w:val="decimal"/>
      <w:suff w:val="tab"/>
      <w:lvlText w:val="%1."/>
      <w:lvlJc w:val="left"/>
      <w:pPr/>
      <w:rPr/>
    </w:lvl>
    <w:lvl w:ilvl="8" w:tplc="465ED5C0">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7EC07C7E">
      <w:start w:val="1"/>
      <w:numFmt w:val="decimal"/>
      <w:suff w:val="tab"/>
      <w:lvlText w:val="%1."/>
      <w:lvlJc w:val="left"/>
      <w:pPr/>
      <w:rPr/>
    </w:lvl>
    <w:lvl w:ilvl="2" w:tplc="1DD06D30">
      <w:start w:val="1"/>
      <w:numFmt w:val="decimal"/>
      <w:suff w:val="tab"/>
      <w:lvlText w:val="%1."/>
      <w:lvlJc w:val="left"/>
      <w:pPr/>
      <w:rPr/>
    </w:lvl>
    <w:lvl w:ilvl="3" w:tplc="1805FE86">
      <w:start w:val="1"/>
      <w:numFmt w:val="decimal"/>
      <w:suff w:val="tab"/>
      <w:lvlText w:val="%1."/>
      <w:lvlJc w:val="left"/>
      <w:pPr/>
      <w:rPr/>
    </w:lvl>
    <w:lvl w:ilvl="4" w:tplc="7FFAF1D3">
      <w:start w:val="1"/>
      <w:numFmt w:val="decimal"/>
      <w:suff w:val="tab"/>
      <w:lvlText w:val="%1."/>
      <w:lvlJc w:val="left"/>
      <w:pPr/>
      <w:rPr/>
    </w:lvl>
    <w:lvl w:ilvl="5" w:tplc="64AF75B7">
      <w:start w:val="1"/>
      <w:numFmt w:val="decimal"/>
      <w:suff w:val="tab"/>
      <w:lvlText w:val="%1."/>
      <w:lvlJc w:val="left"/>
      <w:pPr/>
      <w:rPr/>
    </w:lvl>
    <w:lvl w:ilvl="6" w:tplc="2F0C3265">
      <w:start w:val="1"/>
      <w:numFmt w:val="decimal"/>
      <w:suff w:val="tab"/>
      <w:lvlText w:val="%1."/>
      <w:lvlJc w:val="left"/>
      <w:pPr/>
      <w:rPr/>
    </w:lvl>
    <w:lvl w:ilvl="7" w:tplc="19B05000">
      <w:start w:val="1"/>
      <w:numFmt w:val="decimal"/>
      <w:suff w:val="tab"/>
      <w:lvlText w:val="%1."/>
      <w:lvlJc w:val="left"/>
      <w:pPr/>
      <w:rPr/>
    </w:lvl>
    <w:lvl w:ilvl="8" w:tplc="528A9C33">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7DEB8C09">
      <w:start w:val="1"/>
      <w:numFmt w:val="decimal"/>
      <w:suff w:val="tab"/>
      <w:lvlText w:val="%1."/>
      <w:lvlJc w:val="left"/>
      <w:pPr/>
      <w:rPr/>
    </w:lvl>
    <w:lvl w:ilvl="2" w:tplc="263A7FF9">
      <w:start w:val="1"/>
      <w:numFmt w:val="decimal"/>
      <w:suff w:val="tab"/>
      <w:lvlText w:val="%1."/>
      <w:lvlJc w:val="left"/>
      <w:pPr/>
      <w:rPr/>
    </w:lvl>
    <w:lvl w:ilvl="3" w:tplc="45789540">
      <w:start w:val="1"/>
      <w:numFmt w:val="decimal"/>
      <w:suff w:val="tab"/>
      <w:lvlText w:val="%1."/>
      <w:lvlJc w:val="left"/>
      <w:pPr/>
      <w:rPr/>
    </w:lvl>
    <w:lvl w:ilvl="4" w:tplc="4E727386">
      <w:start w:val="1"/>
      <w:numFmt w:val="decimal"/>
      <w:suff w:val="tab"/>
      <w:lvlText w:val="%1."/>
      <w:lvlJc w:val="left"/>
      <w:pPr/>
      <w:rPr/>
    </w:lvl>
    <w:lvl w:ilvl="5" w:tplc="71553F41">
      <w:start w:val="1"/>
      <w:numFmt w:val="decimal"/>
      <w:suff w:val="tab"/>
      <w:lvlText w:val="%1."/>
      <w:lvlJc w:val="left"/>
      <w:pPr/>
      <w:rPr/>
    </w:lvl>
    <w:lvl w:ilvl="6" w:tplc="15765B59">
      <w:start w:val="1"/>
      <w:numFmt w:val="decimal"/>
      <w:suff w:val="tab"/>
      <w:lvlText w:val="%1."/>
      <w:lvlJc w:val="left"/>
      <w:pPr/>
      <w:rPr/>
    </w:lvl>
    <w:lvl w:ilvl="7" w:tplc="0D5BA0D6">
      <w:start w:val="1"/>
      <w:numFmt w:val="decimal"/>
      <w:suff w:val="tab"/>
      <w:lvlText w:val="%1."/>
      <w:lvlJc w:val="left"/>
      <w:pPr/>
      <w:rPr/>
    </w:lvl>
    <w:lvl w:ilvl="8" w:tplc="10E92B8E">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53A1EB8D">
      <w:start w:val="1"/>
      <w:numFmt w:val="decimal"/>
      <w:suff w:val="tab"/>
      <w:lvlText w:val="%1."/>
      <w:lvlJc w:val="left"/>
      <w:pPr/>
      <w:rPr/>
    </w:lvl>
    <w:lvl w:ilvl="2" w:tplc="5B00BA7D">
      <w:start w:val="1"/>
      <w:numFmt w:val="decimal"/>
      <w:suff w:val="tab"/>
      <w:lvlText w:val="%1."/>
      <w:lvlJc w:val="left"/>
      <w:pPr/>
      <w:rPr/>
    </w:lvl>
    <w:lvl w:ilvl="3" w:tplc="0FAD213C">
      <w:start w:val="1"/>
      <w:numFmt w:val="decimal"/>
      <w:suff w:val="tab"/>
      <w:lvlText w:val="%1."/>
      <w:lvlJc w:val="left"/>
      <w:pPr/>
      <w:rPr/>
    </w:lvl>
    <w:lvl w:ilvl="4" w:tplc="1FE09D42">
      <w:start w:val="1"/>
      <w:numFmt w:val="decimal"/>
      <w:suff w:val="tab"/>
      <w:lvlText w:val="%1."/>
      <w:lvlJc w:val="left"/>
      <w:pPr/>
      <w:rPr/>
    </w:lvl>
    <w:lvl w:ilvl="5" w:tplc="1C9ACFD5">
      <w:start w:val="1"/>
      <w:numFmt w:val="decimal"/>
      <w:suff w:val="tab"/>
      <w:lvlText w:val="%1."/>
      <w:lvlJc w:val="left"/>
      <w:pPr/>
      <w:rPr/>
    </w:lvl>
    <w:lvl w:ilvl="6" w:tplc="7A6C8FCE">
      <w:start w:val="1"/>
      <w:numFmt w:val="decimal"/>
      <w:suff w:val="tab"/>
      <w:lvlText w:val="%1."/>
      <w:lvlJc w:val="left"/>
      <w:pPr/>
      <w:rPr/>
    </w:lvl>
    <w:lvl w:ilvl="7" w:tplc="068E6ECA">
      <w:start w:val="1"/>
      <w:numFmt w:val="decimal"/>
      <w:suff w:val="tab"/>
      <w:lvlText w:val="%1."/>
      <w:lvlJc w:val="left"/>
      <w:pPr/>
      <w:rPr/>
    </w:lvl>
    <w:lvl w:ilvl="8" w:tplc="0BB7C6F2">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1FA9CEF3">
      <w:start w:val="1"/>
      <w:numFmt w:val="decimal"/>
      <w:suff w:val="tab"/>
      <w:lvlText w:val="%1."/>
      <w:lvlJc w:val="left"/>
      <w:pPr/>
      <w:rPr/>
    </w:lvl>
    <w:lvl w:ilvl="2" w:tplc="360B7A7E">
      <w:start w:val="1"/>
      <w:numFmt w:val="decimal"/>
      <w:suff w:val="tab"/>
      <w:lvlText w:val="%1."/>
      <w:lvlJc w:val="left"/>
      <w:pPr/>
      <w:rPr/>
    </w:lvl>
    <w:lvl w:ilvl="3" w:tplc="5EFE74C5">
      <w:start w:val="1"/>
      <w:numFmt w:val="decimal"/>
      <w:suff w:val="tab"/>
      <w:lvlText w:val="%1."/>
      <w:lvlJc w:val="left"/>
      <w:pPr/>
      <w:rPr/>
    </w:lvl>
    <w:lvl w:ilvl="4" w:tplc="1D1D2656">
      <w:start w:val="1"/>
      <w:numFmt w:val="decimal"/>
      <w:suff w:val="tab"/>
      <w:lvlText w:val="%1."/>
      <w:lvlJc w:val="left"/>
      <w:pPr/>
      <w:rPr/>
    </w:lvl>
    <w:lvl w:ilvl="5" w:tplc="2CF81B23">
      <w:start w:val="1"/>
      <w:numFmt w:val="decimal"/>
      <w:suff w:val="tab"/>
      <w:lvlText w:val="%1."/>
      <w:lvlJc w:val="left"/>
      <w:pPr/>
      <w:rPr/>
    </w:lvl>
    <w:lvl w:ilvl="6" w:tplc="6B3D4DC2">
      <w:start w:val="1"/>
      <w:numFmt w:val="decimal"/>
      <w:suff w:val="tab"/>
      <w:lvlText w:val="%1."/>
      <w:lvlJc w:val="left"/>
      <w:pPr/>
      <w:rPr/>
    </w:lvl>
    <w:lvl w:ilvl="7" w:tplc="15252EF9">
      <w:start w:val="1"/>
      <w:numFmt w:val="decimal"/>
      <w:suff w:val="tab"/>
      <w:lvlText w:val="%1."/>
      <w:lvlJc w:val="left"/>
      <w:pPr/>
      <w:rPr/>
    </w:lvl>
    <w:lvl w:ilvl="8" w:tplc="55B1F6BA">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rFonts w:ascii="Calibri" w:hAnsi="Calibri"/>
      <w:sz w:val="21"/>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32"/>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4"/>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48"/>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foot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dcterms:modified xsi:type="dcterms:W3CDTF">2026-08-10T04:14:24Z</dcterms:modified>
  <cp:revision>2</cp:revision>
</cp:coreProperties>
</file>