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3C2705" w14:textId="77777777" w:rsidR="002C77BF" w:rsidRDefault="007928D1">
      <w:r>
        <w:rPr>
          <w:b/>
          <w:color w:val="168F87"/>
        </w:rPr>
        <w:t>HIGHER EDUCATION POINT OF VIEW</w:t>
      </w:r>
    </w:p>
    <w:p w14:paraId="54B1B6A5" w14:textId="77777777" w:rsidR="002C77BF" w:rsidRDefault="007928D1">
      <w:r>
        <w:rPr>
          <w:b/>
          <w:color w:val="102A43"/>
          <w:sz w:val="54"/>
        </w:rPr>
        <w:t>The Institution-Wide</w:t>
      </w:r>
      <w:r>
        <w:rPr>
          <w:b/>
          <w:color w:val="102A43"/>
          <w:sz w:val="54"/>
        </w:rPr>
        <w:br/>
        <w:t>Agentic AI Operating System</w:t>
      </w:r>
    </w:p>
    <w:p w14:paraId="40B8AAE3" w14:textId="77777777" w:rsidR="002C77BF" w:rsidRDefault="007928D1">
      <w:pPr>
        <w:spacing w:after="280"/>
      </w:pPr>
      <w:r>
        <w:rPr>
          <w:color w:val="627D98"/>
          <w:sz w:val="25"/>
        </w:rPr>
        <w:t>A point of view for moving from isolated copilots to coordinated, governed action across the university</w:t>
      </w:r>
    </w:p>
    <w:tbl>
      <w:tblPr>
        <w:tblW w:w="0" w:type="auto"/>
        <w:tblLayout w:type="fixed"/>
        <w:tblLook w:val="04A0" w:firstRow="1" w:lastRow="0" w:firstColumn="1" w:lastColumn="0" w:noHBand="0" w:noVBand="1"/>
      </w:tblPr>
      <w:tblGrid>
        <w:gridCol w:w="9792"/>
      </w:tblGrid>
      <w:tr w:rsidR="002C77BF" w14:paraId="1D1821DB" w14:textId="77777777">
        <w:tc>
          <w:tcPr>
            <w:tcW w:w="9792" w:type="dxa"/>
            <w:shd w:val="clear" w:color="auto" w:fill="EAF4F4"/>
            <w:tcMar>
              <w:top w:w="160" w:type="dxa"/>
              <w:left w:w="190" w:type="dxa"/>
              <w:bottom w:w="160" w:type="dxa"/>
              <w:right w:w="190" w:type="dxa"/>
            </w:tcMar>
          </w:tcPr>
          <w:p w14:paraId="0780A33B" w14:textId="77777777" w:rsidR="002C77BF" w:rsidRDefault="007928D1">
            <w:pPr>
              <w:spacing w:after="60"/>
            </w:pPr>
            <w:r>
              <w:rPr>
                <w:b/>
                <w:color w:val="168F87"/>
                <w:sz w:val="19"/>
              </w:rPr>
              <w:t>OUR POINT OF VIEW</w:t>
            </w:r>
          </w:p>
          <w:p w14:paraId="6D02BCF6" w14:textId="77777777" w:rsidR="002C77BF" w:rsidRDefault="007928D1">
            <w:pPr>
              <w:spacing w:after="0" w:line="259" w:lineRule="auto"/>
            </w:pPr>
            <w:r>
              <w:rPr>
                <w:b/>
                <w:color w:val="102A43"/>
                <w:sz w:val="24"/>
              </w:rPr>
              <w:t xml:space="preserve">The next strategic platform for higher </w:t>
            </w:r>
            <w:r>
              <w:rPr>
                <w:b/>
                <w:color w:val="102A43"/>
                <w:sz w:val="24"/>
              </w:rPr>
              <w:t>education is an institution-wide agentic AI operating system: coordinated agents that can reason across trusted university knowledge, act through approved workflows and remain bounded by human decision rights.</w:t>
            </w:r>
          </w:p>
        </w:tc>
      </w:tr>
    </w:tbl>
    <w:p w14:paraId="41D78508" w14:textId="77777777" w:rsidR="002C77BF" w:rsidRDefault="002C77BF">
      <w:pPr>
        <w:spacing w:after="0"/>
      </w:pPr>
    </w:p>
    <w:p w14:paraId="04175FC6" w14:textId="77777777" w:rsidR="002C77BF" w:rsidRDefault="007928D1">
      <w:pPr>
        <w:pStyle w:val="Heading1"/>
      </w:pPr>
      <w:r>
        <w:rPr>
          <w:rFonts w:ascii="Aptos" w:hAnsi="Aptos"/>
        </w:rPr>
        <w:t>Executive point of view</w:t>
      </w:r>
    </w:p>
    <w:p w14:paraId="0FC1D692" w14:textId="77777777" w:rsidR="002C77BF" w:rsidRDefault="007928D1">
      <w:r>
        <w:t>Higher education has entered a decisive phase. The question is no longer whether students and staff will use AI; they already do. The strategic question is whether universities will shape that use around their mission—or allow disconnected tools, uneven access and unmanaged risk to shape the institution for them.</w:t>
      </w:r>
    </w:p>
    <w:p w14:paraId="1A5155E4" w14:textId="77777777" w:rsidR="002C77BF" w:rsidRDefault="007928D1">
      <w:r>
        <w:t xml:space="preserve">Our view is that universities should move from scattered pilots to an institution-wide agentic AI operating system spanning the academic mission, research enterprise, student experience and administration. In this context, ‘operating system’ is not a single software product. It is the shared institutional layer of agents, trusted data, integrations, identity, policies, evaluation and human oversight through which AI-enabled work is coordinated. This is not a case for autonomy at any cost: agents should act </w:t>
      </w:r>
      <w:r>
        <w:t>only within explicit permissions, escalation rules and accountable human ownership.</w:t>
      </w:r>
    </w:p>
    <w:p w14:paraId="3D58BDCE" w14:textId="77777777" w:rsidR="002C77BF" w:rsidRDefault="007928D1">
      <w:pPr>
        <w:pStyle w:val="Heading2"/>
      </w:pPr>
      <w:r>
        <w:rPr>
          <w:rFonts w:ascii="Aptos" w:hAnsi="Aptos"/>
        </w:rPr>
        <w:t>Five convictions</w:t>
      </w:r>
    </w:p>
    <w:p w14:paraId="10766799" w14:textId="77777777" w:rsidR="002C77BF" w:rsidRDefault="007928D1">
      <w:pPr>
        <w:pStyle w:val="ListBullet"/>
        <w:spacing w:after="80" w:line="250" w:lineRule="auto"/>
        <w:ind w:left="720"/>
      </w:pPr>
      <w:r>
        <w:rPr>
          <w:b/>
          <w:color w:val="102A43"/>
        </w:rPr>
        <w:t xml:space="preserve">1. Agentic AI is an institutional system, not an IT project. </w:t>
      </w:r>
      <w:r>
        <w:t>Its value depends on coordinated workflows, trusted data, secure tool access, capability building and accountable leadership.</w:t>
      </w:r>
    </w:p>
    <w:p w14:paraId="2971114E" w14:textId="77777777" w:rsidR="002C77BF" w:rsidRDefault="007928D1">
      <w:pPr>
        <w:pStyle w:val="ListBullet"/>
        <w:spacing w:after="80" w:line="250" w:lineRule="auto"/>
        <w:ind w:left="720"/>
      </w:pPr>
      <w:r>
        <w:rPr>
          <w:b/>
          <w:color w:val="102A43"/>
        </w:rPr>
        <w:t xml:space="preserve">2. Learning design must lead technology adoption. </w:t>
      </w:r>
      <w:r>
        <w:t>OECD evidence distinguishes AI-assisted task performance from durable learning; tools should provoke reasoning, practice and reflection rather than substitute for them [1].</w:t>
      </w:r>
    </w:p>
    <w:p w14:paraId="71B1A411" w14:textId="77777777" w:rsidR="002C77BF" w:rsidRDefault="007928D1">
      <w:pPr>
        <w:pStyle w:val="ListBullet"/>
        <w:spacing w:after="80" w:line="250" w:lineRule="auto"/>
        <w:ind w:left="720"/>
      </w:pPr>
      <w:r>
        <w:rPr>
          <w:b/>
          <w:color w:val="102A43"/>
        </w:rPr>
        <w:t xml:space="preserve">3. The strongest near-term value is broader than content generation. </w:t>
      </w:r>
      <w:r>
        <w:t>Course-grounded tutoring, research acceleration, advising and workflow redesign offer more defensible value than generic essay production.</w:t>
      </w:r>
    </w:p>
    <w:p w14:paraId="46F00BFF" w14:textId="77777777" w:rsidR="002C77BF" w:rsidRDefault="007928D1">
      <w:pPr>
        <w:pStyle w:val="ListBullet"/>
        <w:spacing w:after="80" w:line="250" w:lineRule="auto"/>
        <w:ind w:left="720"/>
      </w:pPr>
      <w:r>
        <w:rPr>
          <w:b/>
          <w:color w:val="102A43"/>
        </w:rPr>
        <w:t xml:space="preserve">4. Governance should enable responsible use. </w:t>
      </w:r>
      <w:r>
        <w:t>Clear rules, secure environments, risk tiers and evaluation allow innovation to move faster with confidence.</w:t>
      </w:r>
    </w:p>
    <w:p w14:paraId="02091E2A" w14:textId="77777777" w:rsidR="002C77BF" w:rsidRDefault="007928D1">
      <w:pPr>
        <w:pStyle w:val="ListBullet"/>
        <w:spacing w:after="80" w:line="250" w:lineRule="auto"/>
        <w:ind w:left="720"/>
      </w:pPr>
      <w:r>
        <w:rPr>
          <w:b/>
          <w:color w:val="102A43"/>
        </w:rPr>
        <w:t xml:space="preserve">5. Universities in the UAE and Saudi Arabia have a national-development mandate. </w:t>
      </w:r>
      <w:r>
        <w:t>They can translate ambitious AI strategies into talent, applied research and measurable public value [11][14][16].</w:t>
      </w:r>
    </w:p>
    <w:p w14:paraId="32D6F3A5" w14:textId="77777777" w:rsidR="002C77BF" w:rsidRDefault="007928D1">
      <w:pPr>
        <w:pStyle w:val="Heading1"/>
        <w:pageBreakBefore/>
      </w:pPr>
      <w:r>
        <w:rPr>
          <w:rFonts w:ascii="Aptos" w:hAnsi="Aptos"/>
        </w:rPr>
        <w:lastRenderedPageBreak/>
        <w:t>1. Why the university needs an agentic layer</w:t>
      </w:r>
    </w:p>
    <w:p w14:paraId="7B4DD83B" w14:textId="77777777" w:rsidR="002C77BF" w:rsidRDefault="007928D1">
      <w:pPr>
        <w:pStyle w:val="Heading2"/>
      </w:pPr>
      <w:r>
        <w:rPr>
          <w:rFonts w:ascii="Aptos" w:hAnsi="Aptos"/>
        </w:rPr>
        <w:t>Teaching and assessment</w:t>
      </w:r>
    </w:p>
    <w:p w14:paraId="746D57BA" w14:textId="77777777" w:rsidR="002C77BF" w:rsidRDefault="007928D1">
      <w:r>
        <w:t xml:space="preserve">AI can deliver tailored explanations, adaptive practice, simulations, translation and rapid </w:t>
      </w:r>
      <w:r>
        <w:t>formative feedback. But convenience is not learning. Harvard’s controlled study of a course-specific physics tutor involved 194 students and reported roughly twice the learning gains of an active-learning class in preliminary analysis, alongside higher engagement. The important design feature was not the chatbot alone: the tutor was scaffolded with instructor expertise and positioned as a complement to teaching [17].</w:t>
      </w:r>
    </w:p>
    <w:p w14:paraId="21CB63FF" w14:textId="77777777" w:rsidR="002C77BF" w:rsidRDefault="007928D1">
      <w:r>
        <w:t>The implication is clear: universities should invest in course-grounded systems and redesign assessment around authentic problem-solving, oral defence, applied projects, reflection and evidence of process. Caltech cautions against relying on AI detectors because false results, privacy and fairness concerns make them a weak foundation for academic-integrity decisions [7].</w:t>
      </w:r>
    </w:p>
    <w:p w14:paraId="12C7F6FF" w14:textId="77777777" w:rsidR="002C77BF" w:rsidRDefault="007928D1">
      <w:pPr>
        <w:pStyle w:val="Heading2"/>
      </w:pPr>
      <w:r>
        <w:rPr>
          <w:rFonts w:ascii="Aptos" w:hAnsi="Aptos"/>
        </w:rPr>
        <w:t>Research and discovery</w:t>
      </w:r>
    </w:p>
    <w:p w14:paraId="1C5B4172" w14:textId="77777777" w:rsidR="002C77BF" w:rsidRDefault="007928D1">
      <w:r>
        <w:t>AI can support literature discovery, coding, data analysis, modelling, experiment design and dissemination. In one Caltech-reported use case, a scientist-trained AI agent reduced a neurological data-cleaning task from weeks to about an hour while preserving a trace of the scientist’s instructions—an illustration of how AI can accelerate reproducible research workflows without removing expert oversight [20].</w:t>
      </w:r>
    </w:p>
    <w:p w14:paraId="73EA7DB7" w14:textId="77777777" w:rsidR="002C77BF" w:rsidRDefault="007928D1">
      <w:r>
        <w:t xml:space="preserve">The strategic opportunity is a research agent </w:t>
      </w:r>
      <w:r>
        <w:t>ecosystem that can search approved repositories, prepare analyses, route submissions and coordinate with research administration, ethics, finance and performance systems. Every consequential action should be permissioned, logged and reviewable. Researchers remain accountable for sources, methods, authorship, confidential data and reproducibility.</w:t>
      </w:r>
    </w:p>
    <w:p w14:paraId="05E5C461" w14:textId="77777777" w:rsidR="002C77BF" w:rsidRDefault="007928D1">
      <w:pPr>
        <w:pStyle w:val="Heading2"/>
      </w:pPr>
      <w:r>
        <w:rPr>
          <w:rFonts w:ascii="Aptos" w:hAnsi="Aptos"/>
        </w:rPr>
        <w:t>Student success and operations</w:t>
      </w:r>
    </w:p>
    <w:p w14:paraId="5AAB6A1E" w14:textId="77777777" w:rsidR="002C77BF" w:rsidRDefault="007928D1">
      <w:r>
        <w:t>Specialized agents can augment recruitment, admissions, advising, registration, career guidance and lifelong learning, as well as finance, procurement, HR, scheduling, quality assurance and accreditation. A student-success agent, for example, could detect a permitted signal, explain options, schedule support and document the intervention—while escalating sensitive decisions to staff. The value comes from redesigning end-to-end services around reliable data and human accountability. A chatbot placed over fra</w:t>
      </w:r>
      <w:r>
        <w:t>gmented processes may improve convenience, but it does not create institutional intelligence.</w:t>
      </w:r>
    </w:p>
    <w:tbl>
      <w:tblPr>
        <w:tblW w:w="0" w:type="auto"/>
        <w:tblLayout w:type="fixed"/>
        <w:tblLook w:val="04A0" w:firstRow="1" w:lastRow="0" w:firstColumn="1" w:lastColumn="0" w:noHBand="0" w:noVBand="1"/>
      </w:tblPr>
      <w:tblGrid>
        <w:gridCol w:w="9792"/>
      </w:tblGrid>
      <w:tr w:rsidR="002C77BF" w14:paraId="642ED567" w14:textId="77777777">
        <w:tc>
          <w:tcPr>
            <w:tcW w:w="9792" w:type="dxa"/>
            <w:shd w:val="clear" w:color="auto" w:fill="EAF4F4"/>
            <w:tcMar>
              <w:top w:w="160" w:type="dxa"/>
              <w:left w:w="190" w:type="dxa"/>
              <w:bottom w:w="160" w:type="dxa"/>
              <w:right w:w="190" w:type="dxa"/>
            </w:tcMar>
          </w:tcPr>
          <w:p w14:paraId="7D12F988" w14:textId="77777777" w:rsidR="002C77BF" w:rsidRDefault="007928D1">
            <w:pPr>
              <w:spacing w:after="60"/>
            </w:pPr>
            <w:r>
              <w:rPr>
                <w:b/>
                <w:color w:val="168F87"/>
                <w:sz w:val="19"/>
              </w:rPr>
              <w:t>STRATEGIC SHIFT</w:t>
            </w:r>
          </w:p>
          <w:p w14:paraId="5BFBC12D" w14:textId="77777777" w:rsidR="002C77BF" w:rsidRDefault="007928D1">
            <w:pPr>
              <w:spacing w:after="0" w:line="259" w:lineRule="auto"/>
            </w:pPr>
            <w:r>
              <w:rPr>
                <w:b/>
                <w:color w:val="102A43"/>
                <w:sz w:val="24"/>
              </w:rPr>
              <w:t>Move the unit of innovation from the individual tool to the complete learner, researcher or employee journey—and measure outcomes, not usage.</w:t>
            </w:r>
          </w:p>
        </w:tc>
      </w:tr>
    </w:tbl>
    <w:p w14:paraId="73BDCC7F" w14:textId="77777777" w:rsidR="002C77BF" w:rsidRDefault="002C77BF">
      <w:pPr>
        <w:spacing w:after="0"/>
      </w:pPr>
    </w:p>
    <w:p w14:paraId="535B1C8C" w14:textId="77777777" w:rsidR="002C77BF" w:rsidRDefault="007928D1">
      <w:pPr>
        <w:pStyle w:val="Heading1"/>
        <w:pageBreakBefore/>
      </w:pPr>
      <w:r>
        <w:rPr>
          <w:rFonts w:ascii="Aptos" w:hAnsi="Aptos"/>
        </w:rPr>
        <w:lastRenderedPageBreak/>
        <w:t>2. Use cases: where value is becoming tangible</w:t>
      </w:r>
    </w:p>
    <w:p w14:paraId="6962FCCD" w14:textId="77777777" w:rsidR="002C77BF" w:rsidRDefault="007928D1">
      <w:r>
        <w:t>The following examples show that useful adoption is already moving beyond generic chat toward specialized, governed applications.</w:t>
      </w:r>
    </w:p>
    <w:p w14:paraId="15892B6D" w14:textId="77777777" w:rsidR="002C77BF" w:rsidRDefault="007928D1">
      <w:pPr>
        <w:pStyle w:val="Heading2"/>
      </w:pPr>
      <w:r>
        <w:rPr>
          <w:rFonts w:ascii="Aptos" w:hAnsi="Aptos"/>
        </w:rPr>
        <w:t>Learning that is personalized and academically grounded</w:t>
      </w:r>
    </w:p>
    <w:p w14:paraId="4A53BE1A" w14:textId="77777777" w:rsidR="002C77BF" w:rsidRDefault="007928D1">
      <w:pPr>
        <w:pStyle w:val="ListBullet"/>
        <w:spacing w:after="80" w:line="250" w:lineRule="auto"/>
        <w:ind w:left="720"/>
      </w:pPr>
      <w:r>
        <w:rPr>
          <w:b/>
          <w:color w:val="102A43"/>
        </w:rPr>
        <w:t xml:space="preserve">Harvard | course-specific tutoring. </w:t>
      </w:r>
      <w:r>
        <w:t>A tailored physics tutor delivered scaffolded, self-paced practice; preliminary findings reported approximately double the learning gains in the study setting [17].</w:t>
      </w:r>
    </w:p>
    <w:p w14:paraId="09B0CC8E" w14:textId="77777777" w:rsidR="002C77BF" w:rsidRDefault="007928D1">
      <w:pPr>
        <w:pStyle w:val="ListBullet"/>
        <w:spacing w:after="80" w:line="250" w:lineRule="auto"/>
        <w:ind w:left="720"/>
      </w:pPr>
      <w:r>
        <w:rPr>
          <w:b/>
          <w:color w:val="102A43"/>
        </w:rPr>
        <w:t xml:space="preserve">Yale | course-grounded assistants. </w:t>
      </w:r>
      <w:r>
        <w:t>Canvas-integrated Gemini experiences, BoodleBox custom tutors and simulations, and Bots++ grounded in course materials illustrate how faculty can constrain AI to a defined learning context [18].</w:t>
      </w:r>
    </w:p>
    <w:p w14:paraId="5EA426A5" w14:textId="77777777" w:rsidR="002C77BF" w:rsidRDefault="007928D1">
      <w:pPr>
        <w:pStyle w:val="ListBullet"/>
        <w:spacing w:after="80" w:line="250" w:lineRule="auto"/>
        <w:ind w:left="720"/>
      </w:pPr>
      <w:r>
        <w:rPr>
          <w:b/>
          <w:color w:val="102A43"/>
        </w:rPr>
        <w:t xml:space="preserve">Yale | language and clinical practice. </w:t>
      </w:r>
      <w:r>
        <w:t>Speakology provides pronunciation, grammar and fluency feedback, while an interviewing tutor and generated standardized-patient scripts create repeatable clinical-skills practice [18].</w:t>
      </w:r>
    </w:p>
    <w:p w14:paraId="5A6B7795" w14:textId="77777777" w:rsidR="002C77BF" w:rsidRDefault="007928D1">
      <w:pPr>
        <w:pStyle w:val="ListBullet"/>
        <w:spacing w:after="80" w:line="250" w:lineRule="auto"/>
        <w:ind w:left="720"/>
      </w:pPr>
      <w:r>
        <w:rPr>
          <w:b/>
          <w:color w:val="102A43"/>
        </w:rPr>
        <w:t xml:space="preserve">Yale | AI-assisted inquiry. </w:t>
      </w:r>
      <w:r>
        <w:t>Faculty examples combine topic modelling, word embeddings and coding support for close reading, and use AI-assisted coding labs to build data literacy in sociology [18].</w:t>
      </w:r>
    </w:p>
    <w:p w14:paraId="67D781B1" w14:textId="77777777" w:rsidR="002C77BF" w:rsidRDefault="007928D1">
      <w:pPr>
        <w:pStyle w:val="Heading2"/>
      </w:pPr>
      <w:r>
        <w:rPr>
          <w:rFonts w:ascii="Aptos" w:hAnsi="Aptos"/>
        </w:rPr>
        <w:t>Research productivity and scientific workflows</w:t>
      </w:r>
    </w:p>
    <w:p w14:paraId="51975916" w14:textId="77777777" w:rsidR="002C77BF" w:rsidRDefault="007928D1">
      <w:pPr>
        <w:pStyle w:val="ListBullet"/>
        <w:spacing w:after="80" w:line="250" w:lineRule="auto"/>
        <w:ind w:left="720"/>
      </w:pPr>
      <w:r>
        <w:rPr>
          <w:b/>
          <w:color w:val="102A43"/>
        </w:rPr>
        <w:t xml:space="preserve">Caltech | scientist-trained data agent. </w:t>
      </w:r>
      <w:r>
        <w:t>An AI agent reportedly compressed a neurological data-cleaning workflow from weeks to about an hour, with an auditable record of expert instruction [20].</w:t>
      </w:r>
    </w:p>
    <w:p w14:paraId="36418F83" w14:textId="77777777" w:rsidR="002C77BF" w:rsidRDefault="007928D1">
      <w:pPr>
        <w:pStyle w:val="ListBullet"/>
        <w:spacing w:after="80" w:line="250" w:lineRule="auto"/>
        <w:ind w:left="720"/>
      </w:pPr>
      <w:r>
        <w:rPr>
          <w:b/>
          <w:color w:val="102A43"/>
        </w:rPr>
        <w:t xml:space="preserve">MIT and Caltech | AI-enabled discovery. </w:t>
      </w:r>
      <w:r>
        <w:t>Institutional programmes frame AI as part of research training and scientific discovery rather than a standalone computing topic [8][9].</w:t>
      </w:r>
    </w:p>
    <w:p w14:paraId="0C2B6B5C" w14:textId="77777777" w:rsidR="002C77BF" w:rsidRDefault="007928D1">
      <w:pPr>
        <w:pStyle w:val="Heading2"/>
      </w:pPr>
      <w:r>
        <w:rPr>
          <w:rFonts w:ascii="Aptos" w:hAnsi="Aptos"/>
        </w:rPr>
        <w:t>Safe experimentation and institutional governance</w:t>
      </w:r>
    </w:p>
    <w:p w14:paraId="78C268EF" w14:textId="77777777" w:rsidR="002C77BF" w:rsidRDefault="007928D1">
      <w:pPr>
        <w:pStyle w:val="ListBullet"/>
        <w:spacing w:after="80" w:line="250" w:lineRule="auto"/>
        <w:ind w:left="720"/>
      </w:pPr>
      <w:r>
        <w:rPr>
          <w:b/>
          <w:color w:val="102A43"/>
        </w:rPr>
        <w:t xml:space="preserve">Stanford | sandbox plus capability building. </w:t>
      </w:r>
      <w:r>
        <w:t>AIMES combines AI literacy, faculty examples, seed grants, human oversight and an AI Playground for structured experimentation [5].</w:t>
      </w:r>
    </w:p>
    <w:p w14:paraId="554081B9" w14:textId="77777777" w:rsidR="002C77BF" w:rsidRDefault="007928D1">
      <w:pPr>
        <w:pStyle w:val="ListBullet"/>
        <w:spacing w:after="80" w:line="250" w:lineRule="auto"/>
        <w:ind w:left="720"/>
      </w:pPr>
      <w:r>
        <w:rPr>
          <w:b/>
          <w:color w:val="102A43"/>
        </w:rPr>
        <w:t xml:space="preserve">University of California | system-wide governance. </w:t>
      </w:r>
      <w:r>
        <w:t>The UC approach combines common principles, an AI Council, training, risk assessment and transparency across a multi-campus system [10].</w:t>
      </w:r>
    </w:p>
    <w:p w14:paraId="26BD7B70" w14:textId="77777777" w:rsidR="002C77BF" w:rsidRDefault="007928D1">
      <w:pPr>
        <w:pStyle w:val="ListBullet"/>
        <w:spacing w:after="80" w:line="250" w:lineRule="auto"/>
        <w:ind w:left="720"/>
      </w:pPr>
      <w:r>
        <w:rPr>
          <w:b/>
          <w:color w:val="102A43"/>
        </w:rPr>
        <w:t xml:space="preserve">UAE | workflow and workforce transformation. </w:t>
      </w:r>
      <w:r>
        <w:t>The Ministry of Education’s NOVA initiative links AI with unified workflows, decision insight and service improvement; a national teacher-upskilling programme adds structured learning on responsible classroom use [12][13].</w:t>
      </w:r>
    </w:p>
    <w:tbl>
      <w:tblPr>
        <w:tblW w:w="0" w:type="auto"/>
        <w:tblLayout w:type="fixed"/>
        <w:tblLook w:val="04A0" w:firstRow="1" w:lastRow="0" w:firstColumn="1" w:lastColumn="0" w:noHBand="0" w:noVBand="1"/>
      </w:tblPr>
      <w:tblGrid>
        <w:gridCol w:w="9792"/>
      </w:tblGrid>
      <w:tr w:rsidR="002C77BF" w14:paraId="769D6AA7" w14:textId="77777777">
        <w:tc>
          <w:tcPr>
            <w:tcW w:w="9792" w:type="dxa"/>
            <w:shd w:val="clear" w:color="auto" w:fill="EAF4F4"/>
            <w:tcMar>
              <w:top w:w="160" w:type="dxa"/>
              <w:left w:w="190" w:type="dxa"/>
              <w:bottom w:w="160" w:type="dxa"/>
              <w:right w:w="190" w:type="dxa"/>
            </w:tcMar>
          </w:tcPr>
          <w:p w14:paraId="4E353A60" w14:textId="77777777" w:rsidR="002C77BF" w:rsidRDefault="007928D1">
            <w:pPr>
              <w:spacing w:after="60"/>
            </w:pPr>
            <w:r>
              <w:rPr>
                <w:b/>
                <w:color w:val="168F87"/>
                <w:sz w:val="19"/>
              </w:rPr>
              <w:t>WHAT THESE CASES PROVE</w:t>
            </w:r>
          </w:p>
          <w:p w14:paraId="6B0D41AD" w14:textId="77777777" w:rsidR="002C77BF" w:rsidRDefault="007928D1">
            <w:pPr>
              <w:spacing w:after="0" w:line="259" w:lineRule="auto"/>
            </w:pPr>
            <w:r>
              <w:rPr>
                <w:b/>
                <w:color w:val="102A43"/>
                <w:sz w:val="24"/>
              </w:rPr>
              <w:t>The repeatable pattern is specialization plus governance: trusted content, defined users, human oversight, secure access and an outcome that can be evaluated.</w:t>
            </w:r>
          </w:p>
        </w:tc>
      </w:tr>
    </w:tbl>
    <w:p w14:paraId="10117C96" w14:textId="77777777" w:rsidR="002C77BF" w:rsidRDefault="002C77BF">
      <w:pPr>
        <w:spacing w:after="0"/>
      </w:pPr>
    </w:p>
    <w:p w14:paraId="09E539F9" w14:textId="77777777" w:rsidR="002C77BF" w:rsidRDefault="007928D1">
      <w:pPr>
        <w:pStyle w:val="Heading1"/>
        <w:pageBreakBefore/>
      </w:pPr>
      <w:r>
        <w:rPr>
          <w:rFonts w:ascii="Aptos" w:hAnsi="Aptos"/>
        </w:rPr>
        <w:lastRenderedPageBreak/>
        <w:t>3. What leading institutions signal</w:t>
      </w:r>
    </w:p>
    <w:tbl>
      <w:tblPr>
        <w:tblW w:w="0" w:type="auto"/>
        <w:tblLayout w:type="fixed"/>
        <w:tblLook w:val="04A0" w:firstRow="1" w:lastRow="0" w:firstColumn="1" w:lastColumn="0" w:noHBand="0" w:noVBand="1"/>
      </w:tblPr>
      <w:tblGrid>
        <w:gridCol w:w="1800"/>
        <w:gridCol w:w="2952"/>
        <w:gridCol w:w="4608"/>
      </w:tblGrid>
      <w:tr w:rsidR="002C77BF" w14:paraId="69CB6A2A" w14:textId="77777777">
        <w:tc>
          <w:tcPr>
            <w:tcW w:w="1800" w:type="dxa"/>
            <w:shd w:val="clear" w:color="auto" w:fill="102A43"/>
            <w:tcMar>
              <w:top w:w="120" w:type="dxa"/>
              <w:left w:w="140" w:type="dxa"/>
              <w:bottom w:w="120" w:type="dxa"/>
              <w:right w:w="140" w:type="dxa"/>
            </w:tcMar>
          </w:tcPr>
          <w:p w14:paraId="39EDB0C4" w14:textId="77777777" w:rsidR="002C77BF" w:rsidRDefault="007928D1">
            <w:r>
              <w:rPr>
                <w:b/>
                <w:color w:val="FFFFFF"/>
                <w:sz w:val="19"/>
              </w:rPr>
              <w:t>Institution</w:t>
            </w:r>
          </w:p>
        </w:tc>
        <w:tc>
          <w:tcPr>
            <w:tcW w:w="2952" w:type="dxa"/>
            <w:shd w:val="clear" w:color="auto" w:fill="102A43"/>
            <w:tcMar>
              <w:top w:w="120" w:type="dxa"/>
              <w:left w:w="140" w:type="dxa"/>
              <w:bottom w:w="120" w:type="dxa"/>
              <w:right w:w="140" w:type="dxa"/>
            </w:tcMar>
          </w:tcPr>
          <w:p w14:paraId="6EA32897" w14:textId="77777777" w:rsidR="002C77BF" w:rsidRDefault="007928D1">
            <w:r>
              <w:rPr>
                <w:b/>
                <w:color w:val="FFFFFF"/>
                <w:sz w:val="19"/>
              </w:rPr>
              <w:t>Signal</w:t>
            </w:r>
          </w:p>
        </w:tc>
        <w:tc>
          <w:tcPr>
            <w:tcW w:w="4608" w:type="dxa"/>
            <w:shd w:val="clear" w:color="auto" w:fill="102A43"/>
            <w:tcMar>
              <w:top w:w="120" w:type="dxa"/>
              <w:left w:w="140" w:type="dxa"/>
              <w:bottom w:w="120" w:type="dxa"/>
              <w:right w:w="140" w:type="dxa"/>
            </w:tcMar>
          </w:tcPr>
          <w:p w14:paraId="04591D73" w14:textId="77777777" w:rsidR="002C77BF" w:rsidRDefault="007928D1">
            <w:r>
              <w:rPr>
                <w:b/>
                <w:color w:val="FFFFFF"/>
                <w:sz w:val="19"/>
              </w:rPr>
              <w:t>POV implication</w:t>
            </w:r>
          </w:p>
        </w:tc>
      </w:tr>
      <w:tr w:rsidR="002C77BF" w14:paraId="3F557965" w14:textId="77777777">
        <w:tc>
          <w:tcPr>
            <w:tcW w:w="1800" w:type="dxa"/>
            <w:tcMar>
              <w:top w:w="120" w:type="dxa"/>
              <w:left w:w="140" w:type="dxa"/>
              <w:bottom w:w="120" w:type="dxa"/>
              <w:right w:w="140" w:type="dxa"/>
            </w:tcMar>
            <w:vAlign w:val="center"/>
          </w:tcPr>
          <w:p w14:paraId="3BB4BF99" w14:textId="77777777" w:rsidR="002C77BF" w:rsidRDefault="007928D1">
            <w:pPr>
              <w:spacing w:after="0" w:line="250" w:lineRule="auto"/>
            </w:pPr>
            <w:r>
              <w:rPr>
                <w:b/>
                <w:sz w:val="18"/>
              </w:rPr>
              <w:t>Harvard</w:t>
            </w:r>
          </w:p>
        </w:tc>
        <w:tc>
          <w:tcPr>
            <w:tcW w:w="2952" w:type="dxa"/>
            <w:tcMar>
              <w:top w:w="120" w:type="dxa"/>
              <w:left w:w="140" w:type="dxa"/>
              <w:bottom w:w="120" w:type="dxa"/>
              <w:right w:w="140" w:type="dxa"/>
            </w:tcMar>
            <w:vAlign w:val="center"/>
          </w:tcPr>
          <w:p w14:paraId="20273177" w14:textId="77777777" w:rsidR="002C77BF" w:rsidRDefault="007928D1">
            <w:pPr>
              <w:spacing w:after="0" w:line="250" w:lineRule="auto"/>
            </w:pPr>
            <w:r>
              <w:rPr>
                <w:sz w:val="18"/>
              </w:rPr>
              <w:t>Evidence-led learning design</w:t>
            </w:r>
          </w:p>
        </w:tc>
        <w:tc>
          <w:tcPr>
            <w:tcW w:w="4608" w:type="dxa"/>
            <w:tcMar>
              <w:top w:w="120" w:type="dxa"/>
              <w:left w:w="140" w:type="dxa"/>
              <w:bottom w:w="120" w:type="dxa"/>
              <w:right w:w="140" w:type="dxa"/>
            </w:tcMar>
            <w:vAlign w:val="center"/>
          </w:tcPr>
          <w:p w14:paraId="1AA176C1" w14:textId="77777777" w:rsidR="002C77BF" w:rsidRDefault="007928D1">
            <w:pPr>
              <w:spacing w:after="0" w:line="250" w:lineRule="auto"/>
            </w:pPr>
            <w:r>
              <w:rPr>
                <w:sz w:val="18"/>
              </w:rPr>
              <w:t>Test course-specific tools against learning outcomes—not novelty.</w:t>
            </w:r>
          </w:p>
        </w:tc>
      </w:tr>
      <w:tr w:rsidR="002C77BF" w14:paraId="6DD87B4F" w14:textId="77777777">
        <w:tc>
          <w:tcPr>
            <w:tcW w:w="1800" w:type="dxa"/>
            <w:shd w:val="clear" w:color="auto" w:fill="F4F7FA"/>
            <w:tcMar>
              <w:top w:w="120" w:type="dxa"/>
              <w:left w:w="140" w:type="dxa"/>
              <w:bottom w:w="120" w:type="dxa"/>
              <w:right w:w="140" w:type="dxa"/>
            </w:tcMar>
            <w:vAlign w:val="center"/>
          </w:tcPr>
          <w:p w14:paraId="4D1EE2C5" w14:textId="77777777" w:rsidR="002C77BF" w:rsidRDefault="007928D1">
            <w:pPr>
              <w:spacing w:after="0" w:line="250" w:lineRule="auto"/>
            </w:pPr>
            <w:r>
              <w:rPr>
                <w:b/>
                <w:sz w:val="18"/>
              </w:rPr>
              <w:t>MIT</w:t>
            </w:r>
          </w:p>
        </w:tc>
        <w:tc>
          <w:tcPr>
            <w:tcW w:w="2952" w:type="dxa"/>
            <w:shd w:val="clear" w:color="auto" w:fill="F4F7FA"/>
            <w:tcMar>
              <w:top w:w="120" w:type="dxa"/>
              <w:left w:w="140" w:type="dxa"/>
              <w:bottom w:w="120" w:type="dxa"/>
              <w:right w:w="140" w:type="dxa"/>
            </w:tcMar>
            <w:vAlign w:val="center"/>
          </w:tcPr>
          <w:p w14:paraId="34EE798E" w14:textId="77777777" w:rsidR="002C77BF" w:rsidRDefault="007928D1">
            <w:pPr>
              <w:spacing w:after="0" w:line="250" w:lineRule="auto"/>
            </w:pPr>
            <w:r>
              <w:rPr>
                <w:sz w:val="18"/>
              </w:rPr>
              <w:t>Academic model and research training</w:t>
            </w:r>
          </w:p>
        </w:tc>
        <w:tc>
          <w:tcPr>
            <w:tcW w:w="4608" w:type="dxa"/>
            <w:shd w:val="clear" w:color="auto" w:fill="F4F7FA"/>
            <w:tcMar>
              <w:top w:w="120" w:type="dxa"/>
              <w:left w:w="140" w:type="dxa"/>
              <w:bottom w:w="120" w:type="dxa"/>
              <w:right w:w="140" w:type="dxa"/>
            </w:tcMar>
            <w:vAlign w:val="center"/>
          </w:tcPr>
          <w:p w14:paraId="3BBA1C32" w14:textId="77777777" w:rsidR="002C77BF" w:rsidRDefault="007928D1">
            <w:pPr>
              <w:spacing w:after="0" w:line="250" w:lineRule="auto"/>
            </w:pPr>
            <w:r>
              <w:rPr>
                <w:sz w:val="18"/>
              </w:rPr>
              <w:t>Treat AI as a question for the whole educational mission.</w:t>
            </w:r>
          </w:p>
        </w:tc>
      </w:tr>
      <w:tr w:rsidR="002C77BF" w14:paraId="5F7FB7A4" w14:textId="77777777">
        <w:tc>
          <w:tcPr>
            <w:tcW w:w="1800" w:type="dxa"/>
            <w:tcMar>
              <w:top w:w="120" w:type="dxa"/>
              <w:left w:w="140" w:type="dxa"/>
              <w:bottom w:w="120" w:type="dxa"/>
              <w:right w:w="140" w:type="dxa"/>
            </w:tcMar>
            <w:vAlign w:val="center"/>
          </w:tcPr>
          <w:p w14:paraId="24FF7B0A" w14:textId="77777777" w:rsidR="002C77BF" w:rsidRDefault="007928D1">
            <w:pPr>
              <w:spacing w:after="0" w:line="250" w:lineRule="auto"/>
            </w:pPr>
            <w:r>
              <w:rPr>
                <w:b/>
                <w:sz w:val="18"/>
              </w:rPr>
              <w:t>Stanford</w:t>
            </w:r>
          </w:p>
        </w:tc>
        <w:tc>
          <w:tcPr>
            <w:tcW w:w="2952" w:type="dxa"/>
            <w:tcMar>
              <w:top w:w="120" w:type="dxa"/>
              <w:left w:w="140" w:type="dxa"/>
              <w:bottom w:w="120" w:type="dxa"/>
              <w:right w:w="140" w:type="dxa"/>
            </w:tcMar>
            <w:vAlign w:val="center"/>
          </w:tcPr>
          <w:p w14:paraId="781FF37D" w14:textId="77777777" w:rsidR="002C77BF" w:rsidRDefault="007928D1">
            <w:pPr>
              <w:spacing w:after="0" w:line="250" w:lineRule="auto"/>
            </w:pPr>
            <w:r>
              <w:rPr>
                <w:sz w:val="18"/>
              </w:rPr>
              <w:t>Literacy, grants and safe experimentation</w:t>
            </w:r>
          </w:p>
        </w:tc>
        <w:tc>
          <w:tcPr>
            <w:tcW w:w="4608" w:type="dxa"/>
            <w:tcMar>
              <w:top w:w="120" w:type="dxa"/>
              <w:left w:w="140" w:type="dxa"/>
              <w:bottom w:w="120" w:type="dxa"/>
              <w:right w:w="140" w:type="dxa"/>
            </w:tcMar>
            <w:vAlign w:val="center"/>
          </w:tcPr>
          <w:p w14:paraId="7CCCFFD6" w14:textId="77777777" w:rsidR="002C77BF" w:rsidRDefault="007928D1">
            <w:pPr>
              <w:spacing w:after="0" w:line="250" w:lineRule="auto"/>
            </w:pPr>
            <w:r>
              <w:rPr>
                <w:sz w:val="18"/>
              </w:rPr>
              <w:t>Pair broad engagement with structured environments and oversight.</w:t>
            </w:r>
          </w:p>
        </w:tc>
      </w:tr>
      <w:tr w:rsidR="002C77BF" w14:paraId="328EFFC2" w14:textId="77777777">
        <w:tc>
          <w:tcPr>
            <w:tcW w:w="1800" w:type="dxa"/>
            <w:shd w:val="clear" w:color="auto" w:fill="F4F7FA"/>
            <w:tcMar>
              <w:top w:w="120" w:type="dxa"/>
              <w:left w:w="140" w:type="dxa"/>
              <w:bottom w:w="120" w:type="dxa"/>
              <w:right w:w="140" w:type="dxa"/>
            </w:tcMar>
            <w:vAlign w:val="center"/>
          </w:tcPr>
          <w:p w14:paraId="41B4F501" w14:textId="77777777" w:rsidR="002C77BF" w:rsidRDefault="007928D1">
            <w:pPr>
              <w:spacing w:after="0" w:line="250" w:lineRule="auto"/>
            </w:pPr>
            <w:r>
              <w:rPr>
                <w:b/>
                <w:sz w:val="18"/>
              </w:rPr>
              <w:t>Yale</w:t>
            </w:r>
          </w:p>
        </w:tc>
        <w:tc>
          <w:tcPr>
            <w:tcW w:w="2952" w:type="dxa"/>
            <w:shd w:val="clear" w:color="auto" w:fill="F4F7FA"/>
            <w:tcMar>
              <w:top w:w="120" w:type="dxa"/>
              <w:left w:w="140" w:type="dxa"/>
              <w:bottom w:w="120" w:type="dxa"/>
              <w:right w:w="140" w:type="dxa"/>
            </w:tcMar>
            <w:vAlign w:val="center"/>
          </w:tcPr>
          <w:p w14:paraId="56280CD1" w14:textId="77777777" w:rsidR="002C77BF" w:rsidRDefault="007928D1">
            <w:pPr>
              <w:spacing w:after="0" w:line="250" w:lineRule="auto"/>
            </w:pPr>
            <w:r>
              <w:rPr>
                <w:sz w:val="18"/>
              </w:rPr>
              <w:t>Discipline-specific teaching use cases</w:t>
            </w:r>
          </w:p>
        </w:tc>
        <w:tc>
          <w:tcPr>
            <w:tcW w:w="4608" w:type="dxa"/>
            <w:shd w:val="clear" w:color="auto" w:fill="F4F7FA"/>
            <w:tcMar>
              <w:top w:w="120" w:type="dxa"/>
              <w:left w:w="140" w:type="dxa"/>
              <w:bottom w:w="120" w:type="dxa"/>
              <w:right w:w="140" w:type="dxa"/>
            </w:tcMar>
            <w:vAlign w:val="center"/>
          </w:tcPr>
          <w:p w14:paraId="59808584" w14:textId="77777777" w:rsidR="002C77BF" w:rsidRDefault="007928D1">
            <w:pPr>
              <w:spacing w:after="0" w:line="250" w:lineRule="auto"/>
            </w:pPr>
            <w:r>
              <w:rPr>
                <w:sz w:val="18"/>
              </w:rPr>
              <w:t>Design around course context, authentic practice and faculty intent.</w:t>
            </w:r>
          </w:p>
        </w:tc>
      </w:tr>
      <w:tr w:rsidR="002C77BF" w14:paraId="2C49BE44" w14:textId="77777777">
        <w:tc>
          <w:tcPr>
            <w:tcW w:w="1800" w:type="dxa"/>
            <w:tcMar>
              <w:top w:w="120" w:type="dxa"/>
              <w:left w:w="140" w:type="dxa"/>
              <w:bottom w:w="120" w:type="dxa"/>
              <w:right w:w="140" w:type="dxa"/>
            </w:tcMar>
            <w:vAlign w:val="center"/>
          </w:tcPr>
          <w:p w14:paraId="32F6710C" w14:textId="77777777" w:rsidR="002C77BF" w:rsidRDefault="007928D1">
            <w:pPr>
              <w:spacing w:after="0" w:line="250" w:lineRule="auto"/>
            </w:pPr>
            <w:r>
              <w:rPr>
                <w:b/>
                <w:sz w:val="18"/>
              </w:rPr>
              <w:t>Caltech</w:t>
            </w:r>
          </w:p>
        </w:tc>
        <w:tc>
          <w:tcPr>
            <w:tcW w:w="2952" w:type="dxa"/>
            <w:tcMar>
              <w:top w:w="120" w:type="dxa"/>
              <w:left w:w="140" w:type="dxa"/>
              <w:bottom w:w="120" w:type="dxa"/>
              <w:right w:w="140" w:type="dxa"/>
            </w:tcMar>
            <w:vAlign w:val="center"/>
          </w:tcPr>
          <w:p w14:paraId="335B9C59" w14:textId="77777777" w:rsidR="002C77BF" w:rsidRDefault="007928D1">
            <w:pPr>
              <w:spacing w:after="0" w:line="250" w:lineRule="auto"/>
            </w:pPr>
            <w:r>
              <w:rPr>
                <w:sz w:val="18"/>
              </w:rPr>
              <w:t>AI for science; integrity caution</w:t>
            </w:r>
          </w:p>
        </w:tc>
        <w:tc>
          <w:tcPr>
            <w:tcW w:w="4608" w:type="dxa"/>
            <w:tcMar>
              <w:top w:w="120" w:type="dxa"/>
              <w:left w:w="140" w:type="dxa"/>
              <w:bottom w:w="120" w:type="dxa"/>
              <w:right w:w="140" w:type="dxa"/>
            </w:tcMar>
            <w:vAlign w:val="center"/>
          </w:tcPr>
          <w:p w14:paraId="5C89C4A4" w14:textId="77777777" w:rsidR="002C77BF" w:rsidRDefault="007928D1">
            <w:pPr>
              <w:spacing w:after="0" w:line="250" w:lineRule="auto"/>
            </w:pPr>
            <w:r>
              <w:rPr>
                <w:sz w:val="18"/>
              </w:rPr>
              <w:t>Accelerate expert workflows while avoiding unreliable detection shortcuts.</w:t>
            </w:r>
          </w:p>
        </w:tc>
      </w:tr>
      <w:tr w:rsidR="002C77BF" w14:paraId="4B27091E" w14:textId="77777777">
        <w:tc>
          <w:tcPr>
            <w:tcW w:w="1800" w:type="dxa"/>
            <w:shd w:val="clear" w:color="auto" w:fill="F4F7FA"/>
            <w:tcMar>
              <w:top w:w="120" w:type="dxa"/>
              <w:left w:w="140" w:type="dxa"/>
              <w:bottom w:w="120" w:type="dxa"/>
              <w:right w:w="140" w:type="dxa"/>
            </w:tcMar>
            <w:vAlign w:val="center"/>
          </w:tcPr>
          <w:p w14:paraId="241505C1" w14:textId="77777777" w:rsidR="002C77BF" w:rsidRDefault="007928D1">
            <w:pPr>
              <w:spacing w:after="0" w:line="250" w:lineRule="auto"/>
            </w:pPr>
            <w:r>
              <w:rPr>
                <w:b/>
                <w:sz w:val="18"/>
              </w:rPr>
              <w:t>UC system</w:t>
            </w:r>
          </w:p>
        </w:tc>
        <w:tc>
          <w:tcPr>
            <w:tcW w:w="2952" w:type="dxa"/>
            <w:shd w:val="clear" w:color="auto" w:fill="F4F7FA"/>
            <w:tcMar>
              <w:top w:w="120" w:type="dxa"/>
              <w:left w:w="140" w:type="dxa"/>
              <w:bottom w:w="120" w:type="dxa"/>
              <w:right w:w="140" w:type="dxa"/>
            </w:tcMar>
            <w:vAlign w:val="center"/>
          </w:tcPr>
          <w:p w14:paraId="558A88CA" w14:textId="77777777" w:rsidR="002C77BF" w:rsidRDefault="007928D1">
            <w:pPr>
              <w:spacing w:after="0" w:line="250" w:lineRule="auto"/>
            </w:pPr>
            <w:r>
              <w:rPr>
                <w:sz w:val="18"/>
              </w:rPr>
              <w:t>Coordinated responsible-AI governance</w:t>
            </w:r>
          </w:p>
        </w:tc>
        <w:tc>
          <w:tcPr>
            <w:tcW w:w="4608" w:type="dxa"/>
            <w:shd w:val="clear" w:color="auto" w:fill="F4F7FA"/>
            <w:tcMar>
              <w:top w:w="120" w:type="dxa"/>
              <w:left w:w="140" w:type="dxa"/>
              <w:bottom w:w="120" w:type="dxa"/>
              <w:right w:w="140" w:type="dxa"/>
            </w:tcMar>
            <w:vAlign w:val="center"/>
          </w:tcPr>
          <w:p w14:paraId="3EAE98C1" w14:textId="77777777" w:rsidR="002C77BF" w:rsidRDefault="007928D1">
            <w:pPr>
              <w:spacing w:after="0" w:line="250" w:lineRule="auto"/>
            </w:pPr>
            <w:r>
              <w:rPr>
                <w:sz w:val="18"/>
              </w:rPr>
              <w:t>Create common principles, risk processes and transparency at scale.</w:t>
            </w:r>
          </w:p>
        </w:tc>
      </w:tr>
    </w:tbl>
    <w:p w14:paraId="3395980B" w14:textId="77777777" w:rsidR="002C77BF" w:rsidRDefault="007928D1">
      <w:pPr>
        <w:spacing w:before="80"/>
      </w:pPr>
      <w:r>
        <w:rPr>
          <w:color w:val="627D98"/>
          <w:sz w:val="17"/>
        </w:rPr>
        <w:t xml:space="preserve">Sources: Harvard [4][17]; MIT [8][19]; </w:t>
      </w:r>
      <w:r>
        <w:rPr>
          <w:color w:val="627D98"/>
          <w:sz w:val="17"/>
        </w:rPr>
        <w:t>Stanford [5]; Yale [6][18]; Caltech [7][9][20]; UC [10].</w:t>
      </w:r>
    </w:p>
    <w:p w14:paraId="0CF6B72A" w14:textId="77777777" w:rsidR="002C77BF" w:rsidRDefault="007928D1">
      <w:pPr>
        <w:pStyle w:val="Heading1"/>
      </w:pPr>
      <w:r>
        <w:rPr>
          <w:rFonts w:ascii="Aptos" w:hAnsi="Aptos"/>
        </w:rPr>
        <w:t>4. International and regional direction</w:t>
      </w:r>
    </w:p>
    <w:p w14:paraId="6FDD7F93" w14:textId="77777777" w:rsidR="002C77BF" w:rsidRDefault="007928D1">
      <w:pPr>
        <w:pStyle w:val="Heading2"/>
      </w:pPr>
      <w:r>
        <w:rPr>
          <w:rFonts w:ascii="Aptos" w:hAnsi="Aptos"/>
        </w:rPr>
        <w:t>Global policy and labour market</w:t>
      </w:r>
    </w:p>
    <w:p w14:paraId="1F7428E2" w14:textId="77777777" w:rsidR="002C77BF" w:rsidRDefault="007928D1">
      <w:r>
        <w:t>The OECD argues that educational AI should support durable knowledge and skills rather than only faster task completion [1]. The World Bank emphasizes educational purpose, educator capability, equity, infrastructure and continuous evaluation [2]. The World Economic Forum identifies AI and big data among the fastest-growing skill areas while continuing to value analytical thinking, creativity and adaptability [3]. Together, these sources support AI literacy across disciplines—not only in computer science.</w:t>
      </w:r>
    </w:p>
    <w:p w14:paraId="465130F4" w14:textId="77777777" w:rsidR="002C77BF" w:rsidRDefault="007928D1">
      <w:pPr>
        <w:pStyle w:val="Heading2"/>
      </w:pPr>
      <w:r>
        <w:rPr>
          <w:rFonts w:ascii="Aptos" w:hAnsi="Aptos"/>
        </w:rPr>
        <w:t>UAE and Saudi Arabia</w:t>
      </w:r>
    </w:p>
    <w:p w14:paraId="33CFEC17" w14:textId="77777777" w:rsidR="002C77BF" w:rsidRDefault="007928D1">
      <w:r>
        <w:t>The UAE AI Strategy 2031 names education as a priority [11]. NOVA offers a practical institutional-transformation model, while national teacher upskilling demonstrates structured capability development [12][13].</w:t>
      </w:r>
    </w:p>
    <w:p w14:paraId="4AA0F3F7" w14:textId="77777777" w:rsidR="002C77BF" w:rsidRDefault="007928D1">
      <w:r>
        <w:t>Saudi Arabia’s National Strategy for Data and AI positions AI as a national transformation engine [14]. Its Academic AI Qualifications Framework and Human Capability Development Program connect programmes, future skills and labour-market competitiveness [15][16]. Universities should treat agentic AI as a contribution to national capability—not only an efficiency agenda.</w:t>
      </w:r>
    </w:p>
    <w:p w14:paraId="1BBC1AC2" w14:textId="77777777" w:rsidR="002C77BF" w:rsidRDefault="007928D1">
      <w:pPr>
        <w:pStyle w:val="Heading1"/>
        <w:pageBreakBefore/>
      </w:pPr>
      <w:r>
        <w:rPr>
          <w:rFonts w:ascii="Aptos" w:hAnsi="Aptos"/>
        </w:rPr>
        <w:lastRenderedPageBreak/>
        <w:t>5. The target state: an agentic AI operating system</w:t>
      </w:r>
    </w:p>
    <w:p w14:paraId="1A5B37A8" w14:textId="77777777" w:rsidR="002C77BF" w:rsidRDefault="007928D1">
      <w:r>
        <w:t>The target state is a federated system: a common institutional control layer supports specialized teaching, research, student-service and administrative agents. It should connect six mutually reinforcing capabilities:</w:t>
      </w:r>
    </w:p>
    <w:p w14:paraId="3872DDD5" w14:textId="77777777" w:rsidR="002C77BF" w:rsidRDefault="007928D1">
      <w:pPr>
        <w:pStyle w:val="ListBullet"/>
        <w:spacing w:after="80" w:line="250" w:lineRule="auto"/>
        <w:ind w:left="720"/>
      </w:pPr>
      <w:r>
        <w:rPr>
          <w:b/>
          <w:color w:val="102A43"/>
        </w:rPr>
        <w:t xml:space="preserve">Mission and portfolio. </w:t>
      </w:r>
      <w:r>
        <w:t>Select use cases against academic value, research impact, student outcomes and public purpose; stop low-value experiments early.</w:t>
      </w:r>
    </w:p>
    <w:p w14:paraId="29B4F7E4" w14:textId="77777777" w:rsidR="002C77BF" w:rsidRDefault="007928D1">
      <w:pPr>
        <w:pStyle w:val="ListBullet"/>
        <w:spacing w:after="80" w:line="250" w:lineRule="auto"/>
        <w:ind w:left="720"/>
      </w:pPr>
      <w:r>
        <w:rPr>
          <w:b/>
          <w:color w:val="102A43"/>
        </w:rPr>
        <w:t xml:space="preserve">Academic redesign. </w:t>
      </w:r>
      <w:r>
        <w:t xml:space="preserve">Create course-grounded assistants, authentic assessment, AI literacy and explicit </w:t>
      </w:r>
      <w:r>
        <w:t>discipline-level expectations.</w:t>
      </w:r>
    </w:p>
    <w:p w14:paraId="1E96B28F" w14:textId="77777777" w:rsidR="002C77BF" w:rsidRDefault="007928D1">
      <w:pPr>
        <w:pStyle w:val="ListBullet"/>
        <w:spacing w:after="80" w:line="250" w:lineRule="auto"/>
        <w:ind w:left="720"/>
      </w:pPr>
      <w:r>
        <w:rPr>
          <w:b/>
          <w:color w:val="102A43"/>
        </w:rPr>
        <w:t xml:space="preserve">Governance and assurance. </w:t>
      </w:r>
      <w:r>
        <w:t>Define risk tiers, accountability, privacy, procurement, intellectual property, human review and incident response.</w:t>
      </w:r>
    </w:p>
    <w:p w14:paraId="164CCB6E" w14:textId="77777777" w:rsidR="002C77BF" w:rsidRDefault="007928D1">
      <w:pPr>
        <w:pStyle w:val="ListBullet"/>
        <w:spacing w:after="80" w:line="250" w:lineRule="auto"/>
        <w:ind w:left="720"/>
      </w:pPr>
      <w:r>
        <w:rPr>
          <w:b/>
          <w:color w:val="102A43"/>
        </w:rPr>
        <w:t xml:space="preserve">Agent platform, data and tools. </w:t>
      </w:r>
      <w:r>
        <w:t>Provide secure identities for agents, governed knowledge sources, approved tool access, interoperability and model choice without locking strategy to one provider.</w:t>
      </w:r>
    </w:p>
    <w:p w14:paraId="1B24E646" w14:textId="77777777" w:rsidR="002C77BF" w:rsidRDefault="007928D1">
      <w:pPr>
        <w:pStyle w:val="ListBullet"/>
        <w:spacing w:after="80" w:line="250" w:lineRule="auto"/>
        <w:ind w:left="720"/>
      </w:pPr>
      <w:r>
        <w:rPr>
          <w:b/>
          <w:color w:val="102A43"/>
        </w:rPr>
        <w:t xml:space="preserve">People and change. </w:t>
      </w:r>
      <w:r>
        <w:t>Develop role-based capability for students, faculty, researchers, professional staff, executives and governing boards.</w:t>
      </w:r>
    </w:p>
    <w:p w14:paraId="71A2BE74" w14:textId="77777777" w:rsidR="002C77BF" w:rsidRDefault="007928D1">
      <w:pPr>
        <w:pStyle w:val="ListBullet"/>
        <w:spacing w:after="80" w:line="250" w:lineRule="auto"/>
        <w:ind w:left="720"/>
      </w:pPr>
      <w:r>
        <w:rPr>
          <w:b/>
          <w:color w:val="102A43"/>
        </w:rPr>
        <w:t xml:space="preserve">Evidence and scale. </w:t>
      </w:r>
      <w:r>
        <w:t>Measure learning, research speed, service quality, equity, cost and risk; scale only when evidence warrants it.</w:t>
      </w:r>
    </w:p>
    <w:p w14:paraId="0B715CBC" w14:textId="77777777" w:rsidR="002C77BF" w:rsidRDefault="007928D1">
      <w:pPr>
        <w:pStyle w:val="Heading2"/>
      </w:pPr>
      <w:r>
        <w:rPr>
          <w:rFonts w:ascii="Aptos" w:hAnsi="Aptos"/>
        </w:rPr>
        <w:t>A practical sequence</w:t>
      </w:r>
    </w:p>
    <w:p w14:paraId="16FF3DB0" w14:textId="77777777" w:rsidR="002C77BF" w:rsidRDefault="007928D1">
      <w:pPr>
        <w:pStyle w:val="ListBullet"/>
        <w:spacing w:after="80" w:line="250" w:lineRule="auto"/>
        <w:ind w:left="720"/>
      </w:pPr>
      <w:r>
        <w:rPr>
          <w:b/>
          <w:color w:val="102A43"/>
        </w:rPr>
        <w:t xml:space="preserve">0–90 days | establish direction. </w:t>
      </w:r>
      <w:r>
        <w:t>Name executive and academic owners, publish interim principles, inventory current use, identify sensitive data and select a small portfolio of measurable use cases.</w:t>
      </w:r>
    </w:p>
    <w:p w14:paraId="58EE54EA" w14:textId="77777777" w:rsidR="002C77BF" w:rsidRDefault="007928D1">
      <w:pPr>
        <w:pStyle w:val="ListBullet"/>
        <w:spacing w:after="80" w:line="250" w:lineRule="auto"/>
        <w:ind w:left="720"/>
      </w:pPr>
      <w:r>
        <w:rPr>
          <w:b/>
          <w:color w:val="102A43"/>
        </w:rPr>
        <w:t xml:space="preserve">3–9 months | build the foundation. </w:t>
      </w:r>
      <w:r>
        <w:t>Launch secure access, faculty and staff development, risk assessment, evaluation standards and two or three redesigned end-to-end journeys.</w:t>
      </w:r>
    </w:p>
    <w:p w14:paraId="4A3C75E4" w14:textId="77777777" w:rsidR="002C77BF" w:rsidRDefault="007928D1">
      <w:pPr>
        <w:pStyle w:val="ListBullet"/>
        <w:spacing w:after="80" w:line="250" w:lineRule="auto"/>
        <w:ind w:left="720"/>
      </w:pPr>
      <w:r>
        <w:rPr>
          <w:b/>
          <w:color w:val="102A43"/>
        </w:rPr>
        <w:t xml:space="preserve">9–18 months | scale what works. </w:t>
      </w:r>
      <w:r>
        <w:t>Integrate successful use cases with core systems, institutionalize assurance, publish impact evidence and retire duplicative tools.</w:t>
      </w:r>
    </w:p>
    <w:tbl>
      <w:tblPr>
        <w:tblW w:w="0" w:type="auto"/>
        <w:tblLayout w:type="fixed"/>
        <w:tblLook w:val="04A0" w:firstRow="1" w:lastRow="0" w:firstColumn="1" w:lastColumn="0" w:noHBand="0" w:noVBand="1"/>
      </w:tblPr>
      <w:tblGrid>
        <w:gridCol w:w="9792"/>
      </w:tblGrid>
      <w:tr w:rsidR="002C77BF" w14:paraId="3ED560E6" w14:textId="77777777">
        <w:tc>
          <w:tcPr>
            <w:tcW w:w="9792" w:type="dxa"/>
            <w:shd w:val="clear" w:color="auto" w:fill="EAF4F4"/>
            <w:tcMar>
              <w:top w:w="160" w:type="dxa"/>
              <w:left w:w="190" w:type="dxa"/>
              <w:bottom w:w="160" w:type="dxa"/>
              <w:right w:w="190" w:type="dxa"/>
            </w:tcMar>
          </w:tcPr>
          <w:p w14:paraId="0C83805A" w14:textId="77777777" w:rsidR="002C77BF" w:rsidRDefault="007928D1">
            <w:pPr>
              <w:spacing w:after="60"/>
            </w:pPr>
            <w:r>
              <w:rPr>
                <w:b/>
                <w:color w:val="168F87"/>
                <w:sz w:val="19"/>
              </w:rPr>
              <w:t>LEADERSHIP TEST</w:t>
            </w:r>
          </w:p>
          <w:p w14:paraId="2BDFABFA" w14:textId="77777777" w:rsidR="002C77BF" w:rsidRDefault="007928D1">
            <w:pPr>
              <w:spacing w:after="0" w:line="259" w:lineRule="auto"/>
            </w:pPr>
            <w:r>
              <w:rPr>
                <w:b/>
                <w:color w:val="102A43"/>
                <w:sz w:val="24"/>
              </w:rPr>
              <w:t>If an institution cannot state what an agent may know, what it may do, when it must escalate, who is accountable and what evidence will justify scale, it does not have an agentic operating system—it has a collection of tools.</w:t>
            </w:r>
          </w:p>
        </w:tc>
      </w:tr>
    </w:tbl>
    <w:p w14:paraId="1AF3318C" w14:textId="77777777" w:rsidR="002C77BF" w:rsidRDefault="002C77BF">
      <w:pPr>
        <w:spacing w:after="0"/>
      </w:pPr>
    </w:p>
    <w:p w14:paraId="7EC0811A" w14:textId="77777777" w:rsidR="002C77BF" w:rsidRDefault="007928D1">
      <w:pPr>
        <w:pStyle w:val="Heading1"/>
      </w:pPr>
      <w:r>
        <w:rPr>
          <w:rFonts w:ascii="Aptos" w:hAnsi="Aptos"/>
        </w:rPr>
        <w:t>Conclusion</w:t>
      </w:r>
    </w:p>
    <w:p w14:paraId="3A25B9F5" w14:textId="77777777" w:rsidR="002C77BF" w:rsidRDefault="007928D1">
      <w:r>
        <w:t>The next phase of AI in higher education will not be won by the institution with the most pilots. It will be won by the institution that converts experimentation into a trusted capability: academically led, securely enabled, transparently governed and measured against real outcomes.</w:t>
      </w:r>
    </w:p>
    <w:p w14:paraId="545BBB0D" w14:textId="77777777" w:rsidR="002C77BF" w:rsidRDefault="007928D1">
      <w:r>
        <w:t>For universities in the UAE and Saudi Arabia, the opportunity is especially consequential. By combining national ambition with strong academic standards, institutions can become engines of AI talent, scientific discovery, improved public services and responsible innovation. The imperative is to act now—but to act as a university: with evidence, integrity and human purpose at the centre.</w:t>
      </w:r>
    </w:p>
    <w:p w14:paraId="5E23D3C3" w14:textId="77777777" w:rsidR="002C77BF" w:rsidRDefault="007928D1">
      <w:pPr>
        <w:pStyle w:val="Heading1"/>
        <w:pageBreakBefore/>
      </w:pPr>
      <w:r>
        <w:rPr>
          <w:rFonts w:ascii="Aptos" w:hAnsi="Aptos"/>
        </w:rPr>
        <w:lastRenderedPageBreak/>
        <w:t>References</w:t>
      </w:r>
    </w:p>
    <w:p w14:paraId="1F7FCB37" w14:textId="77777777" w:rsidR="002C77BF" w:rsidRDefault="007928D1">
      <w:pPr>
        <w:spacing w:after="80"/>
        <w:ind w:left="216" w:hanging="216"/>
      </w:pPr>
      <w:r>
        <w:rPr>
          <w:sz w:val="18"/>
        </w:rPr>
        <w:t xml:space="preserve">[1] OECD. OECD Digital Education Outlook 2026. </w:t>
      </w:r>
      <w:hyperlink r:id="rId8">
        <w:r>
          <w:rPr>
            <w:color w:val="2D5B88"/>
            <w:sz w:val="19"/>
          </w:rPr>
          <w:t>Access source</w:t>
        </w:r>
      </w:hyperlink>
    </w:p>
    <w:p w14:paraId="04A3BBA0" w14:textId="77777777" w:rsidR="002C77BF" w:rsidRDefault="007928D1">
      <w:pPr>
        <w:spacing w:after="80"/>
        <w:ind w:left="216" w:hanging="216"/>
      </w:pPr>
      <w:r>
        <w:rPr>
          <w:sz w:val="18"/>
        </w:rPr>
        <w:t xml:space="preserve">[2] World Bank. AI Revolution in Education: What You Need to Know. </w:t>
      </w:r>
      <w:hyperlink r:id="rId9">
        <w:r>
          <w:rPr>
            <w:color w:val="2D5B88"/>
            <w:sz w:val="19"/>
          </w:rPr>
          <w:t>Access source</w:t>
        </w:r>
      </w:hyperlink>
    </w:p>
    <w:p w14:paraId="186196E9" w14:textId="77777777" w:rsidR="002C77BF" w:rsidRDefault="007928D1">
      <w:pPr>
        <w:spacing w:after="80"/>
        <w:ind w:left="216" w:hanging="216"/>
      </w:pPr>
      <w:r>
        <w:rPr>
          <w:sz w:val="18"/>
        </w:rPr>
        <w:t xml:space="preserve">[3] World Economic Forum. The Future of Jobs Report 2025. </w:t>
      </w:r>
      <w:hyperlink r:id="rId10">
        <w:r>
          <w:rPr>
            <w:color w:val="2D5B88"/>
            <w:sz w:val="19"/>
          </w:rPr>
          <w:t>Access source</w:t>
        </w:r>
      </w:hyperlink>
    </w:p>
    <w:p w14:paraId="72E71B71" w14:textId="77777777" w:rsidR="002C77BF" w:rsidRDefault="007928D1">
      <w:pPr>
        <w:spacing w:after="80"/>
        <w:ind w:left="216" w:hanging="216"/>
      </w:pPr>
      <w:r>
        <w:rPr>
          <w:sz w:val="18"/>
        </w:rPr>
        <w:t xml:space="preserve">[4] Harvard University. Teach with Generative AI. </w:t>
      </w:r>
      <w:hyperlink r:id="rId11">
        <w:r>
          <w:rPr>
            <w:color w:val="2D5B88"/>
            <w:sz w:val="19"/>
          </w:rPr>
          <w:t>Access source</w:t>
        </w:r>
      </w:hyperlink>
    </w:p>
    <w:p w14:paraId="2714C419" w14:textId="77777777" w:rsidR="002C77BF" w:rsidRDefault="007928D1">
      <w:pPr>
        <w:spacing w:after="80"/>
        <w:ind w:left="216" w:hanging="216"/>
      </w:pPr>
      <w:r>
        <w:rPr>
          <w:sz w:val="18"/>
        </w:rPr>
        <w:t xml:space="preserve">[5] Stanford University. AI Meets Education at Stanford. </w:t>
      </w:r>
      <w:hyperlink r:id="rId12">
        <w:r>
          <w:rPr>
            <w:color w:val="2D5B88"/>
            <w:sz w:val="19"/>
          </w:rPr>
          <w:t>Access source</w:t>
        </w:r>
      </w:hyperlink>
    </w:p>
    <w:p w14:paraId="62B3CB45" w14:textId="77777777" w:rsidR="002C77BF" w:rsidRDefault="007928D1">
      <w:pPr>
        <w:spacing w:after="80"/>
        <w:ind w:left="216" w:hanging="216"/>
      </w:pPr>
      <w:r>
        <w:rPr>
          <w:sz w:val="18"/>
        </w:rPr>
        <w:t xml:space="preserve">[6] Yale University. Resources for Teaching and Learning with AI. </w:t>
      </w:r>
      <w:hyperlink r:id="rId13">
        <w:r>
          <w:rPr>
            <w:color w:val="2D5B88"/>
            <w:sz w:val="19"/>
          </w:rPr>
          <w:t>Access source</w:t>
        </w:r>
      </w:hyperlink>
    </w:p>
    <w:p w14:paraId="268A0E41" w14:textId="77777777" w:rsidR="002C77BF" w:rsidRDefault="007928D1">
      <w:pPr>
        <w:spacing w:after="80"/>
        <w:ind w:left="216" w:hanging="216"/>
      </w:pPr>
      <w:r>
        <w:rPr>
          <w:sz w:val="18"/>
        </w:rPr>
        <w:t xml:space="preserve">[7] Caltech. AI in Teaching. </w:t>
      </w:r>
      <w:hyperlink r:id="rId14">
        <w:r>
          <w:rPr>
            <w:color w:val="2D5B88"/>
            <w:sz w:val="19"/>
          </w:rPr>
          <w:t>Access source</w:t>
        </w:r>
      </w:hyperlink>
    </w:p>
    <w:p w14:paraId="19519494" w14:textId="77777777" w:rsidR="002C77BF" w:rsidRDefault="007928D1">
      <w:pPr>
        <w:spacing w:after="80"/>
        <w:ind w:left="216" w:hanging="216"/>
      </w:pPr>
      <w:r>
        <w:rPr>
          <w:sz w:val="18"/>
        </w:rPr>
        <w:t xml:space="preserve">[8] MIT. AI and Education. </w:t>
      </w:r>
      <w:hyperlink r:id="rId15">
        <w:r>
          <w:rPr>
            <w:color w:val="2D5B88"/>
            <w:sz w:val="19"/>
          </w:rPr>
          <w:t>Access source</w:t>
        </w:r>
      </w:hyperlink>
    </w:p>
    <w:p w14:paraId="69BDB7BF" w14:textId="77777777" w:rsidR="002C77BF" w:rsidRDefault="007928D1">
      <w:pPr>
        <w:spacing w:after="80"/>
        <w:ind w:left="216" w:hanging="216"/>
      </w:pPr>
      <w:r>
        <w:rPr>
          <w:sz w:val="18"/>
        </w:rPr>
        <w:t xml:space="preserve">[9] Caltech. AI4Science. </w:t>
      </w:r>
      <w:hyperlink r:id="rId16">
        <w:r>
          <w:rPr>
            <w:color w:val="2D5B88"/>
            <w:sz w:val="19"/>
          </w:rPr>
          <w:t>Access source</w:t>
        </w:r>
      </w:hyperlink>
    </w:p>
    <w:p w14:paraId="2E3F0D41" w14:textId="77777777" w:rsidR="002C77BF" w:rsidRDefault="007928D1">
      <w:pPr>
        <w:spacing w:after="80"/>
        <w:ind w:left="216" w:hanging="216"/>
      </w:pPr>
      <w:r>
        <w:rPr>
          <w:sz w:val="18"/>
        </w:rPr>
        <w:t xml:space="preserve">[10] University of California. Advancing Responsible AI. </w:t>
      </w:r>
      <w:hyperlink r:id="rId17">
        <w:r>
          <w:rPr>
            <w:color w:val="2D5B88"/>
            <w:sz w:val="19"/>
          </w:rPr>
          <w:t>Access source</w:t>
        </w:r>
      </w:hyperlink>
    </w:p>
    <w:p w14:paraId="43EC3B8C" w14:textId="77777777" w:rsidR="002C77BF" w:rsidRDefault="007928D1">
      <w:pPr>
        <w:spacing w:after="80"/>
        <w:ind w:left="216" w:hanging="216"/>
      </w:pPr>
      <w:r>
        <w:rPr>
          <w:sz w:val="18"/>
        </w:rPr>
        <w:t xml:space="preserve">[11] UAE Artificial Intelligence Office. UAE Strategy for AI 2031. </w:t>
      </w:r>
      <w:hyperlink r:id="rId18">
        <w:r>
          <w:rPr>
            <w:color w:val="2D5B88"/>
            <w:sz w:val="19"/>
          </w:rPr>
          <w:t>Access source</w:t>
        </w:r>
      </w:hyperlink>
    </w:p>
    <w:p w14:paraId="58B547E5" w14:textId="77777777" w:rsidR="002C77BF" w:rsidRDefault="007928D1">
      <w:pPr>
        <w:spacing w:after="80"/>
        <w:ind w:left="216" w:hanging="216"/>
      </w:pPr>
      <w:r>
        <w:rPr>
          <w:sz w:val="18"/>
        </w:rPr>
        <w:t xml:space="preserve">[12] UAE Ministry of Education. NOVA project. </w:t>
      </w:r>
      <w:hyperlink r:id="rId19">
        <w:r>
          <w:rPr>
            <w:color w:val="2D5B88"/>
            <w:sz w:val="19"/>
          </w:rPr>
          <w:t>Access source</w:t>
        </w:r>
      </w:hyperlink>
    </w:p>
    <w:p w14:paraId="3D93F475" w14:textId="77777777" w:rsidR="002C77BF" w:rsidRDefault="007928D1">
      <w:pPr>
        <w:spacing w:after="80"/>
        <w:ind w:left="216" w:hanging="216"/>
      </w:pPr>
      <w:r>
        <w:rPr>
          <w:sz w:val="18"/>
        </w:rPr>
        <w:t xml:space="preserve">[13] UAE Ministry of Education and HBMSU. National AI Upskilling Programme for Teachers. </w:t>
      </w:r>
      <w:hyperlink r:id="rId20">
        <w:r>
          <w:rPr>
            <w:color w:val="2D5B88"/>
            <w:sz w:val="19"/>
          </w:rPr>
          <w:t>Access source</w:t>
        </w:r>
      </w:hyperlink>
    </w:p>
    <w:p w14:paraId="7016054B" w14:textId="77777777" w:rsidR="002C77BF" w:rsidRDefault="007928D1">
      <w:pPr>
        <w:spacing w:after="80"/>
        <w:ind w:left="216" w:hanging="216"/>
      </w:pPr>
      <w:r>
        <w:rPr>
          <w:sz w:val="18"/>
        </w:rPr>
        <w:t xml:space="preserve">[14] SDAIA. National Strategy for Data and AI. </w:t>
      </w:r>
      <w:hyperlink r:id="rId21">
        <w:r>
          <w:rPr>
            <w:color w:val="2D5B88"/>
            <w:sz w:val="19"/>
          </w:rPr>
          <w:t>Access source</w:t>
        </w:r>
      </w:hyperlink>
    </w:p>
    <w:p w14:paraId="17D5F174" w14:textId="77777777" w:rsidR="002C77BF" w:rsidRDefault="007928D1">
      <w:pPr>
        <w:spacing w:after="80"/>
        <w:ind w:left="216" w:hanging="216"/>
      </w:pPr>
      <w:r>
        <w:rPr>
          <w:sz w:val="18"/>
        </w:rPr>
        <w:t xml:space="preserve">[15] SDAIA. Saudi Academic AI Qualifications Framework. </w:t>
      </w:r>
      <w:hyperlink r:id="rId22">
        <w:r>
          <w:rPr>
            <w:color w:val="2D5B88"/>
            <w:sz w:val="19"/>
          </w:rPr>
          <w:t>Access source</w:t>
        </w:r>
      </w:hyperlink>
    </w:p>
    <w:p w14:paraId="059CB581" w14:textId="77777777" w:rsidR="002C77BF" w:rsidRDefault="007928D1">
      <w:pPr>
        <w:spacing w:after="80"/>
        <w:ind w:left="216" w:hanging="216"/>
      </w:pPr>
      <w:r>
        <w:rPr>
          <w:sz w:val="18"/>
        </w:rPr>
        <w:t xml:space="preserve">[16] Saudi Vision 2030. Human Capability Development Program. </w:t>
      </w:r>
      <w:hyperlink r:id="rId23">
        <w:r>
          <w:rPr>
            <w:color w:val="2D5B88"/>
            <w:sz w:val="19"/>
          </w:rPr>
          <w:t>Access source</w:t>
        </w:r>
      </w:hyperlink>
    </w:p>
    <w:p w14:paraId="67EBB87A" w14:textId="77777777" w:rsidR="002C77BF" w:rsidRDefault="007928D1">
      <w:pPr>
        <w:spacing w:after="80"/>
        <w:ind w:left="216" w:hanging="216"/>
      </w:pPr>
      <w:r>
        <w:rPr>
          <w:sz w:val="18"/>
        </w:rPr>
        <w:t xml:space="preserve">[17] Harvard Gazette. Professor tailored AI tutor to physics course; engagement doubled. </w:t>
      </w:r>
      <w:hyperlink r:id="rId24">
        <w:r>
          <w:rPr>
            <w:color w:val="2D5B88"/>
            <w:sz w:val="19"/>
          </w:rPr>
          <w:t>Access source</w:t>
        </w:r>
      </w:hyperlink>
    </w:p>
    <w:p w14:paraId="59111D60" w14:textId="77777777" w:rsidR="002C77BF" w:rsidRDefault="007928D1">
      <w:pPr>
        <w:spacing w:after="80"/>
        <w:ind w:left="216" w:hanging="216"/>
      </w:pPr>
      <w:r>
        <w:rPr>
          <w:sz w:val="18"/>
        </w:rPr>
        <w:t xml:space="preserve">[18] Yale University. AI for Teaching and Learning 2026. </w:t>
      </w:r>
      <w:hyperlink r:id="rId25">
        <w:r>
          <w:rPr>
            <w:color w:val="2D5B88"/>
            <w:sz w:val="19"/>
          </w:rPr>
          <w:t>Access source</w:t>
        </w:r>
      </w:hyperlink>
    </w:p>
    <w:p w14:paraId="00A0CBCA" w14:textId="77777777" w:rsidR="002C77BF" w:rsidRDefault="007928D1">
      <w:pPr>
        <w:spacing w:after="80"/>
        <w:ind w:left="216" w:hanging="216"/>
      </w:pPr>
      <w:r>
        <w:rPr>
          <w:sz w:val="18"/>
        </w:rPr>
        <w:t xml:space="preserve">[19] MIT Open Learning. AI Use Cases for Teaching at MIT. </w:t>
      </w:r>
      <w:hyperlink r:id="rId26">
        <w:r>
          <w:rPr>
            <w:color w:val="2D5B88"/>
            <w:sz w:val="19"/>
          </w:rPr>
          <w:t>Access source</w:t>
        </w:r>
      </w:hyperlink>
    </w:p>
    <w:p w14:paraId="33B6A4AE" w14:textId="77777777" w:rsidR="002C77BF" w:rsidRDefault="007928D1">
      <w:pPr>
        <w:spacing w:after="80"/>
        <w:ind w:left="216" w:hanging="216"/>
      </w:pPr>
      <w:r>
        <w:rPr>
          <w:sz w:val="18"/>
        </w:rPr>
        <w:t xml:space="preserve">[20] Caltech. Point72 gift funds AI research program; scientist-trained agent example. </w:t>
      </w:r>
      <w:hyperlink r:id="rId27">
        <w:r>
          <w:rPr>
            <w:color w:val="2D5B88"/>
            <w:sz w:val="19"/>
          </w:rPr>
          <w:t>Access source</w:t>
        </w:r>
      </w:hyperlink>
    </w:p>
    <w:sectPr w:rsidR="002C77BF" w:rsidSect="00034616">
      <w:headerReference w:type="default" r:id="rId28"/>
      <w:footerReference w:type="default" r:id="rId29"/>
      <w:pgSz w:w="12240" w:h="15840"/>
      <w:pgMar w:top="1080" w:right="1224" w:bottom="1037"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43368D" w14:textId="77777777" w:rsidR="007928D1" w:rsidRDefault="007928D1">
      <w:pPr>
        <w:spacing w:after="0" w:line="240" w:lineRule="auto"/>
      </w:pPr>
      <w:r>
        <w:separator/>
      </w:r>
    </w:p>
  </w:endnote>
  <w:endnote w:type="continuationSeparator" w:id="0">
    <w:p w14:paraId="180E9464" w14:textId="77777777" w:rsidR="007928D1" w:rsidRDefault="00792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682FD7" w14:textId="77777777" w:rsidR="002C77BF" w:rsidRDefault="007928D1">
    <w:pPr>
      <w:pStyle w:val="Footer"/>
      <w:jc w:val="right"/>
    </w:pPr>
    <w:r>
      <w:rPr>
        <w:color w:val="627D98"/>
        <w:sz w:val="18"/>
      </w:rP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C27C1B" w14:textId="77777777" w:rsidR="007928D1" w:rsidRDefault="007928D1">
      <w:pPr>
        <w:spacing w:after="0" w:line="240" w:lineRule="auto"/>
      </w:pPr>
      <w:r>
        <w:separator/>
      </w:r>
    </w:p>
  </w:footnote>
  <w:footnote w:type="continuationSeparator" w:id="0">
    <w:p w14:paraId="645B1890" w14:textId="77777777" w:rsidR="007928D1" w:rsidRDefault="007928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06882D" w14:textId="77777777" w:rsidR="002C77BF" w:rsidRDefault="007928D1">
    <w:pPr>
      <w:pStyle w:val="Header"/>
      <w:jc w:val="right"/>
    </w:pPr>
    <w:r>
      <w:rPr>
        <w:b/>
        <w:color w:val="627D98"/>
        <w:sz w:val="17"/>
      </w:rPr>
      <w:t xml:space="preserve">POINT OF VIEW  |  AI IN </w:t>
    </w:r>
    <w:r>
      <w:rPr>
        <w:b/>
        <w:color w:val="627D98"/>
        <w:sz w:val="17"/>
      </w:rPr>
      <w:t>HIGHER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162486">
    <w:abstractNumId w:val="8"/>
  </w:num>
  <w:num w:numId="2" w16cid:durableId="296225523">
    <w:abstractNumId w:val="6"/>
  </w:num>
  <w:num w:numId="3" w16cid:durableId="409086070">
    <w:abstractNumId w:val="5"/>
  </w:num>
  <w:num w:numId="4" w16cid:durableId="1486166952">
    <w:abstractNumId w:val="4"/>
  </w:num>
  <w:num w:numId="5" w16cid:durableId="405036373">
    <w:abstractNumId w:val="7"/>
  </w:num>
  <w:num w:numId="6" w16cid:durableId="202207858">
    <w:abstractNumId w:val="3"/>
  </w:num>
  <w:num w:numId="7" w16cid:durableId="437722261">
    <w:abstractNumId w:val="2"/>
  </w:num>
  <w:num w:numId="8" w16cid:durableId="2097824734">
    <w:abstractNumId w:val="1"/>
  </w:num>
  <w:num w:numId="9" w16cid:durableId="1351373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6992"/>
    <w:rsid w:val="0015074B"/>
    <w:rsid w:val="0029639D"/>
    <w:rsid w:val="002C77BF"/>
    <w:rsid w:val="00326F90"/>
    <w:rsid w:val="007928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CBF98"/>
  <w14:defaultImageDpi w14:val="300"/>
  <w15:docId w15:val="{BE836B95-1A65-4609-8944-5A2DDBE24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243B53"/>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D5B8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68F87"/>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ecd.org/en/publications/oecd-digital-education-outlook-2026_062a7394-en.html" TargetMode="External"/><Relationship Id="rId13" Type="http://schemas.openxmlformats.org/officeDocument/2006/relationships/hyperlink" Target="https://provost.yale.edu/news/resources-teaching-and-learning-ai" TargetMode="External"/><Relationship Id="rId18" Type="http://schemas.openxmlformats.org/officeDocument/2006/relationships/hyperlink" Target="https://ai.gov.ae/strategy/" TargetMode="External"/><Relationship Id="rId26" Type="http://schemas.openxmlformats.org/officeDocument/2006/relationships/hyperlink" Target="https://openlearning.mit.edu/mit-faculty/residential-digital-innovations/ai-use-cases-teaching-mit" TargetMode="External"/><Relationship Id="rId3" Type="http://schemas.openxmlformats.org/officeDocument/2006/relationships/styles" Target="styles.xml"/><Relationship Id="rId21" Type="http://schemas.openxmlformats.org/officeDocument/2006/relationships/hyperlink" Target="https://sdaia.gov.sa/en/SDAIA/SdaiaStrategies/Pages/NationalStrategyForDataAndAI.aspx" TargetMode="External"/><Relationship Id="rId7" Type="http://schemas.openxmlformats.org/officeDocument/2006/relationships/endnotes" Target="endnotes.xml"/><Relationship Id="rId12" Type="http://schemas.openxmlformats.org/officeDocument/2006/relationships/hyperlink" Target="https://aimes.stanford.edu/" TargetMode="External"/><Relationship Id="rId17" Type="http://schemas.openxmlformats.org/officeDocument/2006/relationships/hyperlink" Target="https://ai.universityofcalifornia.edu/" TargetMode="External"/><Relationship Id="rId25" Type="http://schemas.openxmlformats.org/officeDocument/2006/relationships/hyperlink" Target="https://ai.yale.edu/ai-for-teaching-and-learning-2026" TargetMode="External"/><Relationship Id="rId2" Type="http://schemas.openxmlformats.org/officeDocument/2006/relationships/numbering" Target="numbering.xml"/><Relationship Id="rId16" Type="http://schemas.openxmlformats.org/officeDocument/2006/relationships/hyperlink" Target="https://www.ai4science.caltech.edu/" TargetMode="External"/><Relationship Id="rId20" Type="http://schemas.openxmlformats.org/officeDocument/2006/relationships/hyperlink" Target="https://www.moe.gov.ae/en/mediacenter/news/Pages/MOE-and-HBMSU-launch-the-National-AI-Upskilling-Programme-for-Teachers.aspx"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arvard.edu/ai/teaching-resources/" TargetMode="External"/><Relationship Id="rId24" Type="http://schemas.openxmlformats.org/officeDocument/2006/relationships/hyperlink" Target="https://news.harvard.edu/gazette/story/2024/09/professor-tailored-ai-tutor-to-physics-course-engagement-doubled/" TargetMode="External"/><Relationship Id="rId5" Type="http://schemas.openxmlformats.org/officeDocument/2006/relationships/webSettings" Target="webSettings.xml"/><Relationship Id="rId15" Type="http://schemas.openxmlformats.org/officeDocument/2006/relationships/hyperlink" Target="https://aiandeducation.mit.edu/" TargetMode="External"/><Relationship Id="rId23" Type="http://schemas.openxmlformats.org/officeDocument/2006/relationships/hyperlink" Target="https://www.vision2030.gov.sa/media/nfob33q5/hcdp_mv_en-1.pdf" TargetMode="External"/><Relationship Id="rId28" Type="http://schemas.openxmlformats.org/officeDocument/2006/relationships/header" Target="header1.xml"/><Relationship Id="rId10" Type="http://schemas.openxmlformats.org/officeDocument/2006/relationships/hyperlink" Target="https://www.weforum.org/publications/the-future-of-jobs-report-2025/" TargetMode="External"/><Relationship Id="rId19" Type="http://schemas.openxmlformats.org/officeDocument/2006/relationships/hyperlink" Target="https://www.moe.gov.ae/en/mediacenter/news/pages/Ministry-of-Education-launches-NOVA-project-to-advance-comprehensive-AI-driven-institutional-transformation-in-line-with-UA.aspx"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penknowledge.worldbank.org/bitstreams/f059007e-b630-4f78-8535-0f52c95a117d/download" TargetMode="External"/><Relationship Id="rId14" Type="http://schemas.openxmlformats.org/officeDocument/2006/relationships/hyperlink" Target="https://aiinteaching.caltech.edu/" TargetMode="External"/><Relationship Id="rId22" Type="http://schemas.openxmlformats.org/officeDocument/2006/relationships/hyperlink" Target="https://sdaia.gov.sa/en/Research/Pages/EducationIntelligence.aspx" TargetMode="External"/><Relationship Id="rId27" Type="http://schemas.openxmlformats.org/officeDocument/2006/relationships/hyperlink" Target="https://giving.caltech.edu/news/Point72-Gift-Funds-AI-Research-Program-at-Caltech"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2271</Words>
  <Characters>12949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Institution-Wide Agentic AI Operating System</dc:title>
  <dc:subject>A point of view on agentic AI in higher education</dc:subject>
  <dc:creator>Hisham Nofal</dc:creator>
  <cp:keywords>agentic AI, operating system, higher education, point of view, universities, UAE, Saudi Arabia</cp:keywords>
  <dc:description>generated by python-docx</dc:description>
  <cp:lastModifiedBy>Hisham Nofal</cp:lastModifiedBy>
  <cp:revision>2</cp:revision>
  <dcterms:created xsi:type="dcterms:W3CDTF">2026-09-07T09:03:00Z</dcterms:created>
  <dcterms:modified xsi:type="dcterms:W3CDTF">2026-09-07T09:03:00Z</dcterms:modified>
  <cp:category/>
</cp:coreProperties>
</file>