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9A45C"/>
          <w:sz w:val="15"/>
          <w:szCs w:val="15"/>
        </w:rPr>
        <w:t xml:space="preserve">ATELIER PEOPLE OPERATIONS</w:t>
      </w:r>
    </w:p>
    <w:p>
      <w:pPr>
        <w:spacing w:after="130"/>
      </w:pPr>
      <w:r>
        <w:rPr>
          <w:rFonts w:ascii="Arial" w:cs="Arial" w:eastAsia="Arial" w:hAnsi="Arial"/>
          <w:b/>
          <w:bCs/>
          <w:i w:val="false"/>
          <w:iCs w:val="false"/>
          <w:color w:val="12223B"/>
          <w:sz w:val="36"/>
          <w:szCs w:val="36"/>
        </w:rPr>
        <w:t xml:space="preserve">Adding a New Employee or Contractor</w:t>
      </w:r>
    </w:p>
    <w:p>
      <w:pPr>
        <w:spacing w:after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36175"/>
          <w:sz w:val="21"/>
          <w:szCs w:val="21"/>
        </w:rPr>
        <w:t xml:space="preserve">A practical, print-ready guide to choosing the right route, entering the record, completing onboarding, and giving the new joiner secure access.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5D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23B"/>
                <w:sz w:val="19"/>
                <w:szCs w:val="19"/>
              </w:rPr>
              <w:t xml:space="preserve">The short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Use Quick add for someone already hired or a historical joiner. Use the formal hiring flow for a new recruit so the candidate, offer, acceptance, invitation and onboarding history remain connected.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12223B"/>
          <w:sz w:val="21"/>
          <w:szCs w:val="21"/>
        </w:rPr>
        <w:t xml:space="preserve">Document purpose</w:t>
      </w:r>
    </w:p>
    <w:tbl>
      <w:tblPr>
        <w:tblW w:type="pct" w:w="100%"/>
        <w:tblBorders>
          <w:top w:val="single" w:color="CBD3DE" w:sz="5"/>
          <w:left w:val="single" w:color="CBD3DE" w:sz="5"/>
          <w:bottom w:val="single" w:color="CBD3DE" w:sz="5"/>
          <w:right w:val="single" w:color="CBD3DE" w:sz="5"/>
          <w:insideH w:val="single" w:color="DDE2E9" w:sz="4"/>
          <w:insideV w:val="single" w:color="DDE2E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25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Who can perform these actions?</w:t>
            </w:r>
          </w:p>
        </w:tc>
        <w:tc>
          <w:tcPr>
            <w:tcW w:type="dxa" w:w="125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Hiring is restricted to HR or a partner. Quick add and invitation creation are restricted to founding partners, partners, Finance or HR.</w:t>
            </w:r>
          </w:p>
        </w:tc>
      </w:tr>
      <w:tr>
        <w:trPr>
          <w:cantSplit/>
        </w:trPr>
        <w:tc>
          <w:tcPr>
            <w:tcW w:type="dxa" w:w="26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What is different for employees?</w:t>
            </w:r>
          </w:p>
        </w:tc>
        <w:tc>
          <w:tcPr>
            <w:tcW w:type="dxa" w:w="125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Employees can have a registered employing legal entity, statutory payroll details and the employee onboarding checklist.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What is different for contractors?</w:t>
            </w:r>
          </w:p>
        </w:tc>
        <w:tc>
          <w:tcPr>
            <w:tcW w:type="dxa" w:w="125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Contractors use a vendor entity and contractor onboarding checklist. They receive scoped access and do not use the employee employing-entity field.</w:t>
            </w:r>
          </w:p>
        </w:tc>
      </w:tr>
      <w:tr>
        <w:trPr>
          <w:cantSplit/>
        </w:trPr>
        <w:tc>
          <w:tcPr>
            <w:tcW w:type="dxa" w:w="26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What does Atelier never do?</w:t>
            </w:r>
          </w:p>
        </w:tc>
        <w:tc>
          <w:tcPr>
            <w:tcW w:type="dxa" w:w="125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It does not accept free-standing invitations, allow duplicate live roster emails, create a temporary password, or let general profile editing bypass audited pay/bank flows.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72033"/>
          <w:sz w:val="19"/>
          <w:szCs w:val="19"/>
        </w:rPr>
        <w:t xml:space="preserve"> </w:t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2223B"/>
          <w:sz w:val="27"/>
          <w:szCs w:val="27"/>
        </w:rPr>
        <w:t xml:space="preserve">1. Choose the correct route</w:t>
      </w:r>
    </w:p>
    <w:tbl>
      <w:tblPr>
        <w:tblW w:type="pct" w:w="100%"/>
        <w:tblBorders>
          <w:top w:val="single" w:color="CBD3DE" w:sz="5"/>
          <w:left w:val="single" w:color="CBD3DE" w:sz="5"/>
          <w:bottom w:val="single" w:color="CBD3DE" w:sz="5"/>
          <w:right w:val="single" w:color="CBD3DE" w:sz="5"/>
          <w:insideH w:val="single" w:color="DDE2E9" w:sz="4"/>
          <w:insideV w:val="single" w:color="DDE2E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44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Use it when</w:t>
            </w:r>
          </w:p>
        </w:tc>
        <w:tc>
          <w:tcPr>
            <w:tcW w:type="dxa" w:w="44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you start with</w:t>
            </w:r>
          </w:p>
        </w:tc>
        <w:tc>
          <w:tcPr>
            <w:tcW w:type="dxa" w:w="45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produces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Quick add</w:t>
            </w:r>
          </w:p>
        </w:tc>
        <w:tc>
          <w:tcPr>
            <w:tcW w:type="dxa" w:w="4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The person is already hired, or you are recording a historical joiner.</w:t>
            </w:r>
          </w:p>
        </w:tc>
        <w:tc>
          <w:tcPr>
            <w:tcW w:type="dxa" w:w="4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The person’s identity, work email and basic role details.</w:t>
            </w:r>
          </w:p>
        </w:tc>
        <w:tc>
          <w:tcPr>
            <w:tcW w:type="dxa" w:w="45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A live employee or contractor roster record; optional onboarding and optional portal login.</w:t>
            </w:r>
          </w:p>
        </w:tc>
      </w:tr>
      <w:tr>
        <w:trPr>
          <w:cantSplit/>
        </w:trPr>
        <w:tc>
          <w:tcPr>
            <w:tcW w:type="dxa" w:w="18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Formal hiring</w:t>
            </w:r>
          </w:p>
        </w:tc>
        <w:tc>
          <w:tcPr>
            <w:tcW w:type="dxa" w:w="44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You are recruiting a new person and want the hiring evidence connected to the final roster record.</w:t>
            </w:r>
          </w:p>
        </w:tc>
        <w:tc>
          <w:tcPr>
            <w:tcW w:type="dxa" w:w="44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Open role/candidate information and the hiring decision.</w:t>
            </w:r>
          </w:p>
        </w:tc>
        <w:tc>
          <w:tcPr>
            <w:tcW w:type="dxa" w:w="45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Candidate → offer → accepted offer → invitation → real roster record → onboarding → activation.</w:t>
            </w:r>
          </w:p>
        </w:tc>
      </w:tr>
    </w:tbl>
    <w:p>
      <w:pPr>
        <w:spacing w:after="80" w:before="110"/>
      </w:pPr>
      <w:r>
        <w:rPr>
          <w:rFonts w:ascii="Arial" w:cs="Arial" w:eastAsia="Arial" w:hAnsi="Arial"/>
          <w:b w:val="false"/>
          <w:bCs w:val="false"/>
          <w:i/>
          <w:iCs/>
          <w:color w:val="536175"/>
          <w:sz w:val="19"/>
          <w:szCs w:val="19"/>
        </w:rPr>
        <w:t xml:space="preserve">Important: partner-firm resources are not created through Quick add. They use the partner-firm registry and invitation route.</w:t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2223B"/>
          <w:sz w:val="27"/>
          <w:szCs w:val="27"/>
        </w:rPr>
        <w:t xml:space="preserve">2. Quick add — detailed step-by-step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36175"/>
          <w:sz w:val="19"/>
          <w:szCs w:val="19"/>
        </w:rPr>
        <w:t xml:space="preserve">This is the fastest route. It creates an employee or contractor directly in the roster without a candidate, offer or invitation prerequisite.</w:t>
      </w:r>
    </w:p>
    <w:tbl>
      <w:tblPr>
        <w:tblW w:type="pct" w:w="100%"/>
        <w:tblBorders>
          <w:top w:val="single" w:color="CBD3DE" w:sz="5"/>
          <w:left w:val="single" w:color="CBD3DE" w:sz="5"/>
          <w:bottom w:val="single" w:color="CBD3DE" w:sz="5"/>
          <w:right w:val="single" w:color="CBD3DE" w:sz="5"/>
          <w:insideH w:val="single" w:color="DDE2E9" w:sz="4"/>
          <w:insideV w:val="single" w:color="DDE2E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8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the person adding them does</w:t>
            </w:r>
          </w:p>
        </w:tc>
        <w:tc>
          <w:tcPr>
            <w:tcW w:type="dxa" w:w="48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Input rules and employee/contractor difference</w:t>
            </w:r>
          </w:p>
        </w:tc>
        <w:tc>
          <w:tcPr>
            <w:tcW w:type="dxa" w:w="40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Output from Atelier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1. Choose the route</w:t>
            </w:r>
          </w:p>
        </w:tc>
        <w:tc>
          <w:tcPr>
            <w:tcW w:type="dxa" w:w="4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Open People → People → Add person to the roster. Use Quick add only when the person is already hired or is a historical joiner. Formal recruits must use the hiring flow.</w:t>
            </w:r>
          </w:p>
        </w:tc>
        <w:tc>
          <w:tcPr>
            <w:tcW w:type="dxa" w:w="4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Select Employee or Contractor.</w:t>
            </w:r>
          </w:p>
        </w:tc>
        <w:tc>
          <w:tcPr>
            <w:tcW w:type="dxa" w:w="4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The form switches to the correct worker type and prepares the matching roster record.</w:t>
            </w:r>
          </w:p>
        </w:tc>
      </w:tr>
      <w:tr>
        <w:trPr>
          <w:cantSplit/>
        </w:trPr>
        <w:tc>
          <w:tcPr>
            <w:tcW w:type="dxa" w:w="19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2. Enter identity</w:t>
            </w:r>
          </w:p>
        </w:tc>
        <w:tc>
          <w:tcPr>
            <w:tcW w:type="dxa" w:w="48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First name and last name are required. Honorific, middle name and preferred name are optional. Enter a work email.</w:t>
            </w:r>
          </w:p>
        </w:tc>
        <w:tc>
          <w:tcPr>
            <w:tcW w:type="dxa" w:w="48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Work email must be valid and must not already belong to a live roster person. Names are stored as structured name fields.</w:t>
            </w:r>
          </w:p>
        </w:tc>
        <w:tc>
          <w:tcPr>
            <w:tcW w:type="dxa" w:w="4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A person identity is prepared. The email is normalised to lower case.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3. Enter role and location</w:t>
            </w:r>
          </w:p>
        </w:tc>
        <w:tc>
          <w:tcPr>
            <w:tcW w:type="dxa" w:w="4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Employee: job title, seniority, country and employing legal entity. Contractor: vendor entity, country and start date. Start date is optional but recommended.</w:t>
            </w:r>
          </w:p>
        </w:tc>
        <w:tc>
          <w:tcPr>
            <w:tcW w:type="dxa" w:w="4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Employees use a registered legal entity; free-text employing entities are rejected. A contractor does not receive an employing legal entity through Quick add.</w:t>
            </w:r>
          </w:p>
        </w:tc>
        <w:tc>
          <w:tcPr>
            <w:tcW w:type="dxa" w:w="4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The appropriate employee or contractor roster record is created. Default role/seniority for an employee is consultant when left blank.</w:t>
            </w:r>
          </w:p>
        </w:tc>
      </w:tr>
      <w:tr>
        <w:trPr>
          <w:cantSplit/>
        </w:trPr>
        <w:tc>
          <w:tcPr>
            <w:tcW w:type="dxa" w:w="19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4. Add reporting line</w:t>
            </w:r>
          </w:p>
        </w:tc>
        <w:tc>
          <w:tcPr>
            <w:tcW w:type="dxa" w:w="48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Optionally choose a manager from the manager list.</w:t>
            </w:r>
          </w:p>
        </w:tc>
        <w:tc>
          <w:tcPr>
            <w:tcW w:type="dxa" w:w="48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The manager must be an existing, non-deleted employee.</w:t>
            </w:r>
          </w:p>
        </w:tc>
        <w:tc>
          <w:tcPr>
            <w:tcW w:type="dxa" w:w="4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A reports-to relationship is recorded and audited. If no manager is selected, the person is added without one.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5. Decide the starting status</w:t>
            </w:r>
          </w:p>
        </w:tc>
        <w:tc>
          <w:tcPr>
            <w:tcW w:type="dxa" w:w="4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Tick Run the onboarding checklist if the person still needs pre-boarding tasks. Leave it unticked for an already-ready person or historical joiner.</w:t>
            </w:r>
          </w:p>
        </w:tc>
        <w:tc>
          <w:tcPr>
            <w:tcW w:type="dxa" w:w="4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Checked = status onboarding. Unchecked = status active.</w:t>
            </w:r>
          </w:p>
        </w:tc>
        <w:tc>
          <w:tcPr>
            <w:tcW w:type="dxa" w:w="4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If checked, Atelier creates the correct employee or contractor checklist. If unchecked, no checklist is created and the person starts active.</w:t>
            </w:r>
          </w:p>
        </w:tc>
      </w:tr>
      <w:tr>
        <w:trPr>
          <w:cantSplit/>
        </w:trPr>
        <w:tc>
          <w:tcPr>
            <w:tcW w:type="dxa" w:w="19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6. Decide whether to create access</w:t>
            </w:r>
          </w:p>
        </w:tc>
        <w:tc>
          <w:tcPr>
            <w:tcW w:type="dxa" w:w="48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Tick Send welcome invitation &amp; create portal login when the person should receive Atelier access now. It can be left unticked for a roster-only record.</w:t>
            </w:r>
          </w:p>
        </w:tc>
        <w:tc>
          <w:tcPr>
            <w:tcW w:type="dxa" w:w="48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Login creation is optional. It uses the same secure provisioning path as the onboarding page.</w:t>
            </w:r>
          </w:p>
        </w:tc>
        <w:tc>
          <w:tcPr>
            <w:tcW w:type="dxa" w:w="4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If selected, Atelier creates the login setup and returns a one-time activation link. If not selected, the roster record exists without a portal login.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7. Submit</w:t>
            </w:r>
          </w:p>
        </w:tc>
        <w:tc>
          <w:tcPr>
            <w:tcW w:type="dxa" w:w="4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Review the fields and choose Add to roster.</w:t>
            </w:r>
          </w:p>
        </w:tc>
        <w:tc>
          <w:tcPr>
            <w:tcW w:type="dxa" w:w="4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The action is restricted to founding partners, partners, Finance or HR. Duplicate email, invalid name, invalid date or unknown manager stops the save before the record is created.</w:t>
            </w:r>
          </w:p>
        </w:tc>
        <w:tc>
          <w:tcPr>
            <w:tcW w:type="dxa" w:w="4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A success card shows the person, worker type, status, onboarding ID if created, and login result if requested. The creation is written to the audit history.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72033"/>
          <w:sz w:val="19"/>
          <w:szCs w:val="19"/>
        </w:rPr>
        <w:t xml:space="preserve">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3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23B"/>
                <w:sz w:val="19"/>
                <w:szCs w:val="19"/>
              </w:rPr>
              <w:t xml:space="preserve">Quick-add login reminder: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The activation link is shown only once and expires after 72 hours. Share it through a secure channel. The joiner chooses their own password; no temporary password is sent.</w:t>
            </w:r>
          </w:p>
        </w:tc>
      </w:tr>
    </w:tbl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2223B"/>
          <w:sz w:val="27"/>
          <w:szCs w:val="27"/>
        </w:rPr>
        <w:t xml:space="preserve">3. Formal hiring — detailed step-by-step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36175"/>
          <w:sz w:val="19"/>
          <w:szCs w:val="19"/>
        </w:rPr>
        <w:t xml:space="preserve">Use this route for a new recruit. It preserves the chain of evidence and prevents an invitation from being created without a real hiring source.</w:t>
      </w:r>
    </w:p>
    <w:tbl>
      <w:tblPr>
        <w:tblW w:type="pct" w:w="100%"/>
        <w:tblBorders>
          <w:top w:val="single" w:color="CBD3DE" w:sz="5"/>
          <w:left w:val="single" w:color="CBD3DE" w:sz="5"/>
          <w:bottom w:val="single" w:color="CBD3DE" w:sz="5"/>
          <w:right w:val="single" w:color="CBD3DE" w:sz="5"/>
          <w:insideH w:val="single" w:color="DDE2E9" w:sz="4"/>
          <w:insideV w:val="single" w:color="DDE2E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50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43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Input / owner</w:t>
            </w:r>
          </w:p>
        </w:tc>
        <w:tc>
          <w:tcPr>
            <w:tcW w:type="dxa" w:w="43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1. Open a position (optional but recommended)</w:t>
            </w:r>
          </w:p>
        </w:tc>
        <w:tc>
          <w:tcPr>
            <w:tcW w:type="dxa" w:w="5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People → Hire → create an open role with title, jurisdiction, start date and any market/band information.</w:t>
            </w:r>
          </w:p>
        </w:tc>
        <w:tc>
          <w:tcPr>
            <w:tcW w:type="dxa" w:w="4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HR or a partner enters the role definition.</w:t>
            </w:r>
          </w:p>
        </w:tc>
        <w:tc>
          <w:tcPr>
            <w:tcW w:type="dxa" w:w="4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An open role is available to link candidates and gives the hiring record context.</w:t>
            </w:r>
          </w:p>
        </w:tc>
      </w:tr>
      <w:tr>
        <w:trPr>
          <w:cantSplit/>
        </w:trPr>
        <w:tc>
          <w:tcPr>
            <w:tcW w:type="dxa" w:w="19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2. Add the candidate</w:t>
            </w:r>
          </w:p>
        </w:tc>
        <w:tc>
          <w:tcPr>
            <w:tcW w:type="dxa" w:w="5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Enter candidate name, email/phone, CV or supporting documents, source, current role/employer and the open role if applicable.</w:t>
            </w:r>
          </w:p>
        </w:tc>
        <w:tc>
          <w:tcPr>
            <w:tcW w:type="dxa" w:w="43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The candidate starts in the sourcing pipeline. CV files are stored against the candidate record.</w:t>
            </w:r>
          </w:p>
        </w:tc>
        <w:tc>
          <w:tcPr>
            <w:tcW w:type="dxa" w:w="43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A candidate record is created and can move through the hiring stages.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3. Run interviews and record feedback</w:t>
            </w:r>
          </w:p>
        </w:tc>
        <w:tc>
          <w:tcPr>
            <w:tcW w:type="dxa" w:w="5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Schedule interview panels and record structured feedback.</w:t>
            </w:r>
          </w:p>
        </w:tc>
        <w:tc>
          <w:tcPr>
            <w:tcW w:type="dxa" w:w="4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The hiring team records the evidence used for the decision.</w:t>
            </w:r>
          </w:p>
        </w:tc>
        <w:tc>
          <w:tcPr>
            <w:tcW w:type="dxa" w:w="4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The candidate’s stage and interview record show whether the person is ready for an offer.</w:t>
            </w:r>
          </w:p>
        </w:tc>
      </w:tr>
      <w:tr>
        <w:trPr>
          <w:cantSplit/>
        </w:trPr>
        <w:tc>
          <w:tcPr>
            <w:tcW w:type="dxa" w:w="19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4. Draft the offer</w:t>
            </w:r>
          </w:p>
        </w:tc>
        <w:tc>
          <w:tcPr>
            <w:tcW w:type="dxa" w:w="5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Choose the candidate and enter role title, jurisdiction, start date and optional total compensation/market range.</w:t>
            </w:r>
          </w:p>
        </w:tc>
        <w:tc>
          <w:tcPr>
            <w:tcW w:type="dxa" w:w="43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Only HR or a partner can manage hiring. Atelier keeps the offer linked to the candidate.</w:t>
            </w:r>
          </w:p>
        </w:tc>
        <w:tc>
          <w:tcPr>
            <w:tcW w:type="dxa" w:w="43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An offer is created with status draft.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5. Send and accept the offer</w:t>
            </w:r>
          </w:p>
        </w:tc>
        <w:tc>
          <w:tcPr>
            <w:tcW w:type="dxa" w:w="5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Update the offer status through the hiring screen. Move it to sent, then accepted when the candidate has accepted.</w:t>
            </w:r>
          </w:p>
        </w:tc>
        <w:tc>
          <w:tcPr>
            <w:tcW w:type="dxa" w:w="4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An invitation cannot be created from an offer until its status is accepted. An accepted offer also moves the candidate into the hired stage.</w:t>
            </w:r>
          </w:p>
        </w:tc>
        <w:tc>
          <w:tcPr>
            <w:tcW w:type="dxa" w:w="4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The accepted offer becomes a valid source for the invitation step.</w:t>
            </w:r>
          </w:p>
        </w:tc>
      </w:tr>
      <w:tr>
        <w:trPr>
          <w:cantSplit/>
        </w:trPr>
        <w:tc>
          <w:tcPr>
            <w:tcW w:type="dxa" w:w="19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6. Send the invitation</w:t>
            </w:r>
          </w:p>
        </w:tc>
        <w:tc>
          <w:tcPr>
            <w:tcW w:type="dxa" w:w="5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From the accepted offer, choose Send invitation. Confirm worker type, structured name, work email, country, start date and (for employees) a registered employing legal entity.</w:t>
            </w:r>
          </w:p>
        </w:tc>
        <w:tc>
          <w:tcPr>
            <w:tcW w:type="dxa" w:w="43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An invitation must have a valid source: hired candidate, accepted offer or active partner-firm resource. It expires in 1–60 days; the default is 14 days.</w:t>
            </w:r>
          </w:p>
        </w:tc>
        <w:tc>
          <w:tcPr>
            <w:tcW w:type="dxa" w:w="43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The invitation is recorded as sent, audited, and a draft onboarding sequence starts immediately so pre-arrival work can begin.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7. Candidate accepts</w:t>
            </w:r>
          </w:p>
        </w:tc>
        <w:tc>
          <w:tcPr>
            <w:tcW w:type="dxa" w:w="5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The invitee follows the invitation/acceptance process.</w:t>
            </w:r>
          </w:p>
        </w:tc>
        <w:tc>
          <w:tcPr>
            <w:tcW w:type="dxa" w:w="4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At acceptance, Atelier materialises the employee or contractor roster record from the invitation draft and binds the draft onboarding sequence to the real person.</w:t>
            </w:r>
          </w:p>
        </w:tc>
        <w:tc>
          <w:tcPr>
            <w:tcW w:type="dxa" w:w="4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A real roster person ID is created and the onboarding record no longer points to a draft invitation.</w:t>
            </w:r>
          </w:p>
        </w:tc>
      </w:tr>
      <w:tr>
        <w:trPr>
          <w:cantSplit/>
        </w:trPr>
        <w:tc>
          <w:tcPr>
            <w:tcW w:type="dxa" w:w="19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8. Work through onboarding</w:t>
            </w:r>
          </w:p>
        </w:tc>
        <w:tc>
          <w:tcPr>
            <w:tcW w:type="dxa" w:w="5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Open People → Onboarding. For each checklist item, the assigned owner marks it done or records a block reason.</w:t>
            </w:r>
          </w:p>
        </w:tc>
        <w:tc>
          <w:tcPr>
            <w:tcW w:type="dxa" w:w="43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Compliance gates keep the sequence open while blocked. The page shows owner, due date, status and progress.</w:t>
            </w:r>
          </w:p>
        </w:tc>
        <w:tc>
          <w:tcPr>
            <w:tcW w:type="dxa" w:w="43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The person moves toward a complete onboarding record. A blocked item remains visible rather than being silently skipped.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9. Create portal login last</w:t>
            </w:r>
          </w:p>
        </w:tc>
        <w:tc>
          <w:tcPr>
            <w:tcW w:type="dxa" w:w="5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On the final Portal login created step, choose Create login. Optionally skip the Microsoft email address or select the employee/contractor Microsoft service profile.</w:t>
            </w:r>
          </w:p>
        </w:tc>
        <w:tc>
          <w:tcPr>
            <w:tcW w:type="dxa" w:w="4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This is the final pre-boarding action. The shared provisioning path creates a placeholder credential, a one-time token valid for 72 hours, welcome email attempt and optional Microsoft provisioning.</w:t>
            </w:r>
          </w:p>
        </w:tc>
        <w:tc>
          <w:tcPr>
            <w:tcW w:type="dxa" w:w="4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Atelier returns an activation URL once. The login step is completed when provisioning succeeds.</w:t>
            </w:r>
          </w:p>
        </w:tc>
      </w:tr>
      <w:tr>
        <w:trPr>
          <w:cantSplit/>
        </w:trPr>
        <w:tc>
          <w:tcPr>
            <w:tcW w:type="dxa" w:w="19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10. Employee/contractor activates</w:t>
            </w:r>
          </w:p>
        </w:tc>
        <w:tc>
          <w:tcPr>
            <w:tcW w:type="dxa" w:w="5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Share the one-time activation link securely. The joiner opens it and chooses their own password.</w:t>
            </w:r>
          </w:p>
        </w:tc>
        <w:tc>
          <w:tcPr>
            <w:tcW w:type="dxa" w:w="43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The token is single-use and expires after 72 hours. Atelier never emails or displays a temporary password.</w:t>
            </w:r>
          </w:p>
        </w:tc>
        <w:tc>
          <w:tcPr>
            <w:tcW w:type="dxa" w:w="43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The joiner can sign in after activation. If the link expires, HR/Operations must use the supported recovery/provisioning path.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72033"/>
          <w:sz w:val="19"/>
          <w:szCs w:val="19"/>
        </w:rPr>
        <w:t xml:space="preserve"> </w:t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2223B"/>
          <w:sz w:val="27"/>
          <w:szCs w:val="27"/>
        </w:rPr>
        <w:t xml:space="preserve">4. Onboarding checklist — employee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36175"/>
          <w:sz w:val="19"/>
          <w:szCs w:val="19"/>
        </w:rPr>
        <w:t xml:space="preserve">The employee sequence has eight steps. A compliance gate keeps onboarding open when the required evidence is missing or blocked.</w:t>
      </w:r>
    </w:p>
    <w:tbl>
      <w:tblPr>
        <w:tblW w:type="pct" w:w="100%"/>
        <w:tblBorders>
          <w:top w:val="single" w:color="CBD3DE" w:sz="5"/>
          <w:left w:val="single" w:color="CBD3DE" w:sz="5"/>
          <w:bottom w:val="single" w:color="CBD3DE" w:sz="5"/>
          <w:right w:val="single" w:color="CBD3DE" w:sz="5"/>
          <w:insideH w:val="single" w:color="DDE2E9" w:sz="4"/>
          <w:insideV w:val="single" w:color="DDE2E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Checklist step</w:t>
            </w:r>
          </w:p>
        </w:tc>
        <w:tc>
          <w:tcPr>
            <w:tcW w:type="dxa" w:w="68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Explanation</w:t>
            </w:r>
          </w:p>
        </w:tc>
        <w:tc>
          <w:tcPr>
            <w:tcW w:type="dxa" w:w="20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2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Gate?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Contract signed</w:t>
            </w:r>
          </w:p>
        </w:tc>
        <w:tc>
          <w:tcPr>
            <w:tcW w:type="dxa" w:w="6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Countersigned employment contract on file.</w:t>
            </w:r>
          </w:p>
        </w:tc>
        <w:tc>
          <w:tcPr>
            <w:tcW w:type="dxa" w:w="2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Partner</w:t>
            </w:r>
          </w:p>
        </w:tc>
        <w:tc>
          <w:tcPr>
            <w:tcW w:type="dxa" w:w="1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Day 0</w:t>
            </w:r>
          </w:p>
        </w:tc>
        <w:tc>
          <w:tcPr>
            <w:tcW w:type="dxa" w:w="1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Right-to-work / visa verified</w:t>
            </w:r>
          </w:p>
        </w:tc>
        <w:tc>
          <w:tcPr>
            <w:tcW w:type="dxa" w:w="68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Passport, residency/visa status and work permit checked and recorded.</w:t>
            </w:r>
          </w:p>
        </w:tc>
        <w:tc>
          <w:tcPr>
            <w:tcW w:type="dxa" w:w="2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HR</w:t>
            </w:r>
          </w:p>
        </w:tc>
        <w:tc>
          <w:tcPr>
            <w:tcW w:type="dxa" w:w="12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Day 0</w:t>
            </w:r>
          </w:p>
        </w:tc>
        <w:tc>
          <w:tcPr>
            <w:tcW w:type="dxa" w:w="12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IT account, email &amp; SSO provisioned</w:t>
            </w:r>
          </w:p>
        </w:tc>
        <w:tc>
          <w:tcPr>
            <w:tcW w:type="dxa" w:w="6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Corporate email, SSO identity, MFA enrolment and core tool access.</w:t>
            </w:r>
          </w:p>
        </w:tc>
        <w:tc>
          <w:tcPr>
            <w:tcW w:type="dxa" w:w="2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HR</w:t>
            </w:r>
          </w:p>
        </w:tc>
        <w:tc>
          <w:tcPr>
            <w:tcW w:type="dxa" w:w="1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Day 2</w:t>
            </w:r>
          </w:p>
        </w:tc>
        <w:tc>
          <w:tcPr>
            <w:tcW w:type="dxa" w:w="1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Payroll &amp; bank details registered</w:t>
            </w:r>
          </w:p>
        </w:tc>
        <w:tc>
          <w:tcPr>
            <w:tcW w:type="dxa" w:w="68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Payroll enrolment, including GOSI/WPS where applicable, and verified bank details.</w:t>
            </w:r>
          </w:p>
        </w:tc>
        <w:tc>
          <w:tcPr>
            <w:tcW w:type="dxa" w:w="2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HR</w:t>
            </w:r>
          </w:p>
        </w:tc>
        <w:tc>
          <w:tcPr>
            <w:tcW w:type="dxa" w:w="12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Day 2</w:t>
            </w:r>
          </w:p>
        </w:tc>
        <w:tc>
          <w:tcPr>
            <w:tcW w:type="dxa" w:w="12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Policies acknowledged</w:t>
            </w:r>
          </w:p>
        </w:tc>
        <w:tc>
          <w:tcPr>
            <w:tcW w:type="dxa" w:w="6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Code of conduct, confidentiality, IT security and expenses policies signed off.</w:t>
            </w:r>
          </w:p>
        </w:tc>
        <w:tc>
          <w:tcPr>
            <w:tcW w:type="dxa" w:w="2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HR</w:t>
            </w:r>
          </w:p>
        </w:tc>
        <w:tc>
          <w:tcPr>
            <w:tcW w:type="dxa" w:w="1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Day 3</w:t>
            </w:r>
          </w:p>
        </w:tc>
        <w:tc>
          <w:tcPr>
            <w:tcW w:type="dxa" w:w="1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Buddy &amp; manager introductions</w:t>
            </w:r>
          </w:p>
        </w:tc>
        <w:tc>
          <w:tcPr>
            <w:tcW w:type="dxa" w:w="68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Buddy assigned; manager intro and first-week schedule booked.</w:t>
            </w:r>
          </w:p>
        </w:tc>
        <w:tc>
          <w:tcPr>
            <w:tcW w:type="dxa" w:w="2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Senior manager</w:t>
            </w:r>
          </w:p>
        </w:tc>
        <w:tc>
          <w:tcPr>
            <w:tcW w:type="dxa" w:w="12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Day 5</w:t>
            </w:r>
          </w:p>
        </w:tc>
        <w:tc>
          <w:tcPr>
            <w:tcW w:type="dxa" w:w="12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Workspace ready</w:t>
            </w:r>
          </w:p>
        </w:tc>
        <w:tc>
          <w:tcPr>
            <w:tcW w:type="dxa" w:w="6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Equipment issued/shipped and desk or remote setup confirmed.</w:t>
            </w:r>
          </w:p>
        </w:tc>
        <w:tc>
          <w:tcPr>
            <w:tcW w:type="dxa" w:w="2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HR</w:t>
            </w:r>
          </w:p>
        </w:tc>
        <w:tc>
          <w:tcPr>
            <w:tcW w:type="dxa" w:w="1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Day 5</w:t>
            </w:r>
          </w:p>
        </w:tc>
        <w:tc>
          <w:tcPr>
            <w:tcW w:type="dxa" w:w="1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Portal login created</w:t>
            </w:r>
          </w:p>
        </w:tc>
        <w:tc>
          <w:tcPr>
            <w:tcW w:type="dxa" w:w="68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Create the portal login as the final pre-boarding step.</w:t>
            </w:r>
          </w:p>
        </w:tc>
        <w:tc>
          <w:tcPr>
            <w:tcW w:type="dxa" w:w="2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HR</w:t>
            </w:r>
          </w:p>
        </w:tc>
        <w:tc>
          <w:tcPr>
            <w:tcW w:type="dxa" w:w="12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Day 7</w:t>
            </w:r>
          </w:p>
        </w:tc>
        <w:tc>
          <w:tcPr>
            <w:tcW w:type="dxa" w:w="12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No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72033"/>
          <w:sz w:val="19"/>
          <w:szCs w:val="19"/>
        </w:rPr>
        <w:t xml:space="preserve"> </w:t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2223B"/>
          <w:sz w:val="27"/>
          <w:szCs w:val="27"/>
        </w:rPr>
        <w:t xml:space="preserve">5. Onboarding checklist — contractor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36175"/>
          <w:sz w:val="19"/>
          <w:szCs w:val="19"/>
        </w:rPr>
        <w:t xml:space="preserve">The contractor sequence has seven steps and focuses on agreements, conflicts, vendor/AP setup, scoped access and engagement readiness.</w:t>
      </w:r>
    </w:p>
    <w:tbl>
      <w:tblPr>
        <w:tblW w:type="pct" w:w="100%"/>
        <w:tblBorders>
          <w:top w:val="single" w:color="CBD3DE" w:sz="5"/>
          <w:left w:val="single" w:color="CBD3DE" w:sz="5"/>
          <w:bottom w:val="single" w:color="CBD3DE" w:sz="5"/>
          <w:right w:val="single" w:color="CBD3DE" w:sz="5"/>
          <w:insideH w:val="single" w:color="DDE2E9" w:sz="4"/>
          <w:insideV w:val="single" w:color="DDE2E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Checklist step</w:t>
            </w:r>
          </w:p>
        </w:tc>
        <w:tc>
          <w:tcPr>
            <w:tcW w:type="dxa" w:w="68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Explanation</w:t>
            </w:r>
          </w:p>
        </w:tc>
        <w:tc>
          <w:tcPr>
            <w:tcW w:type="dxa" w:w="20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2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Gate?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NDA &amp; MSA signed</w:t>
            </w:r>
          </w:p>
        </w:tc>
        <w:tc>
          <w:tcPr>
            <w:tcW w:type="dxa" w:w="6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Non-disclosure and master services agreements executed.</w:t>
            </w:r>
          </w:p>
        </w:tc>
        <w:tc>
          <w:tcPr>
            <w:tcW w:type="dxa" w:w="2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HR</w:t>
            </w:r>
          </w:p>
        </w:tc>
        <w:tc>
          <w:tcPr>
            <w:tcW w:type="dxa" w:w="1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Day 0</w:t>
            </w:r>
          </w:p>
        </w:tc>
        <w:tc>
          <w:tcPr>
            <w:tcW w:type="dxa" w:w="1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Conflicts of interest disclosed</w:t>
            </w:r>
          </w:p>
        </w:tc>
        <w:tc>
          <w:tcPr>
            <w:tcW w:type="dxa" w:w="68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Conflict disclosure captured and cleared.</w:t>
            </w:r>
          </w:p>
        </w:tc>
        <w:tc>
          <w:tcPr>
            <w:tcW w:type="dxa" w:w="2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HR</w:t>
            </w:r>
          </w:p>
        </w:tc>
        <w:tc>
          <w:tcPr>
            <w:tcW w:type="dxa" w:w="12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Day 0</w:t>
            </w:r>
          </w:p>
        </w:tc>
        <w:tc>
          <w:tcPr>
            <w:tcW w:type="dxa" w:w="12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Vendor &amp; AP setup</w:t>
            </w:r>
          </w:p>
        </w:tc>
        <w:tc>
          <w:tcPr>
            <w:tcW w:type="dxa" w:w="6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Vendor entity registered with accounts payable; payment terms agreed.</w:t>
            </w:r>
          </w:p>
        </w:tc>
        <w:tc>
          <w:tcPr>
            <w:tcW w:type="dxa" w:w="2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HR</w:t>
            </w:r>
          </w:p>
        </w:tc>
        <w:tc>
          <w:tcPr>
            <w:tcW w:type="dxa" w:w="1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Day 1</w:t>
            </w:r>
          </w:p>
        </w:tc>
        <w:tc>
          <w:tcPr>
            <w:tcW w:type="dxa" w:w="1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Limited SSO provisioned</w:t>
            </w:r>
          </w:p>
        </w:tc>
        <w:tc>
          <w:tcPr>
            <w:tcW w:type="dxa" w:w="68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Scoped access to only the tools required for the engagement.</w:t>
            </w:r>
          </w:p>
        </w:tc>
        <w:tc>
          <w:tcPr>
            <w:tcW w:type="dxa" w:w="2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HR</w:t>
            </w:r>
          </w:p>
        </w:tc>
        <w:tc>
          <w:tcPr>
            <w:tcW w:type="dxa" w:w="12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Day 2</w:t>
            </w:r>
          </w:p>
        </w:tc>
        <w:tc>
          <w:tcPr>
            <w:tcW w:type="dxa" w:w="12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Invoice cadence agreed</w:t>
            </w:r>
          </w:p>
        </w:tc>
        <w:tc>
          <w:tcPr>
            <w:tcW w:type="dxa" w:w="6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Invoicing schedule, rate and approval chain confirmed.</w:t>
            </w:r>
          </w:p>
        </w:tc>
        <w:tc>
          <w:tcPr>
            <w:tcW w:type="dxa" w:w="2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HR</w:t>
            </w:r>
          </w:p>
        </w:tc>
        <w:tc>
          <w:tcPr>
            <w:tcW w:type="dxa" w:w="1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Day 3</w:t>
            </w:r>
          </w:p>
        </w:tc>
        <w:tc>
          <w:tcPr>
            <w:tcW w:type="dxa" w:w="1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Engagement scope briefed</w:t>
            </w:r>
          </w:p>
        </w:tc>
        <w:tc>
          <w:tcPr>
            <w:tcW w:type="dxa" w:w="68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Scope of work, deliverables and ways of working walked through.</w:t>
            </w:r>
          </w:p>
        </w:tc>
        <w:tc>
          <w:tcPr>
            <w:tcW w:type="dxa" w:w="2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Senior manager</w:t>
            </w:r>
          </w:p>
        </w:tc>
        <w:tc>
          <w:tcPr>
            <w:tcW w:type="dxa" w:w="12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Day 3</w:t>
            </w:r>
          </w:p>
        </w:tc>
        <w:tc>
          <w:tcPr>
            <w:tcW w:type="dxa" w:w="12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Portal login created</w:t>
            </w:r>
          </w:p>
        </w:tc>
        <w:tc>
          <w:tcPr>
            <w:tcW w:type="dxa" w:w="6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Create the portal login as the final pre-boarding step.</w:t>
            </w:r>
          </w:p>
        </w:tc>
        <w:tc>
          <w:tcPr>
            <w:tcW w:type="dxa" w:w="2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HR</w:t>
            </w:r>
          </w:p>
        </w:tc>
        <w:tc>
          <w:tcPr>
            <w:tcW w:type="dxa" w:w="1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Day 4</w:t>
            </w:r>
          </w:p>
        </w:tc>
        <w:tc>
          <w:tcPr>
            <w:tcW w:type="dxa" w:w="1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No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72033"/>
          <w:sz w:val="19"/>
          <w:szCs w:val="19"/>
        </w:rPr>
        <w:t xml:space="preserve"> </w:t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2223B"/>
          <w:sz w:val="27"/>
          <w:szCs w:val="27"/>
        </w:rPr>
        <w:t xml:space="preserve">6. What to prepare before starting</w:t>
      </w:r>
    </w:p>
    <w:tbl>
      <w:tblPr>
        <w:tblW w:type="pct" w:w="100%"/>
        <w:tblBorders>
          <w:top w:val="single" w:color="CBD3DE" w:sz="5"/>
          <w:left w:val="single" w:color="CBD3DE" w:sz="5"/>
          <w:bottom w:val="single" w:color="CBD3DE" w:sz="5"/>
          <w:right w:val="single" w:color="CBD3DE" w:sz="5"/>
          <w:insideH w:val="single" w:color="DDE2E9" w:sz="4"/>
          <w:insideV w:val="single" w:color="DDE2E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5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 an employee</w:t>
            </w:r>
          </w:p>
        </w:tc>
        <w:tc>
          <w:tcPr>
            <w:tcW w:type="dxa" w:w="55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 a contractor</w:t>
            </w:r>
          </w:p>
        </w:tc>
        <w:tc>
          <w:tcPr>
            <w:tcW w:type="dxa" w:w="55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 both</w:t>
            </w:r>
          </w:p>
        </w:tc>
      </w:tr>
      <w:tr>
        <w:trPr>
          <w:cantSplit/>
        </w:trPr>
        <w:tc>
          <w:tcPr>
            <w:tcW w:type="dxa" w:w="55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• Full legal name and work email
• Country/location
• Job title and seniority
• Start date
• Registered employing legal entity
• Signed employment contract
• Right-to-work / visa evidence
• Payroll and verified bank details before payroll processing</w:t>
            </w:r>
          </w:p>
        </w:tc>
        <w:tc>
          <w:tcPr>
            <w:tcW w:type="dxa" w:w="55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• Full legal name and work email
• Country/location
• Vendor entity
• Start date and engagement scope
• Signed NDA and MSA
• Conflict disclosure
• Invoice cadence, rate and approval chain</w:t>
            </w:r>
          </w:p>
        </w:tc>
        <w:tc>
          <w:tcPr>
            <w:tcW w:type="dxa" w:w="55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• Manager, if known
• Whether to run onboarding
• Whether to create an Atelier login
• Whether to provision Microsoft services
• Secure way to share the one-time activation link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72033"/>
          <w:sz w:val="19"/>
          <w:szCs w:val="19"/>
        </w:rPr>
        <w:t xml:space="preserve">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ECEC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23B"/>
                <w:sz w:val="19"/>
                <w:szCs w:val="19"/>
              </w:rPr>
              <w:t xml:space="preserve">Money and bank details: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Do not use the general person form to change pay or bank information after creation. Those values stay behind the dedicated Finance and HR-approved flows so there is one audited write path.</w:t>
            </w:r>
          </w:p>
        </w:tc>
      </w:tr>
    </w:tbl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2223B"/>
          <w:sz w:val="27"/>
          <w:szCs w:val="27"/>
        </w:rPr>
        <w:t xml:space="preserve">7. Expected results and common stops</w:t>
      </w:r>
    </w:p>
    <w:tbl>
      <w:tblPr>
        <w:tblW w:type="pct" w:w="100%"/>
        <w:tblBorders>
          <w:top w:val="single" w:color="CBD3DE" w:sz="5"/>
          <w:left w:val="single" w:color="CBD3DE" w:sz="5"/>
          <w:bottom w:val="single" w:color="CBD3DE" w:sz="5"/>
          <w:right w:val="single" w:color="CBD3DE" w:sz="5"/>
          <w:insideH w:val="single" w:color="DDE2E9" w:sz="4"/>
          <w:insideV w:val="single" w:color="DDE2E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Situation</w:t>
            </w:r>
          </w:p>
        </w:tc>
        <w:tc>
          <w:tcPr>
            <w:tcW w:type="dxa" w:w="69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Atelier does</w:t>
            </w:r>
          </w:p>
        </w:tc>
        <w:tc>
          <w:tcPr>
            <w:tcW w:type="dxa" w:w="6000"/>
            <w:shd w:fill="1222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to do next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Duplicate work email</w:t>
            </w:r>
          </w:p>
        </w:tc>
        <w:tc>
          <w:tcPr>
            <w:tcW w:type="dxa" w:w="6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Stops with “A roster person with this email already exists.”</w:t>
            </w:r>
          </w:p>
        </w:tc>
        <w:tc>
          <w:tcPr>
            <w:tcW w:type="dxa" w:w="6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Open the existing person rather than creating a second record.</w:t>
            </w:r>
          </w:p>
        </w:tc>
      </w:tr>
      <w:tr>
        <w:trPr>
          <w:cantSplit/>
        </w:trPr>
        <w:tc>
          <w:tcPr>
            <w:tcW w:type="dxa" w:w="36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No valid hiring source</w:t>
            </w:r>
          </w:p>
        </w:tc>
        <w:tc>
          <w:tcPr>
            <w:tcW w:type="dxa" w:w="69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Rejects the invitation. Free-standing invitations are not allowed.</w:t>
            </w:r>
          </w:p>
        </w:tc>
        <w:tc>
          <w:tcPr>
            <w:tcW w:type="dxa" w:w="6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Create or locate the hired candidate, accepted offer or active partner-firm resource first.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Unknown manager</w:t>
            </w:r>
          </w:p>
        </w:tc>
        <w:tc>
          <w:tcPr>
            <w:tcW w:type="dxa" w:w="6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Stops the Quick add before saving.</w:t>
            </w:r>
          </w:p>
        </w:tc>
        <w:tc>
          <w:tcPr>
            <w:tcW w:type="dxa" w:w="6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Select an existing, non-deleted employee as manager, or leave manager blank.</w:t>
            </w:r>
          </w:p>
        </w:tc>
      </w:tr>
      <w:tr>
        <w:trPr>
          <w:cantSplit/>
        </w:trPr>
        <w:tc>
          <w:tcPr>
            <w:tcW w:type="dxa" w:w="36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Employee legal entity missing/invalid</w:t>
            </w:r>
          </w:p>
        </w:tc>
        <w:tc>
          <w:tcPr>
            <w:tcW w:type="dxa" w:w="69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Rejects the employee invitation or Quick add when an invalid entity is supplied.</w:t>
            </w:r>
          </w:p>
        </w:tc>
        <w:tc>
          <w:tcPr>
            <w:tcW w:type="dxa" w:w="6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Select a registered active legal entity. Do not type a free-text entity.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Onboarding task is blocked</w:t>
            </w:r>
          </w:p>
        </w:tc>
        <w:tc>
          <w:tcPr>
            <w:tcW w:type="dxa" w:w="6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Keeps the sequence open and displays the block reason.</w:t>
            </w:r>
          </w:p>
        </w:tc>
        <w:tc>
          <w:tcPr>
            <w:tcW w:type="dxa" w:w="6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Resolve the evidence or dependency, then mark the step done.</w:t>
            </w:r>
          </w:p>
        </w:tc>
      </w:tr>
      <w:tr>
        <w:trPr>
          <w:cantSplit/>
        </w:trPr>
        <w:tc>
          <w:tcPr>
            <w:tcW w:type="dxa" w:w="36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Login creation fails</w:t>
            </w:r>
          </w:p>
        </w:tc>
        <w:tc>
          <w:tcPr>
            <w:tcW w:type="dxa" w:w="69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Keeps the roster person; reports the login problem instead of rolling back the person.</w:t>
            </w:r>
          </w:p>
        </w:tc>
        <w:tc>
          <w:tcPr>
            <w:tcW w:type="dxa" w:w="6000"/>
            <w:shd w:fill="F3F5F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Retry from Onboarding after correcting the issue. The person record is not silently lost.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Activation link expires</w:t>
            </w:r>
          </w:p>
        </w:tc>
        <w:tc>
          <w:tcPr>
            <w:tcW w:type="dxa" w:w="6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The single-use 72-hour token can no longer be used.</w:t>
            </w:r>
          </w:p>
        </w:tc>
        <w:tc>
          <w:tcPr>
            <w:tcW w:type="dxa" w:w="60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19"/>
                <w:szCs w:val="19"/>
              </w:rPr>
              <w:t xml:space="preserve">Ask the authorised onboarding owner to use the supported login provisioning/recovery path.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72033"/>
          <w:sz w:val="19"/>
          <w:szCs w:val="19"/>
        </w:rPr>
        <w:t xml:space="preserve"> </w:t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2223B"/>
          <w:sz w:val="27"/>
          <w:szCs w:val="27"/>
        </w:rPr>
        <w:t xml:space="preserve">8. Final operating checklist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33"/>
          <w:sz w:val="19"/>
          <w:szCs w:val="19"/>
        </w:rPr>
        <w:t xml:space="preserve">Confirm the person is being added as Employee or Contractor — not a partner-firm resource.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33"/>
          <w:sz w:val="19"/>
          <w:szCs w:val="19"/>
        </w:rPr>
        <w:t xml:space="preserve">Confirm the work email is correct and not already on the roster.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33"/>
          <w:sz w:val="19"/>
          <w:szCs w:val="19"/>
        </w:rPr>
        <w:t xml:space="preserve">For a formal recruit, confirm the candidate is hired and the offer is accepted before sending the invitation.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33"/>
          <w:sz w:val="19"/>
          <w:szCs w:val="19"/>
        </w:rPr>
        <w:t xml:space="preserve">For an employee, select the registered employing legal entity and prepare payroll/right-to-work evidence.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33"/>
          <w:sz w:val="19"/>
          <w:szCs w:val="19"/>
        </w:rPr>
        <w:t xml:space="preserve">For a contractor, prepare the vendor entity, NDA/MSA, conflict disclosure and invoice cadence.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33"/>
          <w:sz w:val="19"/>
          <w:szCs w:val="19"/>
        </w:rPr>
        <w:t xml:space="preserve">Choose whether the person should start as onboarding or active.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33"/>
          <w:sz w:val="19"/>
          <w:szCs w:val="19"/>
        </w:rPr>
        <w:t xml:space="preserve">Choose whether to create a portal login now or later.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33"/>
          <w:sz w:val="19"/>
          <w:szCs w:val="19"/>
        </w:rPr>
        <w:t xml:space="preserve">Share any one-time activation link securely and remind the joiner to set their own password.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33"/>
          <w:sz w:val="19"/>
          <w:szCs w:val="19"/>
        </w:rPr>
        <w:t xml:space="preserve">After saving, review the person page, onboarding progress and audit history.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72033"/>
          <w:sz w:val="19"/>
          <w:szCs w:val="19"/>
        </w:rPr>
        <w:t xml:space="preserve"> </w:t>
      </w:r>
    </w:p>
    <w:p>
      <w:pPr>
        <w:spacing w:before="180"/>
      </w:pPr>
      <w:r>
        <w:rPr>
          <w:rFonts w:ascii="Arial" w:cs="Arial" w:eastAsia="Arial" w:hAnsi="Arial"/>
          <w:b w:val="false"/>
          <w:bCs w:val="false"/>
          <w:i/>
          <w:iCs/>
          <w:color w:val="536175"/>
          <w:sz w:val="15"/>
          <w:szCs w:val="15"/>
        </w:rPr>
        <w:t xml:space="preserve">Source note: This guide reflects the current Atelier web screens and server rules as of 27 August 2026. It describes the employee and contractor flows; it does not replace employment, immigration, payroll, tax or information-security advice.</w:t>
      </w:r>
    </w:p>
    <w:sectPr>
      <w:headerReference w:type="default" r:id="rId7"/>
      <w:footerReference w:type="default" r:id="rId8"/>
      <w:pgSz w:w="16838" w:h="11906" w:orient="portrait"/>
      <w:pgMar w:top="780" w:right="820" w:bottom="76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i w:val="false"/>
        <w:iCs w:val="false"/>
        <w:color w:val="536175"/>
        <w:sz w:val="14"/>
        <w:szCs w:val="14"/>
      </w:rPr>
      <w:t xml:space="preserve">COGNIRISE ATELIER  /  PEOPLE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0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2223B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2223B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Adding a New Employee or Contractor in Atelier</dc:title>
  <dc:subject>Atelier People and onboarding operating guide</dc:subject>
  <dc:creator>Cognirise Atelier</dc:creator>
  <dc:description>A print-ready guide to the employee and contractor creation flows in Cognirise Atelier.</dc:description>
  <cp:lastModifiedBy>Un-named</cp:lastModifiedBy>
  <cp:revision>1</cp:revision>
  <dcterms:created xsi:type="dcterms:W3CDTF">2026-08-27T12:13:19.591Z</dcterms:created>
  <dcterms:modified xsi:type="dcterms:W3CDTF">2026-08-27T12:13:19.592Z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