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200" w:before="200"/>
      </w:pPr>
      <w:r>
        <w:t xml:space="preserve"/>
      </w:r>
    </w:p>
    <w:p>
      <w:pPr>
        <w:spacing w:after="200" w:before="600"/>
        <w:jc w:val="center"/>
      </w:pPr>
      <w:r>
        <w:rPr>
          <w:rFonts w:ascii="Arial" w:cs="Arial" w:eastAsia="Arial" w:hAnsi="Arial"/>
          <w:b/>
          <w:bCs/>
          <w:color w:val="1F3864"/>
          <w:sz w:val="48"/>
          <w:szCs w:val="48"/>
        </w:rPr>
        <w:t xml:space="preserve">Cross-Chain Multi-Party Intent Matching:</w:t>
      </w:r>
    </w:p>
    <w:p>
      <w:pPr>
        <w:spacing w:after="400" w:before="0"/>
        <w:jc w:val="center"/>
      </w:pPr>
      <w:r>
        <w:rPr>
          <w:rFonts w:ascii="Arial" w:cs="Arial" w:eastAsia="Arial" w:hAnsi="Arial"/>
          <w:b/>
          <w:bCs/>
          <w:color w:val="2E75B6"/>
          <w:sz w:val="36"/>
          <w:szCs w:val="36"/>
        </w:rPr>
        <w:t xml:space="preserve">A Hypergraph Formulation with Learned Pruning for Decentralized Exchange Solvers</w:t>
      </w:r>
    </w:p>
    <w:p>
      <w:pPr>
        <w:spacing w:after="100" w:before="200"/>
        <w:jc w:val="center"/>
      </w:pPr>
      <w:r>
        <w:rPr>
          <w:rFonts w:ascii="Arial" w:cs="Arial" w:eastAsia="Arial" w:hAnsi="Arial"/>
          <w:i/>
          <w:iCs/>
          <w:color w:val="666666"/>
          <w:sz w:val="22"/>
          <w:szCs w:val="22"/>
        </w:rPr>
        <w:t xml:space="preserve">Working Paper — 2026</w:t>
      </w:r>
    </w:p>
    <w:p>
      <w:pPr>
        <w:spacing w:after="200" w:before="200"/>
      </w:pPr>
      <w:r>
        <w:t xml:space="preserve"/>
      </w:r>
    </w:p>
    <w:p>
      <w:pPr>
        <w:spacing w:after="200" w:before="200"/>
      </w:pPr>
      <w:r>
        <w:t xml:space="preserve"/>
      </w:r>
    </w:p>
    <w:p>
      <w:pPr>
        <w:spacing w:after="100" w:before="200"/>
      </w:pPr>
      <w:r>
        <w:rPr>
          <w:rFonts w:ascii="Arial" w:cs="Arial" w:eastAsia="Arial" w:hAnsi="Arial"/>
          <w:b/>
          <w:bCs/>
          <w:color w:val="1F3864"/>
          <w:sz w:val="28"/>
          <w:szCs w:val="28"/>
        </w:rPr>
        <w:t xml:space="preserve">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2F2F2" w:val="clear"/>
            <w:tcMar>
              <w:top w:type="dxa" w:w="200"/>
              <w:left w:type="dxa" w:w="240"/>
              <w:bottom w:type="dxa" w:w="200"/>
              <w:right w:type="dxa" w:w="240"/>
            </w:tcMar>
          </w:tcPr>
          <w:p>
            <w:pPr>
              <w:jc w:val="both"/>
            </w:pPr>
            <w:r>
              <w:rPr>
                <w:rFonts w:ascii="Arial" w:cs="Arial" w:eastAsia="Arial" w:hAnsi="Arial"/>
                <w:sz w:val="22"/>
                <w:szCs w:val="22"/>
              </w:rPr>
              <w:t xml:space="preserve">Decentralized exchange protocols based on intent-batch auctions — most notably CoW Protocol — have demonstrated that peer-to-peer Coincidence of Wants (CoW) matching reduces slippage and eliminates liquidity provider fees for matched orders. However, existing solver implementations are largely limited to pairwise matching within a single chain. This paper formalizes the Cross-Chain Multi-Party Intent Matching problem (CCMPIM) as a maximum-weight hypergraph matching problem over a directed token-flow graph spanning multiple EVM-compatible chains. We prove that CCMPIM is NP-hard via reduction from Set Packing, and show that it is fixed-parameter tractable for bounded ring length k, yielding exact polynomial-time solutions for the practically dominant case k &lt;= 4. We then propose a two-stage algorithm: a Graph Neural Network classifier that prunes the intent pool prior to matching, and a weighted cycle enumeration algorithm operating on the reduced hypergraph. We derive a formal regret bound characterizing the surplus loss induced by classifier false negatives. Empirical evaluation on historical CoW Protocol batch data demonstrates a 23-41% reduction in matching runtime with less than 2.1% surplus regret at recall &gt;= 0.94, outperforming naive baseline solvers on multi-party ring detection. We further analyze cross-chain atomicity constraints and derive economic viability conditions under which cross-chain rings generate positive net surplus after bridge and gas costs.</w:t>
            </w:r>
          </w:p>
        </w:tc>
      </w:tr>
    </w:tbl>
    <w:p>
      <w:r>
        <w:br w:type="page"/>
      </w:r>
    </w:p>
    <w:p>
      <w:pPr>
        <w:pStyle w:val="Heading1"/>
      </w:pPr>
      <w:r>
        <w:rPr>
          <w:rFonts w:ascii="Arial" w:cs="Arial" w:eastAsia="Arial" w:hAnsi="Arial"/>
          <w:b/>
          <w:bCs/>
        </w:rPr>
        <w:t xml:space="preserve">1. Introduction</w:t>
      </w:r>
    </w:p>
    <w:p>
      <w:pPr>
        <w:pStyle w:val="Heading2"/>
      </w:pPr>
      <w:r>
        <w:rPr>
          <w:rFonts w:ascii="Arial" w:cs="Arial" w:eastAsia="Arial" w:hAnsi="Arial"/>
          <w:b/>
          <w:bCs/>
        </w:rPr>
        <w:t xml:space="preserve">1.1 Motivation</w:t>
      </w:r>
    </w:p>
    <w:p>
      <w:pPr>
        <w:spacing w:after="100" w:before="100"/>
        <w:jc w:val="both"/>
      </w:pPr>
      <w:r>
        <w:rPr>
          <w:rFonts w:ascii="Arial" w:cs="Arial" w:eastAsia="Arial" w:hAnsi="Arial"/>
          <w:sz w:val="22"/>
          <w:szCs w:val="22"/>
        </w:rPr>
        <w:t xml:space="preserve">The landscape of decentralized exchange (DEX) execution has undergone a fundamental shift from direct on-chain transactions toward intent-based delegation. Under this paradigm, users sign off-chain messages — intents — specifying desired trade outcomes without prescribing execution paths. Third-party solvers then compete to find optimal execution strategies within batch auctions, aggregating multiple intents and settling them atomically on-chain.</w:t>
      </w:r>
    </w:p>
    <w:p>
      <w:pPr>
        <w:spacing w:after="100" w:before="100"/>
        <w:jc w:val="both"/>
      </w:pPr>
      <w:r>
        <w:rPr>
          <w:rFonts w:ascii="Arial" w:cs="Arial" w:eastAsia="Arial" w:hAnsi="Arial"/>
          <w:sz w:val="22"/>
          <w:szCs w:val="22"/>
        </w:rPr>
        <w:t xml:space="preserve">CoW Protocol, the leading intent-based DEX by volume, introduces the Coincidence of Wants mechanism: when two or more intents are complementary — user A sells ETH for USDC while user B sells USDC for ETH — they can be settled peer-to-peer without routing through any liquidity pool. This eliminates LP fees and reduces gas costs, generating surplus for all participants.</w:t>
      </w:r>
    </w:p>
    <w:p>
      <w:pPr>
        <w:spacing w:after="100" w:before="100"/>
        <w:jc w:val="both"/>
      </w:pPr>
      <w:r>
        <w:rPr>
          <w:rFonts w:ascii="Arial" w:cs="Arial" w:eastAsia="Arial" w:hAnsi="Arial"/>
          <w:sz w:val="22"/>
          <w:szCs w:val="22"/>
        </w:rPr>
        <w:t xml:space="preserve">Despite its theoretical elegance, current solver implementations predominantly identify pairwise CoW matches. The generalization to multi-party rings — cyclic chains of three or more complementary intents — remains largely unexplored in production solvers. A three-party ring such as A: ETH -&gt; USDC, B: USDC -&gt; DAI, C: DAI -&gt; ETH requires no external liquidity source whatsoever, generating maximum surplus for all three parties simultaneously.</w:t>
      </w:r>
    </w:p>
    <w:p>
      <w:pPr>
        <w:spacing w:after="100" w:before="100"/>
        <w:jc w:val="both"/>
      </w:pPr>
      <w:r>
        <w:rPr>
          <w:rFonts w:ascii="Arial" w:cs="Arial" w:eastAsia="Arial" w:hAnsi="Arial"/>
          <w:sz w:val="22"/>
          <w:szCs w:val="22"/>
        </w:rPr>
        <w:t xml:space="preserve">The emergence of cross-chain intent infrastructure — including ERC-7683, CoW Protocol's native cross-chain swap support, and NEAR Intents — extends this opportunity further. Intents from users on Ethereum, Arbitrum, Gnosis Chain, and Base now participate in a unified matching space, dramatically expanding the set of potential ring structures while simultaneously introducing bridge costs and atomicity constraints as first-class optimization variables.</w:t>
      </w:r>
    </w:p>
    <w:p>
      <w:pPr>
        <w:pStyle w:val="Heading2"/>
      </w:pPr>
      <w:r>
        <w:rPr>
          <w:rFonts w:ascii="Arial" w:cs="Arial" w:eastAsia="Arial" w:hAnsi="Arial"/>
          <w:b/>
          <w:bCs/>
        </w:rPr>
        <w:t xml:space="preserve">1.2 Problem Statement</w:t>
      </w:r>
    </w:p>
    <w:p>
      <w:pPr>
        <w:spacing w:after="100" w:before="100"/>
        <w:jc w:val="both"/>
      </w:pPr>
      <w:r>
        <w:rPr>
          <w:rFonts w:ascii="Arial" w:cs="Arial" w:eastAsia="Arial" w:hAnsi="Arial"/>
          <w:sz w:val="22"/>
          <w:szCs w:val="22"/>
        </w:rPr>
        <w:t xml:space="preserve">Given a batch of intents spanning multiple chains, the Cross-Chain Multi-Party Intent Matching problem (CCMPIM) asks: which subset of intents can be arranged into ring structures such that the total net surplus — after bridge costs and gas — is maximized, subject to feasibility constraints including atomicity, expiry, and partial fill compatibility?</w:t>
      </w:r>
    </w:p>
    <w:p>
      <w:pPr>
        <w:spacing w:after="100" w:before="100"/>
        <w:jc w:val="both"/>
      </w:pPr>
      <w:r>
        <w:rPr>
          <w:rFonts w:ascii="Arial" w:cs="Arial" w:eastAsia="Arial" w:hAnsi="Arial"/>
          <w:sz w:val="22"/>
          <w:szCs w:val="22"/>
        </w:rPr>
        <w:t xml:space="preserve">We show that this problem is NP-hard in general, but tractable in the parameter k (maximum ring length), which in practice is bounded by 4-5 in realistic batch distributions. This fixed-parameter tractability result motivates a practical algorithm: a learned classifier that prunes the intent pool to eliminate low-viability candidates before exact ring enumeration.</w:t>
      </w:r>
    </w:p>
    <w:p>
      <w:pPr>
        <w:pStyle w:val="Heading2"/>
      </w:pPr>
      <w:r>
        <w:rPr>
          <w:rFonts w:ascii="Arial" w:cs="Arial" w:eastAsia="Arial" w:hAnsi="Arial"/>
          <w:b/>
          <w:bCs/>
        </w:rPr>
        <w:t xml:space="preserve">1.3 Contributions</w:t>
      </w:r>
    </w:p>
    <w:p>
      <w:pPr>
        <w:spacing w:after="100" w:before="100"/>
        <w:jc w:val="both"/>
      </w:pPr>
      <w:r>
        <w:rPr>
          <w:rFonts w:ascii="Arial" w:cs="Arial" w:eastAsia="Arial" w:hAnsi="Arial"/>
          <w:sz w:val="22"/>
          <w:szCs w:val="22"/>
        </w:rPr>
        <w:t xml:space="preserve">This paper makes the following contributions:</w:t>
      </w:r>
    </w:p>
    <w:p>
      <w:pPr>
        <w:pStyle w:val="ListParagraph"/>
        <w:numPr>
          <w:ilvl w:val="0"/>
          <w:numId w:val="2"/>
        </w:numPr>
        <w:spacing w:after="60" w:before="60"/>
      </w:pPr>
      <w:r>
        <w:rPr>
          <w:rFonts w:ascii="Arial" w:cs="Arial" w:eastAsia="Arial" w:hAnsi="Arial"/>
          <w:sz w:val="22"/>
          <w:szCs w:val="22"/>
        </w:rPr>
        <w:t xml:space="preserve">Formal definition of CCMPIM as a maximum-weight hypergraph matching problem, extending prior single-chain formulations to multi-chain settings with bridge cost models.</w:t>
      </w:r>
    </w:p>
    <w:p>
      <w:pPr>
        <w:pStyle w:val="ListParagraph"/>
        <w:numPr>
          <w:ilvl w:val="0"/>
          <w:numId w:val="2"/>
        </w:numPr>
        <w:spacing w:after="60" w:before="60"/>
      </w:pPr>
      <w:r>
        <w:rPr>
          <w:rFonts w:ascii="Arial" w:cs="Arial" w:eastAsia="Arial" w:hAnsi="Arial"/>
          <w:sz w:val="22"/>
          <w:szCs w:val="22"/>
        </w:rPr>
        <w:t xml:space="preserve">Proof of NP-hardness of CCMPIM via polynomial-time reduction from Set Packing, and proof of fixed-parameter tractability for k-bounded ring length.</w:t>
      </w:r>
    </w:p>
    <w:p>
      <w:pPr>
        <w:pStyle w:val="ListParagraph"/>
        <w:numPr>
          <w:ilvl w:val="0"/>
          <w:numId w:val="2"/>
        </w:numPr>
        <w:spacing w:after="60" w:before="60"/>
      </w:pPr>
      <w:r>
        <w:rPr>
          <w:rFonts w:ascii="Arial" w:cs="Arial" w:eastAsia="Arial" w:hAnsi="Arial"/>
          <w:sz w:val="22"/>
          <w:szCs w:val="22"/>
        </w:rPr>
        <w:t xml:space="preserve">A two-stage algorithm combining GNN-based intent pruning with weighted cycle enumeration, including a formal regret bound on surplus loss under classifier error.</w:t>
      </w:r>
    </w:p>
    <w:p>
      <w:pPr>
        <w:pStyle w:val="ListParagraph"/>
        <w:numPr>
          <w:ilvl w:val="0"/>
          <w:numId w:val="2"/>
        </w:numPr>
        <w:spacing w:after="60" w:before="60"/>
      </w:pPr>
      <w:r>
        <w:rPr>
          <w:rFonts w:ascii="Arial" w:cs="Arial" w:eastAsia="Arial" w:hAnsi="Arial"/>
          <w:sz w:val="22"/>
          <w:szCs w:val="22"/>
        </w:rPr>
        <w:t xml:space="preserve">Economic viability conditions for cross-chain rings under realistic bridge cost and gas price distributions.</w:t>
      </w:r>
    </w:p>
    <w:p>
      <w:pPr>
        <w:pStyle w:val="ListParagraph"/>
        <w:numPr>
          <w:ilvl w:val="0"/>
          <w:numId w:val="2"/>
        </w:numPr>
        <w:spacing w:after="60" w:before="60"/>
      </w:pPr>
      <w:r>
        <w:rPr>
          <w:rFonts w:ascii="Arial" w:cs="Arial" w:eastAsia="Arial" w:hAnsi="Arial"/>
          <w:sz w:val="22"/>
          <w:szCs w:val="22"/>
        </w:rPr>
        <w:t xml:space="preserve">Empirical evaluation on historical CoW Protocol batch data, demonstrating practical runtime improvements and competitive surplus generation.</w:t>
      </w:r>
    </w:p>
    <w:p>
      <w:pPr>
        <w:pStyle w:val="Heading2"/>
      </w:pPr>
      <w:r>
        <w:rPr>
          <w:rFonts w:ascii="Arial" w:cs="Arial" w:eastAsia="Arial" w:hAnsi="Arial"/>
          <w:b/>
          <w:bCs/>
        </w:rPr>
        <w:t xml:space="preserve">1.4 Paper Organization</w:t>
      </w:r>
    </w:p>
    <w:p>
      <w:pPr>
        <w:spacing w:after="100" w:before="100"/>
        <w:jc w:val="both"/>
      </w:pPr>
      <w:r>
        <w:rPr>
          <w:rFonts w:ascii="Arial" w:cs="Arial" w:eastAsia="Arial" w:hAnsi="Arial"/>
          <w:sz w:val="22"/>
          <w:szCs w:val="22"/>
        </w:rPr>
        <w:t xml:space="preserve">Section 2 reviews related work. Section 3 formalizes the problem. Section 4 establishes complexity results. Section 5 presents the two-stage algorithm with theoretical guarantees. Section 6 analyzes cross-chain atomicity constraints. Section 7 reports empirical results. Section 8 discusses implications and limitations. Section 9 concludes.</w:t>
      </w:r>
    </w:p>
    <w:p>
      <w:r>
        <w:br w:type="page"/>
      </w:r>
    </w:p>
    <w:p>
      <w:pPr>
        <w:pStyle w:val="Heading1"/>
      </w:pPr>
      <w:r>
        <w:rPr>
          <w:rFonts w:ascii="Arial" w:cs="Arial" w:eastAsia="Arial" w:hAnsi="Arial"/>
          <w:b/>
          <w:bCs/>
        </w:rPr>
        <w:t xml:space="preserve">2. Background and Related Work</w:t>
      </w:r>
    </w:p>
    <w:p>
      <w:pPr>
        <w:pStyle w:val="Heading2"/>
      </w:pPr>
      <w:r>
        <w:rPr>
          <w:rFonts w:ascii="Arial" w:cs="Arial" w:eastAsia="Arial" w:hAnsi="Arial"/>
          <w:b/>
          <w:bCs/>
        </w:rPr>
        <w:t xml:space="preserve">2.1 Intent-Based Trading Protocols</w:t>
      </w:r>
    </w:p>
    <w:p>
      <w:pPr>
        <w:spacing w:after="100" w:before="100"/>
        <w:jc w:val="both"/>
      </w:pPr>
      <w:r>
        <w:rPr>
          <w:rFonts w:ascii="Arial" w:cs="Arial" w:eastAsia="Arial" w:hAnsi="Arial"/>
          <w:sz w:val="22"/>
          <w:szCs w:val="22"/>
        </w:rPr>
        <w:t xml:space="preserve">Intent-based protocols decouple the expression of desired trade outcomes from their execution. Formally, an intent is a signed message specifying an acceptance set S of token flow vectors a user is willing to accept, along with a surplus function measuring execution quality. This formulation, adopted in CoW Protocol's official documentation, generalizes classical limit orders to multi-dimensional token spaces.</w:t>
      </w:r>
    </w:p>
    <w:p>
      <w:pPr>
        <w:spacing w:after="100" w:before="100"/>
        <w:jc w:val="both"/>
      </w:pPr>
      <w:r>
        <w:rPr>
          <w:rFonts w:ascii="Arial" w:cs="Arial" w:eastAsia="Arial" w:hAnsi="Arial"/>
          <w:sz w:val="22"/>
          <w:szCs w:val="22"/>
        </w:rPr>
        <w:t xml:space="preserve">The key insight is delegation: by outsourcing execution to competitive solvers, users benefit from professional routing, MEV protection, and batch-level optimizations unavailable to individual transactions. CoW Protocol operates across Ethereum, Gnosis Chain, Arbitrum, Base, Polygon, and Avalanche, with cross-chain swap support introduced in 2025 through integration with NEAR Intents and the Bungee bridge aggregator.</w:t>
      </w:r>
    </w:p>
    <w:p>
      <w:pPr>
        <w:pStyle w:val="Heading2"/>
      </w:pPr>
      <w:r>
        <w:rPr>
          <w:rFonts w:ascii="Arial" w:cs="Arial" w:eastAsia="Arial" w:hAnsi="Arial"/>
          <w:b/>
          <w:bCs/>
        </w:rPr>
        <w:t xml:space="preserve">2.2 CoW Protocol — Batch Auctions and Solver Competition</w:t>
      </w:r>
    </w:p>
    <w:p>
      <w:pPr>
        <w:spacing w:after="100" w:before="100"/>
        <w:jc w:val="both"/>
      </w:pPr>
      <w:r>
        <w:rPr>
          <w:rFonts w:ascii="Arial" w:cs="Arial" w:eastAsia="Arial" w:hAnsi="Arial"/>
          <w:sz w:val="22"/>
          <w:szCs w:val="22"/>
        </w:rPr>
        <w:t xml:space="preserve">CoW Protocol implements a Fair Combinatorial Batch Auction mechanism. Every approximately 30 seconds, a batch closes and solvers receive an auction instance JSON containing: (i) a token dictionary with reference prices and available settlement contract balances, (ii) a list of intent orders with sell/buy amounts, limit prices, fill constraints, and protocol fee policies, and (iii) a deadline timestamp.</w:t>
      </w:r>
    </w:p>
    <w:p>
      <w:pPr>
        <w:spacing w:after="100" w:before="100"/>
        <w:jc w:val="both"/>
      </w:pPr>
      <w:r>
        <w:rPr>
          <w:rFonts w:ascii="Arial" w:cs="Arial" w:eastAsia="Arial" w:hAnsi="Arial"/>
          <w:sz w:val="22"/>
          <w:szCs w:val="22"/>
        </w:rPr>
        <w:t xml:space="preserve">Solvers respond with a solution JSON specifying: a uniform clearing price vector, a list of trades (fulfillment or JIT liquidity), and a list of on-chain interactions. The winning solver maximizes the aggregate score, defined as the sum over executed orders of (surplus + protocol_fee) * reference_price(buy_token), denominated in a common numeraire. Critically, all orders trading the same token pair in the same direction must clear at a uniform price — this fairness constraint is a hard requirement.</w:t>
      </w:r>
    </w:p>
    <w:p>
      <w:pPr>
        <w:pStyle w:val="Heading2"/>
      </w:pPr>
      <w:r>
        <w:rPr>
          <w:rFonts w:ascii="Arial" w:cs="Arial" w:eastAsia="Arial" w:hAnsi="Arial"/>
          <w:b/>
          <w:bCs/>
        </w:rPr>
        <w:t xml:space="preserve">2.3 Combinatorial Auction Theory</w:t>
      </w:r>
    </w:p>
    <w:p>
      <w:pPr>
        <w:spacing w:after="100" w:before="100"/>
        <w:jc w:val="both"/>
      </w:pPr>
      <w:r>
        <w:rPr>
          <w:rFonts w:ascii="Arial" w:cs="Arial" w:eastAsia="Arial" w:hAnsi="Arial"/>
          <w:sz w:val="22"/>
          <w:szCs w:val="22"/>
        </w:rPr>
        <w:t xml:space="preserve">The Winner Determination Problem (WDP) in combinatorial auctions asks for the revenue-maximizing allocation of items to bidders with bundle valuations. Sandholm (1999) showed WDP is NP-hard and inapproximable within any constant factor in the worst case. CoW Protocol's batch auction is a structural instance of WDP where orders are bidders, token flows are items, and feasibility requires clearing price consistency.</w:t>
      </w:r>
    </w:p>
    <w:p>
      <w:pPr>
        <w:spacing w:after="100" w:before="100"/>
        <w:jc w:val="both"/>
      </w:pPr>
      <w:r>
        <w:rPr>
          <w:rFonts w:ascii="Arial" w:cs="Arial" w:eastAsia="Arial" w:hAnsi="Arial"/>
          <w:sz w:val="22"/>
          <w:szCs w:val="22"/>
        </w:rPr>
        <w:t xml:space="preserve">The key structural difference from general WDP is the ring constraint: feasible solutions must satisfy token flow balance at each clearing price. This constraint, absent in general WDP, creates the tractable special cases we exploit in Section 4.</w:t>
      </w:r>
    </w:p>
    <w:p>
      <w:pPr>
        <w:pStyle w:val="Heading2"/>
      </w:pPr>
      <w:r>
        <w:rPr>
          <w:rFonts w:ascii="Arial" w:cs="Arial" w:eastAsia="Arial" w:hAnsi="Arial"/>
          <w:b/>
          <w:bCs/>
        </w:rPr>
        <w:t xml:space="preserve">2.4 Kidney Exchange and Multi-Party Barter Literature</w:t>
      </w:r>
    </w:p>
    <w:p>
      <w:pPr>
        <w:spacing w:after="100" w:before="100"/>
        <w:jc w:val="both"/>
      </w:pPr>
      <w:r>
        <w:rPr>
          <w:rFonts w:ascii="Arial" w:cs="Arial" w:eastAsia="Arial" w:hAnsi="Arial"/>
          <w:sz w:val="22"/>
          <w:szCs w:val="22"/>
        </w:rPr>
        <w:t xml:space="preserve">The kidney exchange problem (Roth, Sonmez, Unver 2004) is structurally identical to multi-party barter matching: cycles of length k are found in a compatibility graph to maximize total matches. Abraham et al. (2007) showed that maximum weight matching with cycle length at most k is solvable in polynomial time for fixed k via integer programming on a cycle-reduced graph. We adapt this result directly to our setting.</w:t>
      </w:r>
    </w:p>
    <w:p>
      <w:pPr>
        <w:spacing w:after="100" w:before="100"/>
        <w:jc w:val="both"/>
      </w:pPr>
      <w:r>
        <w:rPr>
          <w:rFonts w:ascii="Arial" w:cs="Arial" w:eastAsia="Arial" w:hAnsi="Arial"/>
          <w:sz w:val="22"/>
          <w:szCs w:val="22"/>
        </w:rPr>
        <w:t xml:space="preserve">The key difference is that CoW intents admit partial fills — fractional execution of order amounts — whereas kidney exchange requires complete compatibility. This continuous relaxation complicates the matching problem but also creates additional surplus opportunities unavailable in the discrete case.</w:t>
      </w:r>
    </w:p>
    <w:p>
      <w:pPr>
        <w:pStyle w:val="Heading2"/>
      </w:pPr>
      <w:r>
        <w:rPr>
          <w:rFonts w:ascii="Arial" w:cs="Arial" w:eastAsia="Arial" w:hAnsi="Arial"/>
          <w:b/>
          <w:bCs/>
        </w:rPr>
        <w:t xml:space="preserve">2.5 Predict-then-Optimize Framework</w:t>
      </w:r>
    </w:p>
    <w:p>
      <w:pPr>
        <w:spacing w:after="100" w:before="100"/>
        <w:jc w:val="both"/>
      </w:pPr>
      <w:r>
        <w:rPr>
          <w:rFonts w:ascii="Arial" w:cs="Arial" w:eastAsia="Arial" w:hAnsi="Arial"/>
          <w:sz w:val="22"/>
          <w:szCs w:val="22"/>
        </w:rPr>
        <w:t xml:space="preserve">Elmachtoub and Grigas (2022) formalized the predict-then-optimize framework: a machine learning model predicts problem parameters, and an optimization algorithm uses these predictions to make decisions. The key insight is that prediction errors matter only insofar as they affect downstream decision quality — a concept formalized as regret. We extend this framework to the pruning setting, where the classifier's false negative rate directly bounds the surplus regret of the matching algorithm.</w:t>
      </w:r>
    </w:p>
    <w:p>
      <w:pPr>
        <w:pStyle w:val="Heading2"/>
      </w:pPr>
      <w:r>
        <w:rPr>
          <w:rFonts w:ascii="Arial" w:cs="Arial" w:eastAsia="Arial" w:hAnsi="Arial"/>
          <w:b/>
          <w:bCs/>
        </w:rPr>
        <w:t xml:space="preserve">2.6 Cross-Chain Infrastructure</w:t>
      </w:r>
    </w:p>
    <w:p>
      <w:pPr>
        <w:spacing w:after="100" w:before="100"/>
        <w:jc w:val="both"/>
      </w:pPr>
      <w:r>
        <w:rPr>
          <w:rFonts w:ascii="Arial" w:cs="Arial" w:eastAsia="Arial" w:hAnsi="Arial"/>
          <w:sz w:val="22"/>
          <w:szCs w:val="22"/>
        </w:rPr>
        <w:t xml:space="preserve">ERC-7683, proposed by Uniswap Labs and Across Protocol in 2024, standardizes the message format for cross-chain intent orders and has been adopted by over 30 projects through the Ethereum Foundation's Open Intents Framework. CoW Protocol's 2025 cross-chain integration builds on this standard, delegating bridge selection to external protocols (NEAR Intents, Bungee) while retaining solver-competitive price optimization.</w:t>
      </w:r>
    </w:p>
    <w:p>
      <w:pPr>
        <w:spacing w:after="100" w:before="100"/>
        <w:jc w:val="both"/>
      </w:pPr>
      <w:r>
        <w:rPr>
          <w:rFonts w:ascii="Arial" w:cs="Arial" w:eastAsia="Arial" w:hAnsi="Arial"/>
          <w:sz w:val="22"/>
          <w:szCs w:val="22"/>
        </w:rPr>
        <w:t xml:space="preserve">This architecture — CoW solvers handle price optimization, bridge protocols handle cross-chain execution — is the infrastructure context for our CCMPIM formulation. Our bridge cost model abstracts over the specific bridge used, treating bridge fees as dynamic edge weights in the cross-chain token graph.</w:t>
      </w:r>
    </w:p>
    <w:p>
      <w:r>
        <w:br w:type="page"/>
      </w:r>
    </w:p>
    <w:p>
      <w:pPr>
        <w:pStyle w:val="Heading1"/>
      </w:pPr>
      <w:r>
        <w:rPr>
          <w:rFonts w:ascii="Arial" w:cs="Arial" w:eastAsia="Arial" w:hAnsi="Arial"/>
          <w:b/>
          <w:bCs/>
        </w:rPr>
        <w:t xml:space="preserve">3. Problem Formalization</w:t>
      </w:r>
    </w:p>
    <w:p>
      <w:pPr>
        <w:pStyle w:val="Heading2"/>
      </w:pPr>
      <w:r>
        <w:rPr>
          <w:rFonts w:ascii="Arial" w:cs="Arial" w:eastAsia="Arial" w:hAnsi="Arial"/>
          <w:b/>
          <w:bCs/>
        </w:rPr>
        <w:t xml:space="preserve">3.1 Single-Chain Intent Matching (Baseline)</w:t>
      </w:r>
    </w:p>
    <w:p>
      <w:pPr>
        <w:spacing w:after="100" w:before="100"/>
        <w:jc w:val="both"/>
      </w:pPr>
      <w:r>
        <w:rPr>
          <w:rFonts w:ascii="Arial" w:cs="Arial" w:eastAsia="Arial" w:hAnsi="Arial"/>
          <w:sz w:val="22"/>
          <w:szCs w:val="22"/>
        </w:rPr>
        <w:t xml:space="preserve">We begin with the single-chain setting to establish notation. Let T be a finite set of ERC-20 tokens on chain c. An intent is a tuple:</w:t>
      </w:r>
    </w:p>
    <w:p>
      <w:pPr>
        <w:spacing w:after="160" w:before="160"/>
        <w:jc w:val="center"/>
      </w:pPr>
      <w:r>
        <w:rPr>
          <w:rFonts w:ascii="Courier New" w:cs="Courier New" w:eastAsia="Courier New" w:hAnsi="Courier New"/>
          <w:i/>
          <w:iCs/>
          <w:sz w:val="22"/>
          <w:szCs w:val="22"/>
        </w:rPr>
        <w:t xml:space="preserve">i = (s_i, b_i, y_i, x_i^min, t_i^exp, phi_i)</w:t>
      </w:r>
    </w:p>
    <w:p>
      <w:pPr>
        <w:spacing w:after="100" w:before="100"/>
        <w:jc w:val="both"/>
      </w:pPr>
      <w:r>
        <w:rPr>
          <w:rFonts w:ascii="Arial" w:cs="Arial" w:eastAsia="Arial" w:hAnsi="Arial"/>
          <w:sz w:val="22"/>
          <w:szCs w:val="22"/>
        </w:rPr>
        <w:t xml:space="preserve">where s_i in T is the sell token, b_i in T is the buy token, y_i &gt; 0 is the maximum sell amount, x_i^min &gt; 0 is the minimum buy amount defining the limit price pi_i = y_i / x_i^min, t_i^exp is the expiry timestamp, and phi_i in {0,1} indicates whether partial fills are permitted.</w:t>
      </w:r>
    </w:p>
    <w:p>
      <w:pPr>
        <w:spacing w:after="100" w:before="100"/>
        <w:jc w:val="both"/>
      </w:pPr>
      <w:r>
        <w:rPr>
          <w:rFonts w:ascii="Arial" w:cs="Arial" w:eastAsia="Arial" w:hAnsi="Arial"/>
          <w:sz w:val="22"/>
          <w:szCs w:val="22"/>
        </w:rPr>
        <w:t xml:space="preserve">The surplus of executing intent i at buy amount x_i and sell amount y_i is:</w:t>
      </w:r>
    </w:p>
    <w:p>
      <w:pPr>
        <w:spacing w:after="160" w:before="160"/>
        <w:jc w:val="center"/>
      </w:pPr>
      <w:r>
        <w:rPr>
          <w:rFonts w:ascii="Courier New" w:cs="Courier New" w:eastAsia="Courier New" w:hAnsi="Courier New"/>
          <w:i/>
          <w:iCs/>
          <w:sz w:val="22"/>
          <w:szCs w:val="22"/>
        </w:rPr>
        <w:t xml:space="preserve">U_i(x_i, y_i) = x_i - y_i / pi_i  (sell orders)</w:t>
      </w:r>
    </w:p>
    <w:p>
      <w:pPr>
        <w:spacing w:after="160" w:before="160"/>
        <w:jc w:val="center"/>
      </w:pPr>
      <w:r>
        <w:rPr>
          <w:rFonts w:ascii="Courier New" w:cs="Courier New" w:eastAsia="Courier New" w:hAnsi="Courier New"/>
          <w:i/>
          <w:iCs/>
          <w:sz w:val="22"/>
          <w:szCs w:val="22"/>
        </w:rPr>
        <w:t xml:space="preserve">U_i(x_i, y_i) = x_i * pi_i - y_i  (buy orders)</w:t>
      </w:r>
    </w:p>
    <w:p>
      <w:pPr>
        <w:spacing w:after="100" w:before="100"/>
        <w:jc w:val="both"/>
      </w:pPr>
      <w:r>
        <w:rPr>
          <w:rFonts w:ascii="Arial" w:cs="Arial" w:eastAsia="Arial" w:hAnsi="Arial"/>
          <w:sz w:val="22"/>
          <w:szCs w:val="22"/>
        </w:rPr>
        <w:t xml:space="preserve">A batch auction instance is a tuple A = (I, T, P_ref, B, d) where I is the set of valid intents, P_ref: T -&gt; R+ assigns reference prices in a common numeraire, B: T -&gt; R+ gives available settlement contract balances, and d is the solution deadline.</w:t>
      </w:r>
    </w:p>
    <w:p>
      <w:pPr>
        <w:pStyle w:val="Heading2"/>
      </w:pPr>
      <w:r>
        <w:rPr>
          <w:rFonts w:ascii="Arial" w:cs="Arial" w:eastAsia="Arial" w:hAnsi="Arial"/>
          <w:b/>
          <w:bCs/>
        </w:rPr>
        <w:t xml:space="preserve">3.2 Cross-Chain Intent Graph</w:t>
      </w:r>
    </w:p>
    <w:p>
      <w:pPr>
        <w:spacing w:after="100" w:before="100"/>
        <w:jc w:val="both"/>
      </w:pPr>
      <w:r>
        <w:rPr>
          <w:rFonts w:ascii="Arial" w:cs="Arial" w:eastAsia="Arial" w:hAnsi="Arial"/>
          <w:sz w:val="22"/>
          <w:szCs w:val="22"/>
        </w:rPr>
        <w:t xml:space="preserve">We extend to the cross-chain setting. Let C = {c_1, ..., c_m} be a set of supported chains. Each chain c_j has a token set T_j. A cross-chain token is a pair (t, c) in union_j T_j x {c_j}. We denote the extended token universe as T^* = union_j {(t, c_j) : t in T_j}.</w:t>
      </w:r>
    </w:p>
    <w:p>
      <w:pPr>
        <w:spacing w:after="100" w:before="100"/>
        <w:jc w:val="both"/>
      </w:pPr>
      <w:r>
        <w:rPr>
          <w:rFonts w:ascii="Arial" w:cs="Arial" w:eastAsia="Arial" w:hAnsi="Arial"/>
          <w:sz w:val="22"/>
          <w:szCs w:val="22"/>
        </w:rPr>
        <w:t xml:space="preserve">A cross-chain intent is a tuple:</w:t>
      </w:r>
    </w:p>
    <w:p>
      <w:pPr>
        <w:spacing w:after="160" w:before="160"/>
        <w:jc w:val="center"/>
      </w:pPr>
      <w:r>
        <w:rPr>
          <w:rFonts w:ascii="Courier New" w:cs="Courier New" w:eastAsia="Courier New" w:hAnsi="Courier New"/>
          <w:i/>
          <w:iCs/>
          <w:sz w:val="22"/>
          <w:szCs w:val="22"/>
        </w:rPr>
        <w:t xml:space="preserve">i = (s_i, c_i^src, b_i, c_i^dst, y_i, x_i^min, t_i^exp, phi_i)</w:t>
      </w:r>
    </w:p>
    <w:p>
      <w:pPr>
        <w:spacing w:after="100" w:before="100"/>
        <w:jc w:val="both"/>
      </w:pPr>
      <w:r>
        <w:rPr>
          <w:rFonts w:ascii="Arial" w:cs="Arial" w:eastAsia="Arial" w:hAnsi="Arial"/>
          <w:sz w:val="22"/>
          <w:szCs w:val="22"/>
        </w:rPr>
        <w:t xml:space="preserve">where (s_i, c_i^src) is the sell token on the source chain and (b_i, c_i^dst) is the buy token on the destination chain. Single-chain intents are the special case c_i^src = c_i^dst.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60"/>
              <w:left w:type="dxa" w:w="200"/>
              <w:bottom w:type="dxa" w:w="160"/>
              <w:right w:type="dxa" w:w="200"/>
            </w:tcMar>
          </w:tcPr>
          <w:p>
            <w:pPr>
              <w:spacing w:after="60" w:before="60"/>
            </w:pPr>
            <w:r>
              <w:rPr>
                <w:rFonts w:ascii="Arial" w:cs="Arial" w:eastAsia="Arial" w:hAnsi="Arial"/>
                <w:b/>
                <w:bCs/>
                <w:sz w:val="22"/>
                <w:szCs w:val="22"/>
              </w:rPr>
              <w:t xml:space="preserve">Definition 1 (Cross-Chain Token Graph). </w:t>
            </w:r>
            <w:r>
              <w:rPr>
                <w:rFonts w:ascii="Arial" w:cs="Arial" w:eastAsia="Arial" w:hAnsi="Arial"/>
                <w:sz w:val="22"/>
                <w:szCs w:val="22"/>
              </w:rPr>
              <w:t xml:space="preserve">The cross-chain token graph G = (V, E) has vertex set V = T^* and directed edge set E where (u, v) in E if and only if there exists at least one intent i with sell token u and buy token v. Each edge (u, v) is labeled with the set of intents I(u,v) = {i in I : s_i = u, b_i = v}.</w:t>
            </w:r>
          </w:p>
        </w:tc>
      </w:tr>
    </w:tbl>
    <w:p>
      <w:pPr>
        <w:spacing w:after="200" w:before="200"/>
      </w:pPr>
      <w:r>
        <w:t xml:space="preserve"/>
      </w:r>
    </w:p>
    <w:p>
      <w:pPr>
        <w:spacing w:after="100" w:before="100"/>
        <w:jc w:val="both"/>
      </w:pPr>
      <w:r>
        <w:rPr>
          <w:rFonts w:ascii="Arial" w:cs="Arial" w:eastAsia="Arial" w:hAnsi="Arial"/>
          <w:sz w:val="22"/>
          <w:szCs w:val="22"/>
        </w:rPr>
        <w:t xml:space="preserve">Bridge edges connect the same token across chains. Let beta: T^* x T^* -&gt; R+ be the bridge cost function, where beta((t, c_j), (t, c_k)) gives the cost in the common numeraire to transfer token t from chain c_j to chain c_k. Bridge edges are added to G with weight -beta(u, v) to reflect their cost.</w:t>
      </w:r>
    </w:p>
    <w:p>
      <w:pPr>
        <w:pStyle w:val="Heading2"/>
      </w:pPr>
      <w:r>
        <w:rPr>
          <w:rFonts w:ascii="Arial" w:cs="Arial" w:eastAsia="Arial" w:hAnsi="Arial"/>
          <w:b/>
          <w:bCs/>
        </w:rPr>
        <w:t xml:space="preserve">3.3 Multi-Party Ring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60"/>
              <w:left w:type="dxa" w:w="200"/>
              <w:bottom w:type="dxa" w:w="160"/>
              <w:right w:type="dxa" w:w="200"/>
            </w:tcMar>
          </w:tcPr>
          <w:p>
            <w:pPr>
              <w:spacing w:after="60" w:before="60"/>
            </w:pPr>
            <w:r>
              <w:rPr>
                <w:rFonts w:ascii="Arial" w:cs="Arial" w:eastAsia="Arial" w:hAnsi="Arial"/>
                <w:b/>
                <w:bCs/>
                <w:sz w:val="22"/>
                <w:szCs w:val="22"/>
              </w:rPr>
              <w:t xml:space="preserve">Definition 2 (Intent Ring). </w:t>
            </w:r>
            <w:r>
              <w:rPr>
                <w:rFonts w:ascii="Arial" w:cs="Arial" w:eastAsia="Arial" w:hAnsi="Arial"/>
                <w:sz w:val="22"/>
                <w:szCs w:val="22"/>
              </w:rPr>
              <w:t xml:space="preserve">An intent ring of length k is an ordered sequence R = (i_1, i_2, ..., i_k) of distinct intents such that b_{i_j} = s_{i_{j+1}} for all j (indices mod k), where tokens are compared as cross-chain token pairs (t, c). The ring is single-chain if all c_{i_j}^src = c_{i_j}^dst = c for a single chain c, and cross-chain otherwise.</w:t>
            </w:r>
          </w:p>
        </w:tc>
      </w:tr>
    </w:tbl>
    <w:p>
      <w:pPr>
        <w:spacing w:after="200" w:before="200"/>
      </w:pPr>
      <w:r>
        <w:t xml:space="preserve"/>
      </w:r>
    </w:p>
    <w:p>
      <w:pPr>
        <w:spacing w:after="100" w:before="100"/>
        <w:jc w:val="both"/>
      </w:pPr>
      <w:r>
        <w:rPr>
          <w:rFonts w:ascii="Arial" w:cs="Arial" w:eastAsia="Arial" w:hAnsi="Arial"/>
          <w:sz w:val="22"/>
          <w:szCs w:val="22"/>
        </w:rPr>
        <w:t xml:space="preserve">Token flow balance is the key feasibility condition. For a ring R with execution amounts (x_1, y_1, ..., x_k, y_k), balance at token (t, c) requires that the total amount sold of (t, c) equals the total amount bought of (t, c) within the ring, possibly after bridge transfers.</w:t>
      </w:r>
    </w:p>
    <w:p>
      <w:pPr>
        <w:pStyle w:val="Heading2"/>
      </w:pPr>
      <w:r>
        <w:rPr>
          <w:rFonts w:ascii="Arial" w:cs="Arial" w:eastAsia="Arial" w:hAnsi="Arial"/>
          <w:b/>
          <w:bCs/>
        </w:rPr>
        <w:t xml:space="preserve">3.4 Hypergraph Formulation</w:t>
      </w:r>
    </w:p>
    <w:p>
      <w:pPr>
        <w:spacing w:after="100" w:before="100"/>
        <w:jc w:val="both"/>
      </w:pPr>
      <w:r>
        <w:rPr>
          <w:rFonts w:ascii="Arial" w:cs="Arial" w:eastAsia="Arial" w:hAnsi="Arial"/>
          <w:sz w:val="22"/>
          <w:szCs w:val="22"/>
        </w:rPr>
        <w:t xml:space="preserve">The CCMPIM problem is naturally formulated as a maximum-weight hypergraph matching. Let H = (I, F, w) be a hypergraph where I is the vertex set (intents), F is the set of hyperedges (feasible rings), and w: F -&gt; R assigns surplus weights.</w:t>
      </w:r>
    </w:p>
    <w:p>
      <w:pPr>
        <w:spacing w:after="100" w:before="100"/>
        <w:jc w:val="both"/>
      </w:pPr>
      <w:r>
        <w:rPr>
          <w:rFonts w:ascii="Arial" w:cs="Arial" w:eastAsia="Arial" w:hAnsi="Arial"/>
          <w:sz w:val="22"/>
          <w:szCs w:val="22"/>
        </w:rPr>
        <w:t xml:space="preserve">Each feasible ring R = (i_1, ..., i_k) corresponds to a hyperedge e_R = {i_1, ..., i_k} in F with weight:</w:t>
      </w:r>
    </w:p>
    <w:p>
      <w:pPr>
        <w:spacing w:after="160" w:before="160"/>
        <w:jc w:val="center"/>
      </w:pPr>
      <w:r>
        <w:rPr>
          <w:rFonts w:ascii="Courier New" w:cs="Courier New" w:eastAsia="Courier New" w:hAnsi="Courier New"/>
          <w:i/>
          <w:iCs/>
          <w:sz w:val="22"/>
          <w:szCs w:val="22"/>
        </w:rPr>
        <w:t xml:space="preserve">w(e_R) = sum_{j=1}^{k} U_{i_j}(x_{i_j}^*, y_{i_j}^*) * P_ref(b_{i_j}) - BridgeCost(R) - GasCost(R)</w:t>
      </w:r>
    </w:p>
    <w:p>
      <w:pPr>
        <w:spacing w:after="100" w:before="100"/>
        <w:jc w:val="both"/>
      </w:pPr>
      <w:r>
        <w:rPr>
          <w:rFonts w:ascii="Arial" w:cs="Arial" w:eastAsia="Arial" w:hAnsi="Arial"/>
          <w:sz w:val="22"/>
          <w:szCs w:val="22"/>
        </w:rPr>
        <w:t xml:space="preserve">where (x_{i_j}^*, y_{i_j}^*) are the optimal execution amounts for intent i_j within ring R, BridgeCost(R) is the total bridge fee for cross-chain token transfers in the ring, and GasCost(R) is the estimated settlement gas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60"/>
              <w:left w:type="dxa" w:w="200"/>
              <w:bottom w:type="dxa" w:w="160"/>
              <w:right w:type="dxa" w:w="200"/>
            </w:tcMar>
          </w:tcPr>
          <w:p>
            <w:pPr>
              <w:spacing w:after="60" w:before="60"/>
            </w:pPr>
            <w:r>
              <w:rPr>
                <w:rFonts w:ascii="Arial" w:cs="Arial" w:eastAsia="Arial" w:hAnsi="Arial"/>
                <w:b/>
                <w:bCs/>
                <w:sz w:val="22"/>
                <w:szCs w:val="22"/>
              </w:rPr>
              <w:t xml:space="preserve">Definition 3 (CCMPIM). </w:t>
            </w:r>
            <w:r>
              <w:rPr>
                <w:rFonts w:ascii="Arial" w:cs="Arial" w:eastAsia="Arial" w:hAnsi="Arial"/>
                <w:sz w:val="22"/>
                <w:szCs w:val="22"/>
              </w:rPr>
              <w:t xml:space="preserve">Given hypergraph H = (I, F, w), find a maximum-weight matching M ⊆ F such that each intent i in I appears in at most one hyperedge in M (or satisfies partial fill constraints if phi_i = 1), and w(e_R) &gt; 0 for all e_R in M.</w:t>
            </w:r>
          </w:p>
        </w:tc>
      </w:tr>
    </w:tbl>
    <w:p>
      <w:pPr>
        <w:spacing w:after="200" w:before="200"/>
      </w:pPr>
      <w:r>
        <w:t xml:space="preserve"/>
      </w:r>
    </w:p>
    <w:p>
      <w:pPr>
        <w:pStyle w:val="Heading2"/>
      </w:pPr>
      <w:r>
        <w:rPr>
          <w:rFonts w:ascii="Arial" w:cs="Arial" w:eastAsia="Arial" w:hAnsi="Arial"/>
          <w:b/>
          <w:bCs/>
        </w:rPr>
        <w:t xml:space="preserve">3.5 Feasibility Constraints</w:t>
      </w:r>
    </w:p>
    <w:p>
      <w:pPr>
        <w:pStyle w:val="Heading3"/>
        <w:spacing w:after="100" w:before="200"/>
      </w:pPr>
      <w:r>
        <w:rPr>
          <w:rFonts w:ascii="Arial" w:cs="Arial" w:eastAsia="Arial" w:hAnsi="Arial"/>
          <w:b/>
          <w:bCs/>
          <w:i/>
          <w:iCs/>
          <w:sz w:val="24"/>
          <w:szCs w:val="24"/>
        </w:rPr>
        <w:t xml:space="preserve">3.5.1 Atomicity</w:t>
      </w:r>
    </w:p>
    <w:p>
      <w:pPr>
        <w:spacing w:after="100" w:before="100"/>
        <w:jc w:val="both"/>
      </w:pPr>
      <w:r>
        <w:rPr>
          <w:rFonts w:ascii="Arial" w:cs="Arial" w:eastAsia="Arial" w:hAnsi="Arial"/>
          <w:sz w:val="22"/>
          <w:szCs w:val="22"/>
        </w:rPr>
        <w:t xml:space="preserve">A ring settlement is atomic if either all intents in the ring are executed or none are. Single-chain rings are trivially atomic via the CoW Protocol settlement contract. Cross-chain rings require a cross-chain atomicity mechanism. We model atomicity risk as a probability p_fail(R) that a cross-chain ring fails mid-settlement, and adjust the ring weight by an atomicity discount:</w:t>
      </w:r>
    </w:p>
    <w:p>
      <w:pPr>
        <w:spacing w:after="160" w:before="160"/>
        <w:jc w:val="center"/>
      </w:pPr>
      <w:r>
        <w:rPr>
          <w:rFonts w:ascii="Courier New" w:cs="Courier New" w:eastAsia="Courier New" w:hAnsi="Courier New"/>
          <w:i/>
          <w:iCs/>
          <w:sz w:val="22"/>
          <w:szCs w:val="22"/>
        </w:rPr>
        <w:t xml:space="preserve">w^*(e_R) = w(e_R) * (1 - p_fail(R)) - CollateralCost(R) * p_fail(R)</w:t>
      </w:r>
    </w:p>
    <w:p>
      <w:pPr>
        <w:spacing w:after="100" w:before="100"/>
        <w:jc w:val="both"/>
      </w:pPr>
      <w:r>
        <w:rPr>
          <w:rFonts w:ascii="Arial" w:cs="Arial" w:eastAsia="Arial" w:hAnsi="Arial"/>
          <w:sz w:val="22"/>
          <w:szCs w:val="22"/>
        </w:rPr>
        <w:t xml:space="preserve">where CollateralCost(R) is the capital at risk in an optimistic settlement scheme.</w:t>
      </w:r>
    </w:p>
    <w:p>
      <w:pPr>
        <w:pStyle w:val="Heading3"/>
        <w:spacing w:after="100" w:before="200"/>
      </w:pPr>
      <w:r>
        <w:rPr>
          <w:rFonts w:ascii="Arial" w:cs="Arial" w:eastAsia="Arial" w:hAnsi="Arial"/>
          <w:b/>
          <w:bCs/>
          <w:i/>
          <w:iCs/>
          <w:sz w:val="24"/>
          <w:szCs w:val="24"/>
        </w:rPr>
        <w:t xml:space="preserve">3.5.2 Expiry</w:t>
      </w:r>
    </w:p>
    <w:p>
      <w:pPr>
        <w:spacing w:after="100" w:before="100"/>
        <w:jc w:val="both"/>
      </w:pPr>
      <w:r>
        <w:rPr>
          <w:rFonts w:ascii="Arial" w:cs="Arial" w:eastAsia="Arial" w:hAnsi="Arial"/>
          <w:sz w:val="22"/>
          <w:szCs w:val="22"/>
        </w:rPr>
        <w:t xml:space="preserve">Each intent i expires at time t_i^exp. A ring R is temporally feasible if the expected settlement time t_settle(R) satisfies t_settle(R) &lt; min_{i in R} t_i^exp. For cross-chain rings, t_settle(R) includes bridge finality time, which is chain-pair dependent.</w:t>
      </w:r>
    </w:p>
    <w:p>
      <w:pPr>
        <w:pStyle w:val="Heading3"/>
        <w:spacing w:after="100" w:before="200"/>
      </w:pPr>
      <w:r>
        <w:rPr>
          <w:rFonts w:ascii="Arial" w:cs="Arial" w:eastAsia="Arial" w:hAnsi="Arial"/>
          <w:b/>
          <w:bCs/>
          <w:i/>
          <w:iCs/>
          <w:sz w:val="24"/>
          <w:szCs w:val="24"/>
        </w:rPr>
        <w:t xml:space="preserve">3.5.3 Partial Fills</w:t>
      </w:r>
    </w:p>
    <w:p>
      <w:pPr>
        <w:spacing w:after="100" w:before="100"/>
        <w:jc w:val="both"/>
      </w:pPr>
      <w:r>
        <w:rPr>
          <w:rFonts w:ascii="Arial" w:cs="Arial" w:eastAsia="Arial" w:hAnsi="Arial"/>
          <w:sz w:val="22"/>
          <w:szCs w:val="22"/>
        </w:rPr>
        <w:t xml:space="preserve">When phi_i = 1 for all intents in a ring, execution amounts need not consume the full order. This transforms the discrete matching problem into a continuous flow problem: find execution fractions lambda_i in (0,1] for each intent such that token flow balance holds. The continuous relaxation strictly increases the feasible set and can improve ring surplus by avoiding size mismatches.</w:t>
      </w:r>
    </w:p>
    <w:p>
      <w:pPr>
        <w:pStyle w:val="Heading2"/>
      </w:pPr>
      <w:r>
        <w:rPr>
          <w:rFonts w:ascii="Arial" w:cs="Arial" w:eastAsia="Arial" w:hAnsi="Arial"/>
          <w:b/>
          <w:bCs/>
        </w:rPr>
        <w:t xml:space="preserve">3.6 Objective Function</w:t>
      </w:r>
    </w:p>
    <w:p>
      <w:pPr>
        <w:spacing w:after="100" w:before="100"/>
        <w:jc w:val="both"/>
      </w:pPr>
      <w:r>
        <w:rPr>
          <w:rFonts w:ascii="Arial" w:cs="Arial" w:eastAsia="Arial" w:hAnsi="Arial"/>
          <w:sz w:val="22"/>
          <w:szCs w:val="22"/>
        </w:rPr>
        <w:t xml:space="preserve">The complete CCMPIM objective is:</w:t>
      </w:r>
    </w:p>
    <w:p>
      <w:pPr>
        <w:spacing w:after="160" w:before="160"/>
        <w:jc w:val="center"/>
      </w:pPr>
      <w:r>
        <w:rPr>
          <w:rFonts w:ascii="Courier New" w:cs="Courier New" w:eastAsia="Courier New" w:hAnsi="Courier New"/>
          <w:i/>
          <w:iCs/>
          <w:sz w:val="22"/>
          <w:szCs w:val="22"/>
        </w:rPr>
        <w:t xml:space="preserve">maximize   sum_{e_R in M} w^*(e_R)</w:t>
      </w:r>
    </w:p>
    <w:p>
      <w:pPr>
        <w:spacing w:after="160" w:before="160"/>
        <w:jc w:val="center"/>
      </w:pPr>
      <w:r>
        <w:rPr>
          <w:rFonts w:ascii="Courier New" w:cs="Courier New" w:eastAsia="Courier New" w:hAnsi="Courier New"/>
          <w:i/>
          <w:iCs/>
          <w:sz w:val="22"/>
          <w:szCs w:val="22"/>
        </w:rPr>
        <w:t xml:space="preserve">subject to:</w:t>
      </w:r>
    </w:p>
    <w:p>
      <w:pPr>
        <w:spacing w:after="160" w:before="160"/>
        <w:jc w:val="center"/>
      </w:pPr>
      <w:r>
        <w:rPr>
          <w:rFonts w:ascii="Courier New" w:cs="Courier New" w:eastAsia="Courier New" w:hAnsi="Courier New"/>
          <w:i/>
          <w:iCs/>
          <w:sz w:val="22"/>
          <w:szCs w:val="22"/>
        </w:rPr>
        <w:t xml:space="preserve">  (1) each intent i appears in at most one ring in M</w:t>
      </w:r>
    </w:p>
    <w:p>
      <w:pPr>
        <w:spacing w:after="160" w:before="160"/>
        <w:jc w:val="center"/>
      </w:pPr>
      <w:r>
        <w:rPr>
          <w:rFonts w:ascii="Courier New" w:cs="Courier New" w:eastAsia="Courier New" w:hAnsi="Courier New"/>
          <w:i/>
          <w:iCs/>
          <w:sz w:val="22"/>
          <w:szCs w:val="22"/>
        </w:rPr>
        <w:t xml:space="preserve">  (2) w^*(e_R) &gt; 0 for all e_R in M</w:t>
      </w:r>
    </w:p>
    <w:p>
      <w:pPr>
        <w:spacing w:after="160" w:before="160"/>
        <w:jc w:val="center"/>
      </w:pPr>
      <w:r>
        <w:rPr>
          <w:rFonts w:ascii="Courier New" w:cs="Courier New" w:eastAsia="Courier New" w:hAnsi="Courier New"/>
          <w:i/>
          <w:iCs/>
          <w:sz w:val="22"/>
          <w:szCs w:val="22"/>
        </w:rPr>
        <w:t xml:space="preserve">  (3) token flow balance holds for each ring</w:t>
      </w:r>
    </w:p>
    <w:p>
      <w:pPr>
        <w:spacing w:after="160" w:before="160"/>
        <w:jc w:val="center"/>
      </w:pPr>
      <w:r>
        <w:rPr>
          <w:rFonts w:ascii="Courier New" w:cs="Courier New" w:eastAsia="Courier New" w:hAnsi="Courier New"/>
          <w:i/>
          <w:iCs/>
          <w:sz w:val="22"/>
          <w:szCs w:val="22"/>
        </w:rPr>
        <w:t xml:space="preserve">  (4) t_settle(R) &lt; min_{i in R} t_i^exp for all e_R in M</w:t>
      </w:r>
    </w:p>
    <w:p>
      <w:pPr>
        <w:spacing w:after="160" w:before="160"/>
        <w:jc w:val="center"/>
      </w:pPr>
      <w:r>
        <w:rPr>
          <w:rFonts w:ascii="Courier New" w:cs="Courier New" w:eastAsia="Courier New" w:hAnsi="Courier New"/>
          <w:i/>
          <w:iCs/>
          <w:sz w:val="22"/>
          <w:szCs w:val="22"/>
        </w:rPr>
        <w:t xml:space="preserve">  (5) partial fill constraints: y_i &lt;= Y_i for all i in M</w:t>
      </w:r>
    </w:p>
    <w:p>
      <w:r>
        <w:br w:type="page"/>
      </w:r>
    </w:p>
    <w:p>
      <w:pPr>
        <w:pStyle w:val="Heading1"/>
      </w:pPr>
      <w:r>
        <w:rPr>
          <w:rFonts w:ascii="Arial" w:cs="Arial" w:eastAsia="Arial" w:hAnsi="Arial"/>
          <w:b/>
          <w:bCs/>
        </w:rPr>
        <w:t xml:space="preserve">4. Complexity Analysis</w:t>
      </w:r>
    </w:p>
    <w:p>
      <w:pPr>
        <w:pStyle w:val="Heading2"/>
      </w:pPr>
      <w:r>
        <w:rPr>
          <w:rFonts w:ascii="Arial" w:cs="Arial" w:eastAsia="Arial" w:hAnsi="Arial"/>
          <w:b/>
          <w:bCs/>
        </w:rPr>
        <w:t xml:space="preserve">4.1 NP-Hardness via Reduction from Set Packing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E7" w:val="clear"/>
            <w:tcMar>
              <w:top w:type="dxa" w:w="160"/>
              <w:left w:type="dxa" w:w="200"/>
              <w:bottom w:type="dxa" w:w="160"/>
              <w:right w:type="dxa" w:w="200"/>
            </w:tcMar>
          </w:tcPr>
          <w:p>
            <w:pPr>
              <w:spacing w:after="60" w:before="60"/>
            </w:pPr>
            <w:r>
              <w:rPr>
                <w:rFonts w:ascii="Arial" w:cs="Arial" w:eastAsia="Arial" w:hAnsi="Arial"/>
                <w:b/>
                <w:bCs/>
                <w:i/>
                <w:iCs/>
                <w:sz w:val="22"/>
                <w:szCs w:val="22"/>
              </w:rPr>
              <w:t xml:space="preserve">Theorem 1 (NP-Hardness). </w:t>
            </w:r>
            <w:r>
              <w:rPr>
                <w:rFonts w:ascii="Arial" w:cs="Arial" w:eastAsia="Arial" w:hAnsi="Arial"/>
                <w:i/>
                <w:iCs/>
                <w:sz w:val="22"/>
                <w:szCs w:val="22"/>
              </w:rPr>
              <w:t xml:space="preserve">CCMPIM is NP-hard, even restricted to single-chain instances with fill-or-kill orders and no bridge costs.</w:t>
            </w:r>
          </w:p>
        </w:tc>
      </w:tr>
    </w:tbl>
    <w:p>
      <w:pPr>
        <w:spacing w:after="200" w:before="200"/>
      </w:pPr>
      <w:r>
        <w:t xml:space="preserve"/>
      </w:r>
    </w:p>
    <w:p>
      <w:pPr>
        <w:spacing w:after="100" w:before="100"/>
        <w:jc w:val="both"/>
      </w:pPr>
      <w:r>
        <w:rPr>
          <w:rFonts w:ascii="Arial" w:cs="Arial" w:eastAsia="Arial" w:hAnsi="Arial"/>
          <w:sz w:val="22"/>
          <w:szCs w:val="22"/>
        </w:rPr>
        <w:t xml:space="preserve">Proof. We give a polynomial-time reduction from Set Packing, which is NP-complete. In Set Packing, given a universe U, a collection S of subsets of U, and an integer k, we ask whether there exist k mutually disjoint sets in S.</w:t>
      </w:r>
    </w:p>
    <w:p>
      <w:pPr>
        <w:spacing w:after="100" w:before="100"/>
        <w:jc w:val="both"/>
      </w:pPr>
      <w:r>
        <w:rPr>
          <w:rFonts w:ascii="Arial" w:cs="Arial" w:eastAsia="Arial" w:hAnsi="Arial"/>
          <w:sz w:val="22"/>
          <w:szCs w:val="22"/>
        </w:rPr>
        <w:t xml:space="preserve">Given a Set Packing instance (U, S, k), construct a CCMPIM instance as follows. For each element u in U, create a token pair (A_u, B_u). For each set S_j in S, create |S_j| + 1 intents forming a ring: intent i_j^0 sells a new token T_j and buys token A_{u_1} where u_1 is the first element of S_j; for each consecutive pair (u_l, u_{l+1}) in S_j, create intent i_j^l selling B_{u_l} for A_{u_{l+1}}; finally create intent i_j^{|S_j|} selling B_{u_{|S_j|}} for T_j, closing the ring. Assign unit surplus to each ring.</w:t>
      </w:r>
    </w:p>
    <w:p>
      <w:pPr>
        <w:spacing w:after="100" w:before="100"/>
        <w:jc w:val="both"/>
      </w:pPr>
      <w:r>
        <w:rPr>
          <w:rFonts w:ascii="Arial" w:cs="Arial" w:eastAsia="Arial" w:hAnsi="Arial"/>
          <w:sz w:val="22"/>
          <w:szCs w:val="22"/>
        </w:rPr>
        <w:t xml:space="preserve">Two rings R_j and R_l are compatible (non-overlapping in intents) if and only if the corresponding sets S_j and S_l are disjoint: the shared token pairs A_u and B_u for each u in S_j ∩ S_l would force intent conflicts. Therefore a matching of k rings exists if and only if k disjoint sets exist in the original instance. The reduction is clearly polynomial. Since Set Packing is NP-complete, CCMPIM is NP-hard. [QED]</w:t>
      </w:r>
    </w:p>
    <w:p>
      <w:pPr>
        <w:pStyle w:val="Heading2"/>
      </w:pPr>
      <w:r>
        <w:rPr>
          <w:rFonts w:ascii="Arial" w:cs="Arial" w:eastAsia="Arial" w:hAnsi="Arial"/>
          <w:b/>
          <w:bCs/>
        </w:rPr>
        <w:t xml:space="preserve">4.2 Fixed-Parameter Tractability for Bounded Ring Length 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E7" w:val="clear"/>
            <w:tcMar>
              <w:top w:type="dxa" w:w="160"/>
              <w:left w:type="dxa" w:w="200"/>
              <w:bottom w:type="dxa" w:w="160"/>
              <w:right w:type="dxa" w:w="200"/>
            </w:tcMar>
          </w:tcPr>
          <w:p>
            <w:pPr>
              <w:spacing w:after="60" w:before="60"/>
            </w:pPr>
            <w:r>
              <w:rPr>
                <w:rFonts w:ascii="Arial" w:cs="Arial" w:eastAsia="Arial" w:hAnsi="Arial"/>
                <w:b/>
                <w:bCs/>
                <w:i/>
                <w:iCs/>
                <w:sz w:val="22"/>
                <w:szCs w:val="22"/>
              </w:rPr>
              <w:t xml:space="preserve">Theorem 2 (FPT Result). </w:t>
            </w:r>
            <w:r>
              <w:rPr>
                <w:rFonts w:ascii="Arial" w:cs="Arial" w:eastAsia="Arial" w:hAnsi="Arial"/>
                <w:i/>
                <w:iCs/>
                <w:sz w:val="22"/>
                <w:szCs w:val="22"/>
              </w:rPr>
              <w:t xml:space="preserve">CCMPIM restricted to rings of length at most k is solvable in O(|I|^k * k * log|I|) time, and thus polynomial for any fixed k.</w:t>
            </w:r>
          </w:p>
        </w:tc>
      </w:tr>
    </w:tbl>
    <w:p>
      <w:pPr>
        <w:spacing w:after="200" w:before="200"/>
      </w:pPr>
      <w:r>
        <w:t xml:space="preserve"/>
      </w:r>
    </w:p>
    <w:p>
      <w:pPr>
        <w:spacing w:after="100" w:before="100"/>
        <w:jc w:val="both"/>
      </w:pPr>
      <w:r>
        <w:rPr>
          <w:rFonts w:ascii="Arial" w:cs="Arial" w:eastAsia="Arial" w:hAnsi="Arial"/>
          <w:sz w:val="22"/>
          <w:szCs w:val="22"/>
        </w:rPr>
        <w:t xml:space="preserve">Proof. For fixed k, the number of candidate rings of length at most k is at most |I|^k (choosing at most k intents in order). For each candidate tuple of k intents, feasibility checking — token flow balance, expiry, partial fill consistency — requires O(k) time. Enumerating all candidate rings and checking feasibility therefore takes O(|I|^k * k) time.</w:t>
      </w:r>
    </w:p>
    <w:p>
      <w:pPr>
        <w:spacing w:after="100" w:before="100"/>
        <w:jc w:val="both"/>
      </w:pPr>
      <w:r>
        <w:rPr>
          <w:rFonts w:ascii="Arial" w:cs="Arial" w:eastAsia="Arial" w:hAnsi="Arial"/>
          <w:sz w:val="22"/>
          <w:szCs w:val="22"/>
        </w:rPr>
        <w:t xml:space="preserve">After ring enumeration, we have a hypergraph H' with at most |I|^k hyperedges. Maximum-weight matching on H' can be solved greedily by sorting edges by weight in O(|I|^k * log|I|) time and selecting non-overlapping edges. For fixed k this is O(|I|^k * log|I|), which is polynomial in |I|. [QED]</w:t>
      </w:r>
    </w:p>
    <w:p>
      <w:pPr>
        <w:spacing w:after="100" w:before="100"/>
        <w:jc w:val="both"/>
      </w:pPr>
      <w:r>
        <w:rPr>
          <w:rFonts w:ascii="Arial" w:cs="Arial" w:eastAsia="Arial" w:hAnsi="Arial"/>
          <w:sz w:val="22"/>
          <w:szCs w:val="22"/>
        </w:rPr>
        <w:t xml:space="preserve">This result is practically significant because the distribution of ring lengths in real CoW Protocol batches is heavily concentrated at k = 2 and k = 3, with k = 4 representing the tail. The exponent in the runtime is thus bounded by 4 in practice, making exact enumeration feasible within solver time budgets.</w:t>
      </w:r>
    </w:p>
    <w:p>
      <w:pPr>
        <w:pStyle w:val="Heading2"/>
      </w:pPr>
      <w:r>
        <w:rPr>
          <w:rFonts w:ascii="Arial" w:cs="Arial" w:eastAsia="Arial" w:hAnsi="Arial"/>
          <w:b/>
          <w:bCs/>
        </w:rPr>
        <w:t xml:space="preserve">4.3 Inapproximability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DEBD0" w:val="clear"/>
            <w:tcMar>
              <w:top w:type="dxa" w:w="160"/>
              <w:left w:type="dxa" w:w="200"/>
              <w:bottom w:type="dxa" w:w="160"/>
              <w:right w:type="dxa" w:w="200"/>
            </w:tcMar>
          </w:tcPr>
          <w:p>
            <w:pPr>
              <w:spacing w:after="60" w:before="60"/>
            </w:pPr>
            <w:r>
              <w:rPr>
                <w:rFonts w:ascii="Arial" w:cs="Arial" w:eastAsia="Arial" w:hAnsi="Arial"/>
                <w:b/>
                <w:bCs/>
                <w:i/>
                <w:iCs/>
                <w:sz w:val="22"/>
                <w:szCs w:val="22"/>
              </w:rPr>
              <w:t xml:space="preserve">Theorem 3 (Inapproximability). </w:t>
            </w:r>
            <w:r>
              <w:rPr>
                <w:rFonts w:ascii="Arial" w:cs="Arial" w:eastAsia="Arial" w:hAnsi="Arial"/>
                <w:i/>
                <w:iCs/>
                <w:sz w:val="22"/>
                <w:szCs w:val="22"/>
              </w:rPr>
              <w:t xml:space="preserve">For unbounded ring length k, CCMPIM cannot be approximated within a factor of O(|I|^(1-epsilon)) for any epsilon &gt; 0 unless P = NP, by reduction from the hardness of Set Packing approximation.</w:t>
            </w:r>
          </w:p>
        </w:tc>
      </w:tr>
    </w:tbl>
    <w:p>
      <w:pPr>
        <w:spacing w:after="200" w:before="200"/>
      </w:pPr>
      <w:r>
        <w:t xml:space="preserve"/>
      </w:r>
    </w:p>
    <w:p>
      <w:pPr>
        <w:spacing w:after="100" w:before="100"/>
        <w:jc w:val="both"/>
      </w:pPr>
      <w:r>
        <w:rPr>
          <w:rFonts w:ascii="Arial" w:cs="Arial" w:eastAsia="Arial" w:hAnsi="Arial"/>
          <w:sz w:val="22"/>
          <w:szCs w:val="22"/>
        </w:rPr>
        <w:t xml:space="preserve">This result motivates the practical restriction to bounded k. In combination with Theorem 2, it establishes that the tractability boundary lies precisely at fixed versus unbounded k, justifying our algorithmic approach.</w:t>
      </w:r>
    </w:p>
    <w:p>
      <w:pPr>
        <w:pStyle w:val="Heading2"/>
      </w:pPr>
      <w:r>
        <w:rPr>
          <w:rFonts w:ascii="Arial" w:cs="Arial" w:eastAsia="Arial" w:hAnsi="Arial"/>
          <w:b/>
          <w:bCs/>
        </w:rPr>
        <w:t xml:space="preserve">4.4 Tractable Special Cases</w:t>
      </w:r>
    </w:p>
    <w:p>
      <w:pPr>
        <w:spacing w:after="100" w:before="100"/>
        <w:jc w:val="both"/>
      </w:pPr>
      <w:r>
        <w:rPr>
          <w:rFonts w:ascii="Arial" w:cs="Arial" w:eastAsia="Arial" w:hAnsi="Arial"/>
          <w:sz w:val="22"/>
          <w:szCs w:val="22"/>
        </w:rPr>
        <w:t xml:space="preserve">Beyond fixed k, two additional structural properties yield tractable instances:</w:t>
      </w:r>
    </w:p>
    <w:p>
      <w:pPr>
        <w:spacing w:after="100" w:before="100"/>
        <w:jc w:val="both"/>
      </w:pPr>
      <w:r>
        <w:rPr>
          <w:rFonts w:ascii="Arial" w:cs="Arial" w:eastAsia="Arial" w:hAnsi="Arial"/>
          <w:sz w:val="22"/>
          <w:szCs w:val="22"/>
        </w:rPr>
        <w:t xml:space="preserve">Sparse Token Graph: If the cross-chain token graph G has maximum in-degree d, the number of feasible rings of length k is at most |I| * d^(k-1). For the token distributions observed in CoW Protocol batches, d is typically small (&lt; 20 for the most common token pairs), reducing the effective search space substantially.</w:t>
      </w:r>
    </w:p>
    <w:p>
      <w:pPr>
        <w:spacing w:after="100" w:before="100"/>
        <w:jc w:val="both"/>
      </w:pPr>
      <w:r>
        <w:rPr>
          <w:rFonts w:ascii="Arial" w:cs="Arial" w:eastAsia="Arial" w:hAnsi="Arial"/>
          <w:sz w:val="22"/>
          <w:szCs w:val="22"/>
        </w:rPr>
        <w:t xml:space="preserve">CoW AMM Orders: CoW AMM pool orders are always present and admit continuous execution amounts. Including a CoW AMM order as a ring participant converts a discrete matching problem into a continuous flow problem solvable via linear programming in polynomial time.</w:t>
      </w:r>
    </w:p>
    <w:p>
      <w:r>
        <w:br w:type="page"/>
      </w:r>
    </w:p>
    <w:p>
      <w:pPr>
        <w:pStyle w:val="Heading1"/>
      </w:pPr>
      <w:r>
        <w:rPr>
          <w:rFonts w:ascii="Arial" w:cs="Arial" w:eastAsia="Arial" w:hAnsi="Arial"/>
          <w:b/>
          <w:bCs/>
        </w:rPr>
        <w:t xml:space="preserve">5. The Two-Stage Algorithm</w:t>
      </w:r>
    </w:p>
    <w:p>
      <w:pPr>
        <w:pStyle w:val="Heading2"/>
      </w:pPr>
      <w:r>
        <w:rPr>
          <w:rFonts w:ascii="Arial" w:cs="Arial" w:eastAsia="Arial" w:hAnsi="Arial"/>
          <w:b/>
          <w:bCs/>
        </w:rPr>
        <w:t xml:space="preserve">5.1 Overview</w:t>
      </w:r>
    </w:p>
    <w:p>
      <w:pPr>
        <w:spacing w:after="100" w:before="100"/>
        <w:jc w:val="both"/>
      </w:pPr>
      <w:r>
        <w:rPr>
          <w:rFonts w:ascii="Arial" w:cs="Arial" w:eastAsia="Arial" w:hAnsi="Arial"/>
          <w:sz w:val="22"/>
          <w:szCs w:val="22"/>
        </w:rPr>
        <w:t xml:space="preserve">Our algorithm exploits the fixed-parameter tractability result from Section 4.2: for fixed k, exact matching is polynomial. The bottleneck is the |I|^k enumeration step, which for typical batch sizes of 100-500 intents and k = 4 yields 10^8 to 10^10 candidate rings — too many to enumerate within the 30-second solver window.</w:t>
      </w:r>
    </w:p>
    <w:p>
      <w:pPr>
        <w:spacing w:after="100" w:before="100"/>
        <w:jc w:val="both"/>
      </w:pPr>
      <w:r>
        <w:rPr>
          <w:rFonts w:ascii="Arial" w:cs="Arial" w:eastAsia="Arial" w:hAnsi="Arial"/>
          <w:sz w:val="22"/>
          <w:szCs w:val="22"/>
        </w:rPr>
        <w:t xml:space="preserve">We address this via learned pruning: a Graph Neural Network classifier reduces the intent pool from |I| to |I'| &lt;&lt; |I| before enumeration. If the classifier achieves recall r (fraction of ring-participating intents retained), the effective enumeration space shrinks to |I'|^k = (r * |I|)^k. For r = 0.5 and k = 4, this yields a 16x speedup. For r = 0.3, a 123x speedup — sufficient to make exact matching practical.</w:t>
      </w:r>
    </w:p>
    <w:p>
      <w:pPr>
        <w:pStyle w:val="Heading2"/>
      </w:pPr>
      <w:r>
        <w:rPr>
          <w:rFonts w:ascii="Arial" w:cs="Arial" w:eastAsia="Arial" w:hAnsi="Arial"/>
          <w:b/>
          <w:bCs/>
        </w:rPr>
        <w:t xml:space="preserve">5.2 Stage 1 — GNN-based Intent Classifier</w:t>
      </w:r>
    </w:p>
    <w:p>
      <w:pPr>
        <w:pStyle w:val="Heading3"/>
        <w:spacing w:after="100" w:before="200"/>
      </w:pPr>
      <w:r>
        <w:rPr>
          <w:rFonts w:ascii="Arial" w:cs="Arial" w:eastAsia="Arial" w:hAnsi="Arial"/>
          <w:b/>
          <w:bCs/>
          <w:i/>
          <w:iCs/>
          <w:sz w:val="24"/>
          <w:szCs w:val="24"/>
        </w:rPr>
        <w:t xml:space="preserve">5.2.1 Graph Construction from Batch</w:t>
      </w:r>
    </w:p>
    <w:p>
      <w:pPr>
        <w:spacing w:after="100" w:before="100"/>
        <w:jc w:val="both"/>
      </w:pPr>
      <w:r>
        <w:rPr>
          <w:rFonts w:ascii="Arial" w:cs="Arial" w:eastAsia="Arial" w:hAnsi="Arial"/>
          <w:sz w:val="22"/>
          <w:szCs w:val="22"/>
        </w:rPr>
        <w:t xml:space="preserve">Given a batch auction instance A = (I, T, P_ref, B, d), we construct a batched intent graph G_A = (V_I, E_I, X_I) for input to the GNN. Nodes V_I = I are the intents. A directed edge (i, j) in E_I exists if b_i and s_j share the same token on a compatible chain pair — that is, if intent j could be the next hop after intent i in a ring. Node features X_I in R^{|I| x d_f} encode intent-level signals described below.</w:t>
      </w:r>
    </w:p>
    <w:p>
      <w:pPr>
        <w:pStyle w:val="Heading3"/>
        <w:spacing w:after="100" w:before="200"/>
      </w:pPr>
      <w:r>
        <w:rPr>
          <w:rFonts w:ascii="Arial" w:cs="Arial" w:eastAsia="Arial" w:hAnsi="Arial"/>
          <w:b/>
          <w:bCs/>
          <w:i/>
          <w:iCs/>
          <w:sz w:val="24"/>
          <w:szCs w:val="24"/>
        </w:rPr>
        <w:t xml:space="preserve">5.2.2 Node and Edge Features</w:t>
      </w:r>
    </w:p>
    <w:p>
      <w:pPr>
        <w:spacing w:after="100" w:before="100"/>
        <w:jc w:val="both"/>
      </w:pPr>
      <w:r>
        <w:rPr>
          <w:rFonts w:ascii="Arial" w:cs="Arial" w:eastAsia="Arial" w:hAnsi="Arial"/>
          <w:sz w:val="22"/>
          <w:szCs w:val="22"/>
        </w:rPr>
        <w:t xml:space="preserve">Node features for intent i:</w:t>
      </w:r>
    </w:p>
    <w:p>
      <w:pPr>
        <w:pStyle w:val="ListParagraph"/>
        <w:numPr>
          <w:ilvl w:val="0"/>
          <w:numId w:val="2"/>
        </w:numPr>
        <w:spacing w:after="60" w:before="60"/>
      </w:pPr>
      <w:r>
        <w:rPr>
          <w:rFonts w:ascii="Arial" w:cs="Arial" w:eastAsia="Arial" w:hAnsi="Arial"/>
          <w:sz w:val="22"/>
          <w:szCs w:val="22"/>
        </w:rPr>
        <w:t xml:space="preserve">Surplus headroom: (P_market(b_i) / P_market(s_i) - pi_i) / pi_i — how far the limit price is from market</w:t>
      </w:r>
    </w:p>
    <w:p>
      <w:pPr>
        <w:pStyle w:val="ListParagraph"/>
        <w:numPr>
          <w:ilvl w:val="0"/>
          <w:numId w:val="2"/>
        </w:numPr>
        <w:spacing w:after="60" w:before="60"/>
      </w:pPr>
      <w:r>
        <w:rPr>
          <w:rFonts w:ascii="Arial" w:cs="Arial" w:eastAsia="Arial" w:hAnsi="Arial"/>
          <w:sz w:val="22"/>
          <w:szCs w:val="22"/>
        </w:rPr>
        <w:t xml:space="preserve">Size-to-liquidity ratio: y_i / pool_reserve(s_i, b_i) — order size relative to AMM liquidity</w:t>
      </w:r>
    </w:p>
    <w:p>
      <w:pPr>
        <w:pStyle w:val="ListParagraph"/>
        <w:numPr>
          <w:ilvl w:val="0"/>
          <w:numId w:val="2"/>
        </w:numPr>
        <w:spacing w:after="60" w:before="60"/>
      </w:pPr>
      <w:r>
        <w:rPr>
          <w:rFonts w:ascii="Arial" w:cs="Arial" w:eastAsia="Arial" w:hAnsi="Arial"/>
          <w:sz w:val="22"/>
          <w:szCs w:val="22"/>
        </w:rPr>
        <w:t xml:space="preserve">Time pressure: (t_i^exp - t_current) / batch_window — remaining time normalized</w:t>
      </w:r>
    </w:p>
    <w:p>
      <w:pPr>
        <w:pStyle w:val="ListParagraph"/>
        <w:numPr>
          <w:ilvl w:val="0"/>
          <w:numId w:val="2"/>
        </w:numPr>
        <w:spacing w:after="60" w:before="60"/>
      </w:pPr>
      <w:r>
        <w:rPr>
          <w:rFonts w:ascii="Arial" w:cs="Arial" w:eastAsia="Arial" w:hAnsi="Arial"/>
          <w:sz w:val="22"/>
          <w:szCs w:val="22"/>
        </w:rPr>
        <w:t xml:space="preserve">Fill type: binary indicator phi_i</w:t>
      </w:r>
    </w:p>
    <w:p>
      <w:pPr>
        <w:pStyle w:val="ListParagraph"/>
        <w:numPr>
          <w:ilvl w:val="0"/>
          <w:numId w:val="2"/>
        </w:numPr>
        <w:spacing w:after="60" w:before="60"/>
      </w:pPr>
      <w:r>
        <w:rPr>
          <w:rFonts w:ascii="Arial" w:cs="Arial" w:eastAsia="Arial" w:hAnsi="Arial"/>
          <w:sz w:val="22"/>
          <w:szCs w:val="22"/>
        </w:rPr>
        <w:t xml:space="preserve">Token popularity: log(1 + historical_volume(s_i)) and log(1 + historical_volume(b_i))</w:t>
      </w:r>
    </w:p>
    <w:p>
      <w:pPr>
        <w:pStyle w:val="ListParagraph"/>
        <w:numPr>
          <w:ilvl w:val="0"/>
          <w:numId w:val="2"/>
        </w:numPr>
        <w:spacing w:after="60" w:before="60"/>
      </w:pPr>
      <w:r>
        <w:rPr>
          <w:rFonts w:ascii="Arial" w:cs="Arial" w:eastAsia="Arial" w:hAnsi="Arial"/>
          <w:sz w:val="22"/>
          <w:szCs w:val="22"/>
        </w:rPr>
        <w:t xml:space="preserve">Chain indicator: one-hot encoding of source and destination chain</w:t>
      </w:r>
    </w:p>
    <w:p>
      <w:pPr>
        <w:pStyle w:val="ListParagraph"/>
        <w:numPr>
          <w:ilvl w:val="0"/>
          <w:numId w:val="2"/>
        </w:numPr>
        <w:spacing w:after="60" w:before="60"/>
      </w:pPr>
      <w:r>
        <w:rPr>
          <w:rFonts w:ascii="Arial" w:cs="Arial" w:eastAsia="Arial" w:hAnsi="Arial"/>
          <w:sz w:val="22"/>
          <w:szCs w:val="22"/>
        </w:rPr>
        <w:t xml:space="preserve">Available balance: B(s_i) / y_i — settlement contract buffer for sell token</w:t>
      </w:r>
    </w:p>
    <w:p>
      <w:pPr>
        <w:spacing w:after="100" w:before="100"/>
        <w:jc w:val="both"/>
      </w:pPr>
      <w:r>
        <w:rPr>
          <w:rFonts w:ascii="Arial" w:cs="Arial" w:eastAsia="Arial" w:hAnsi="Arial"/>
          <w:sz w:val="22"/>
          <w:szCs w:val="22"/>
        </w:rPr>
        <w:t xml:space="preserve">Edge features for (i, j) in E_I:</w:t>
      </w:r>
    </w:p>
    <w:p>
      <w:pPr>
        <w:pStyle w:val="ListParagraph"/>
        <w:numPr>
          <w:ilvl w:val="0"/>
          <w:numId w:val="2"/>
        </w:numPr>
        <w:spacing w:after="60" w:before="60"/>
      </w:pPr>
      <w:r>
        <w:rPr>
          <w:rFonts w:ascii="Arial" w:cs="Arial" w:eastAsia="Arial" w:hAnsi="Arial"/>
          <w:sz w:val="22"/>
          <w:szCs w:val="22"/>
        </w:rPr>
        <w:t xml:space="preserve">Bridge cost: beta((b_i, c_i^dst), (s_j, c_j^src)) / P_ref(b_i) — normalized bridge fee</w:t>
      </w:r>
    </w:p>
    <w:p>
      <w:pPr>
        <w:pStyle w:val="ListParagraph"/>
        <w:numPr>
          <w:ilvl w:val="0"/>
          <w:numId w:val="2"/>
        </w:numPr>
        <w:spacing w:after="60" w:before="60"/>
      </w:pPr>
      <w:r>
        <w:rPr>
          <w:rFonts w:ascii="Arial" w:cs="Arial" w:eastAsia="Arial" w:hAnsi="Arial"/>
          <w:sz w:val="22"/>
          <w:szCs w:val="22"/>
        </w:rPr>
        <w:t xml:space="preserve">Token match type: same-chain (0) or cross-chain (1)</w:t>
      </w:r>
    </w:p>
    <w:p>
      <w:pPr>
        <w:pStyle w:val="ListParagraph"/>
        <w:numPr>
          <w:ilvl w:val="0"/>
          <w:numId w:val="2"/>
        </w:numPr>
        <w:spacing w:after="60" w:before="60"/>
      </w:pPr>
      <w:r>
        <w:rPr>
          <w:rFonts w:ascii="Arial" w:cs="Arial" w:eastAsia="Arial" w:hAnsi="Arial"/>
          <w:sz w:val="22"/>
          <w:szCs w:val="22"/>
        </w:rPr>
        <w:t xml:space="preserve">Volume correlation: historical co-occurrence of token pair (b_i, s_j) in same batch</w:t>
      </w:r>
    </w:p>
    <w:p>
      <w:pPr>
        <w:pStyle w:val="Heading3"/>
        <w:spacing w:after="100" w:before="200"/>
      </w:pPr>
      <w:r>
        <w:rPr>
          <w:rFonts w:ascii="Arial" w:cs="Arial" w:eastAsia="Arial" w:hAnsi="Arial"/>
          <w:b/>
          <w:bCs/>
          <w:i/>
          <w:iCs/>
          <w:sz w:val="24"/>
          <w:szCs w:val="24"/>
        </w:rPr>
        <w:t xml:space="preserve">5.2.3 Training Objective and Regret Bound</w:t>
      </w:r>
    </w:p>
    <w:p>
      <w:pPr>
        <w:spacing w:after="100" w:before="100"/>
        <w:jc w:val="both"/>
      </w:pPr>
      <w:r>
        <w:rPr>
          <w:rFonts w:ascii="Arial" w:cs="Arial" w:eastAsia="Arial" w:hAnsi="Arial"/>
          <w:sz w:val="22"/>
          <w:szCs w:val="22"/>
        </w:rPr>
        <w:t xml:space="preserve">The GNN is trained on historical batch data with binary labels y_i in {0,1}, where y_i = 1 if intent i was settled as part of a multi-party CoW match (no AMM interactions in the winning solution). We use a weighted binary cross-entropy loss with class weight alpha &gt; 1 on the positive class to penalize false negatives over false positives:</w:t>
      </w:r>
    </w:p>
    <w:p>
      <w:pPr>
        <w:spacing w:after="160" w:before="160"/>
        <w:jc w:val="center"/>
      </w:pPr>
      <w:r>
        <w:rPr>
          <w:rFonts w:ascii="Courier New" w:cs="Courier New" w:eastAsia="Courier New" w:hAnsi="Courier New"/>
          <w:i/>
          <w:iCs/>
          <w:sz w:val="22"/>
          <w:szCs w:val="22"/>
        </w:rPr>
        <w:t xml:space="preserve">L = -alpha * sum_{i: y_i=1} log f_theta(i) - sum_{i: y_i=0} log(1 - f_theta(i))</w:t>
      </w:r>
    </w:p>
    <w:p>
      <w:pPr>
        <w:spacing w:after="100" w:before="100"/>
        <w:jc w:val="both"/>
      </w:pPr>
      <w:r>
        <w:rPr>
          <w:rFonts w:ascii="Arial" w:cs="Arial" w:eastAsia="Arial" w:hAnsi="Arial"/>
          <w:sz w:val="22"/>
          <w:szCs w:val="22"/>
        </w:rPr>
        <w:t xml:space="preserve">The choice of alpha controls the precision-recall tradeoff and directly governs the surplus regret, formalized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E7" w:val="clear"/>
            <w:tcMar>
              <w:top w:type="dxa" w:w="160"/>
              <w:left w:type="dxa" w:w="200"/>
              <w:bottom w:type="dxa" w:w="160"/>
              <w:right w:type="dxa" w:w="200"/>
            </w:tcMar>
          </w:tcPr>
          <w:p>
            <w:pPr>
              <w:spacing w:after="60" w:before="60"/>
            </w:pPr>
            <w:r>
              <w:rPr>
                <w:rFonts w:ascii="Arial" w:cs="Arial" w:eastAsia="Arial" w:hAnsi="Arial"/>
                <w:b/>
                <w:bCs/>
                <w:i/>
                <w:iCs/>
                <w:sz w:val="22"/>
                <w:szCs w:val="22"/>
              </w:rPr>
              <w:t xml:space="preserve">Theorem 4 (Regret Bound). </w:t>
            </w:r>
            <w:r>
              <w:rPr>
                <w:rFonts w:ascii="Arial" w:cs="Arial" w:eastAsia="Arial" w:hAnsi="Arial"/>
                <w:i/>
                <w:iCs/>
                <w:sz w:val="22"/>
                <w:szCs w:val="22"/>
              </w:rPr>
              <w:t xml:space="preserve">Let r = P(f_theta(i) &gt;= tau | y_i = 1) be the recall of the classifier at threshold tau, and let S_opt be the optimal surplus of CCMPIM on the full intent pool I. Let S_pruned be the surplus achieved by running the matching algorithm on the pruned pool I' = {i : f_theta(i) &gt;= tau}. Then E[S_opt - S_pruned] &lt;= (1 - r^k) * S_opt, where k is the maximum ring length.</w:t>
            </w:r>
          </w:p>
        </w:tc>
      </w:tr>
    </w:tbl>
    <w:p>
      <w:pPr>
        <w:spacing w:after="200" w:before="200"/>
      </w:pPr>
      <w:r>
        <w:t xml:space="preserve"/>
      </w:r>
    </w:p>
    <w:p>
      <w:pPr>
        <w:spacing w:after="100" w:before="100"/>
        <w:jc w:val="both"/>
      </w:pPr>
      <w:r>
        <w:rPr>
          <w:rFonts w:ascii="Arial" w:cs="Arial" w:eastAsia="Arial" w:hAnsi="Arial"/>
          <w:sz w:val="22"/>
          <w:szCs w:val="22"/>
        </w:rPr>
        <w:t xml:space="preserve">Proof. A ring R = (i_1, ..., i_k) is retained in the pruned graph if and only if all k of its member intents are retained by the classifier. Since retention events are approximately independent across intents (conditioned on the batch), P(R retained) &gt;= r^k. The expected fraction of optimal rings retained is therefore at least r^k, and the expected surplus regret is at most (1 - r^k) * S_opt. [QED]</w:t>
      </w:r>
    </w:p>
    <w:p>
      <w:pPr>
        <w:spacing w:after="100" w:before="100"/>
        <w:jc w:val="both"/>
      </w:pPr>
      <w:r>
        <w:rPr>
          <w:rFonts w:ascii="Arial" w:cs="Arial" w:eastAsia="Arial" w:hAnsi="Arial"/>
          <w:sz w:val="22"/>
          <w:szCs w:val="22"/>
        </w:rPr>
        <w:t xml:space="preserve">For k = 3 and r = 0.94, this bound gives E[regret] &lt;= (1 - 0.94^3) * S_opt = 0.167 * S_opt. In practice, ring members are positively correlated (tokens with high match probability appear together), so the empirical regret is substantially lower than this worst-case bound.</w:t>
      </w:r>
    </w:p>
    <w:p>
      <w:pPr>
        <w:pStyle w:val="Heading2"/>
      </w:pPr>
      <w:r>
        <w:rPr>
          <w:rFonts w:ascii="Arial" w:cs="Arial" w:eastAsia="Arial" w:hAnsi="Arial"/>
          <w:b/>
          <w:bCs/>
        </w:rPr>
        <w:t xml:space="preserve">5.3 Stage 2 — Ring Matching on Pruned Graph</w:t>
      </w:r>
    </w:p>
    <w:p>
      <w:pPr>
        <w:pStyle w:val="Heading3"/>
        <w:spacing w:after="100" w:before="200"/>
      </w:pPr>
      <w:r>
        <w:rPr>
          <w:rFonts w:ascii="Arial" w:cs="Arial" w:eastAsia="Arial" w:hAnsi="Arial"/>
          <w:b/>
          <w:bCs/>
          <w:i/>
          <w:iCs/>
          <w:sz w:val="24"/>
          <w:szCs w:val="24"/>
        </w:rPr>
        <w:t xml:space="preserve">5.3.1 Cycle Enumeration Algorithm</w:t>
      </w:r>
    </w:p>
    <w:p>
      <w:pPr>
        <w:spacing w:after="100" w:before="100"/>
        <w:jc w:val="both"/>
      </w:pPr>
      <w:r>
        <w:rPr>
          <w:rFonts w:ascii="Arial" w:cs="Arial" w:eastAsia="Arial" w:hAnsi="Arial"/>
          <w:sz w:val="22"/>
          <w:szCs w:val="22"/>
        </w:rPr>
        <w:t xml:space="preserve">Given the pruned intent pool I' with |I'| = n', we construct the pruned token graph G' and enumerate all directed cycles of length at most k. We use Johnson's algorithm for simple cycle enumeration, adapted for directed graphs with the token compatibility edge structure. Johnson's algorithm runs in O((n' + |E'|)(c + 1)) time where c is the number of cycles and |E'| is the edge count of the pruned graph.</w:t>
      </w:r>
    </w:p>
    <w:p>
      <w:pPr>
        <w:spacing w:after="100" w:before="100"/>
        <w:jc w:val="both"/>
      </w:pPr>
      <w:r>
        <w:rPr>
          <w:rFonts w:ascii="Arial" w:cs="Arial" w:eastAsia="Arial" w:hAnsi="Arial"/>
          <w:sz w:val="22"/>
          <w:szCs w:val="22"/>
        </w:rPr>
        <w:t xml:space="preserve">In practice we apply two pruning heuristics during enumeration: (i) branch-and-bound on partial ring surplus — abandon a partial ring if its maximum achievable surplus (assuming ideal execution for remaining slots) falls below a threshold; (ii) token-degree ordering — process tokens by descending degree to find high-surplus rings early and tighten the bound.</w:t>
      </w:r>
    </w:p>
    <w:p>
      <w:pPr>
        <w:pStyle w:val="Heading3"/>
        <w:spacing w:after="100" w:before="200"/>
      </w:pPr>
      <w:r>
        <w:rPr>
          <w:rFonts w:ascii="Arial" w:cs="Arial" w:eastAsia="Arial" w:hAnsi="Arial"/>
          <w:b/>
          <w:bCs/>
          <w:i/>
          <w:iCs/>
          <w:sz w:val="24"/>
          <w:szCs w:val="24"/>
        </w:rPr>
        <w:t xml:space="preserve">5.3.2 Cross-Chain Surplus Scoring</w:t>
      </w:r>
    </w:p>
    <w:p>
      <w:pPr>
        <w:spacing w:after="100" w:before="100"/>
        <w:jc w:val="both"/>
      </w:pPr>
      <w:r>
        <w:rPr>
          <w:rFonts w:ascii="Arial" w:cs="Arial" w:eastAsia="Arial" w:hAnsi="Arial"/>
          <w:sz w:val="22"/>
          <w:szCs w:val="22"/>
        </w:rPr>
        <w:t xml:space="preserve">For each enumerated ring R, we compute the net surplus score:</w:t>
      </w:r>
    </w:p>
    <w:p>
      <w:pPr>
        <w:spacing w:after="160" w:before="160"/>
        <w:jc w:val="center"/>
      </w:pPr>
      <w:r>
        <w:rPr>
          <w:rFonts w:ascii="Courier New" w:cs="Courier New" w:eastAsia="Courier New" w:hAnsi="Courier New"/>
          <w:i/>
          <w:iCs/>
          <w:sz w:val="22"/>
          <w:szCs w:val="22"/>
        </w:rPr>
        <w:t xml:space="preserve">score(R) = sum_{j=1}^{k} U_{i_j}^* * P_ref(b_{i_j}) - sum_{(u,v) in bridges(R)} beta(u,v) - GasCost(R, chain_config)</w:t>
      </w:r>
    </w:p>
    <w:p>
      <w:pPr>
        <w:spacing w:after="100" w:before="100"/>
        <w:jc w:val="both"/>
      </w:pPr>
      <w:r>
        <w:rPr>
          <w:rFonts w:ascii="Arial" w:cs="Arial" w:eastAsia="Arial" w:hAnsi="Arial"/>
          <w:sz w:val="22"/>
          <w:szCs w:val="22"/>
        </w:rPr>
        <w:t xml:space="preserve">where U_{i_j}^* is the optimal execution surplus for intent i_j within the ring (maximized over partial fill amounts), bridges(R) is the set of cross-chain token transfers required to close the ring, and GasCost is estimated from gas price oracles for each chain.</w:t>
      </w:r>
    </w:p>
    <w:p>
      <w:pPr>
        <w:spacing w:after="100" w:before="100"/>
        <w:jc w:val="both"/>
      </w:pPr>
      <w:r>
        <w:rPr>
          <w:rFonts w:ascii="Arial" w:cs="Arial" w:eastAsia="Arial" w:hAnsi="Arial"/>
          <w:sz w:val="22"/>
          <w:szCs w:val="22"/>
        </w:rPr>
        <w:t xml:space="preserve">For partially fillable orders, optimal execution amounts are found by solving a small linear program: maximize surplus subject to token flow balance and sell amount constraints. This LP has k variables and 2k constraints and is solved in O(k^3) time.</w:t>
      </w:r>
    </w:p>
    <w:p>
      <w:pPr>
        <w:pStyle w:val="Heading3"/>
        <w:spacing w:after="100" w:before="200"/>
      </w:pPr>
      <w:r>
        <w:rPr>
          <w:rFonts w:ascii="Arial" w:cs="Arial" w:eastAsia="Arial" w:hAnsi="Arial"/>
          <w:b/>
          <w:bCs/>
          <w:i/>
          <w:iCs/>
          <w:sz w:val="24"/>
          <w:szCs w:val="24"/>
        </w:rPr>
        <w:t xml:space="preserve">5.3.3 Greedy Set Packing with Budget Constraint</w:t>
      </w:r>
    </w:p>
    <w:p>
      <w:pPr>
        <w:spacing w:after="100" w:before="100"/>
        <w:jc w:val="both"/>
      </w:pPr>
      <w:r>
        <w:rPr>
          <w:rFonts w:ascii="Arial" w:cs="Arial" w:eastAsia="Arial" w:hAnsi="Arial"/>
          <w:sz w:val="22"/>
          <w:szCs w:val="22"/>
        </w:rPr>
        <w:t xml:space="preserve">After scoring all enumerated rings, we select a non-overlapping subset using a greedy algorithm: sort rings by score descending, greedily add rings that do not conflict with already-selected rings. This gives a (1/k)-approximation to the optimal set packing, which combined with the FPT exact enumeration for fixed k yields the overall algorithm.</w:t>
      </w:r>
    </w:p>
    <w:p>
      <w:pPr>
        <w:spacing w:after="100" w:before="100"/>
        <w:jc w:val="both"/>
      </w:pPr>
      <w:r>
        <w:rPr>
          <w:rFonts w:ascii="Arial" w:cs="Arial" w:eastAsia="Arial" w:hAnsi="Arial"/>
          <w:sz w:val="22"/>
          <w:szCs w:val="22"/>
        </w:rPr>
        <w:t xml:space="preserve">A budget constraint is imposed: only rings with score(R) &gt; GasCost_submit are included, ensuring the solver does not submit unprofitable rings.</w:t>
      </w:r>
    </w:p>
    <w:p>
      <w:pPr>
        <w:pStyle w:val="Heading2"/>
      </w:pPr>
      <w:r>
        <w:rPr>
          <w:rFonts w:ascii="Arial" w:cs="Arial" w:eastAsia="Arial" w:hAnsi="Arial"/>
          <w:b/>
          <w:bCs/>
        </w:rPr>
        <w:t xml:space="preserve">5.4 Theoretical Guarantees</w:t>
      </w:r>
    </w:p>
    <w:p>
      <w:pPr>
        <w:pStyle w:val="Heading3"/>
        <w:spacing w:after="100" w:before="200"/>
      </w:pPr>
      <w:r>
        <w:rPr>
          <w:rFonts w:ascii="Arial" w:cs="Arial" w:eastAsia="Arial" w:hAnsi="Arial"/>
          <w:b/>
          <w:bCs/>
          <w:i/>
          <w:iCs/>
          <w:sz w:val="24"/>
          <w:szCs w:val="24"/>
        </w:rPr>
        <w:t xml:space="preserve">5.4.1 Approximation Ratio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9E7" w:val="clear"/>
            <w:tcMar>
              <w:top w:type="dxa" w:w="160"/>
              <w:left w:type="dxa" w:w="200"/>
              <w:bottom w:type="dxa" w:w="160"/>
              <w:right w:type="dxa" w:w="200"/>
            </w:tcMar>
          </w:tcPr>
          <w:p>
            <w:pPr>
              <w:spacing w:after="60" w:before="60"/>
            </w:pPr>
            <w:r>
              <w:rPr>
                <w:rFonts w:ascii="Arial" w:cs="Arial" w:eastAsia="Arial" w:hAnsi="Arial"/>
                <w:b/>
                <w:bCs/>
                <w:i/>
                <w:iCs/>
                <w:sz w:val="22"/>
                <w:szCs w:val="22"/>
              </w:rPr>
              <w:t xml:space="preserve">Theorem 5 (Approximation Ratio). </w:t>
            </w:r>
            <w:r>
              <w:rPr>
                <w:rFonts w:ascii="Arial" w:cs="Arial" w:eastAsia="Arial" w:hAnsi="Arial"/>
                <w:i/>
                <w:iCs/>
                <w:sz w:val="22"/>
                <w:szCs w:val="22"/>
              </w:rPr>
              <w:t xml:space="preserve">The two-stage algorithm achieves expected surplus E[S_alg] &gt;= r^k * (1/k) * S_opt, where r is classifier recall and k is maximum ring length.</w:t>
            </w:r>
          </w:p>
        </w:tc>
      </w:tr>
    </w:tbl>
    <w:p>
      <w:pPr>
        <w:spacing w:after="200" w:before="200"/>
      </w:pPr>
      <w:r>
        <w:t xml:space="preserve"/>
      </w:r>
    </w:p>
    <w:p>
      <w:pPr>
        <w:spacing w:after="100" w:before="100"/>
        <w:jc w:val="both"/>
      </w:pPr>
      <w:r>
        <w:rPr>
          <w:rFonts w:ascii="Arial" w:cs="Arial" w:eastAsia="Arial" w:hAnsi="Arial"/>
          <w:sz w:val="22"/>
          <w:szCs w:val="22"/>
        </w:rPr>
        <w:t xml:space="preserve">Proof. Stage 1 retains each optimal ring with probability at least r^k (Theorem 4). Stage 2's greedy set packing achieves at least a (1/k)-fraction of the optimal surplus on the retained rings. Combining both stages gives the stated bound. [QED]</w:t>
      </w:r>
    </w:p>
    <w:p>
      <w:pPr>
        <w:spacing w:after="100" w:before="100"/>
        <w:jc w:val="both"/>
      </w:pPr>
      <w:r>
        <w:rPr>
          <w:rFonts w:ascii="Arial" w:cs="Arial" w:eastAsia="Arial" w:hAnsi="Arial"/>
          <w:sz w:val="22"/>
          <w:szCs w:val="22"/>
        </w:rPr>
        <w:t xml:space="preserve">For k = 3 and r = 0.94: E[S_alg] &gt;= 0.94^3 * (1/3) * S_opt = 0.277 * S_opt. This is a worst-case theoretical bound; empirically, as we show in Section 7, the algorithm achieves substantially higher surplus due to the positive correlation structure of ring members.</w:t>
      </w:r>
    </w:p>
    <w:p>
      <w:pPr>
        <w:pStyle w:val="Heading3"/>
        <w:spacing w:after="100" w:before="200"/>
      </w:pPr>
      <w:r>
        <w:rPr>
          <w:rFonts w:ascii="Arial" w:cs="Arial" w:eastAsia="Arial" w:hAnsi="Arial"/>
          <w:b/>
          <w:bCs/>
          <w:i/>
          <w:iCs/>
          <w:sz w:val="24"/>
          <w:szCs w:val="24"/>
        </w:rPr>
        <w:t xml:space="preserve">5.4.2 Runtime Complexity</w:t>
      </w:r>
    </w:p>
    <w:p>
      <w:pPr>
        <w:spacing w:after="100" w:before="100"/>
        <w:jc w:val="both"/>
      </w:pPr>
      <w:r>
        <w:rPr>
          <w:rFonts w:ascii="Arial" w:cs="Arial" w:eastAsia="Arial" w:hAnsi="Arial"/>
          <w:sz w:val="22"/>
          <w:szCs w:val="22"/>
        </w:rPr>
        <w:t xml:space="preserve">Total runtime is O(GNN inference + cycle enumeration + scoring + selection):</w:t>
      </w:r>
    </w:p>
    <w:p>
      <w:pPr>
        <w:spacing w:after="160" w:before="160"/>
        <w:jc w:val="center"/>
      </w:pPr>
      <w:r>
        <w:rPr>
          <w:rFonts w:ascii="Courier New" w:cs="Courier New" w:eastAsia="Courier New" w:hAnsi="Courier New"/>
          <w:i/>
          <w:iCs/>
          <w:sz w:val="22"/>
          <w:szCs w:val="22"/>
        </w:rPr>
        <w:t xml:space="preserve">T = O(|I| * d_f + |I'|^k * k + c * k^3 + c * log c)</w:t>
      </w:r>
    </w:p>
    <w:p>
      <w:pPr>
        <w:spacing w:after="100" w:before="100"/>
        <w:jc w:val="both"/>
      </w:pPr>
      <w:r>
        <w:rPr>
          <w:rFonts w:ascii="Arial" w:cs="Arial" w:eastAsia="Arial" w:hAnsi="Arial"/>
          <w:sz w:val="22"/>
          <w:szCs w:val="22"/>
        </w:rPr>
        <w:t xml:space="preserve">where |I'| = r_prec * |I| with r_prec the precision of the classifier (fraction of retained intents that are true positives), and c is the number of enumerated cycles. For typical values |I| = 200, r_prec = 0.6, k = 3: |I'| = 120, enumeration space = 1.7 * 10^6, well within solver time budgets.</w:t>
      </w:r>
    </w:p>
    <w:p>
      <w:r>
        <w:br w:type="page"/>
      </w:r>
    </w:p>
    <w:p>
      <w:pPr>
        <w:pStyle w:val="Heading1"/>
      </w:pPr>
      <w:r>
        <w:rPr>
          <w:rFonts w:ascii="Arial" w:cs="Arial" w:eastAsia="Arial" w:hAnsi="Arial"/>
          <w:b/>
          <w:bCs/>
        </w:rPr>
        <w:t xml:space="preserve">6. Cross-Chain Atomicity</w:t>
      </w:r>
    </w:p>
    <w:p>
      <w:pPr>
        <w:pStyle w:val="Heading2"/>
      </w:pPr>
      <w:r>
        <w:rPr>
          <w:rFonts w:ascii="Arial" w:cs="Arial" w:eastAsia="Arial" w:hAnsi="Arial"/>
          <w:b/>
          <w:bCs/>
        </w:rPr>
        <w:t xml:space="preserve">6.1 The Settlement Risk Problem</w:t>
      </w:r>
    </w:p>
    <w:p>
      <w:pPr>
        <w:spacing w:after="100" w:before="100"/>
        <w:jc w:val="both"/>
      </w:pPr>
      <w:r>
        <w:rPr>
          <w:rFonts w:ascii="Arial" w:cs="Arial" w:eastAsia="Arial" w:hAnsi="Arial"/>
          <w:sz w:val="22"/>
          <w:szCs w:val="22"/>
        </w:rPr>
        <w:t xml:space="preserve">Cross-chain ring settlement requires coordinated execution across multiple chains. Unlike single-chain settlement, which is inherently atomic via the CoW Protocol settlement contract, cross-chain settlement has no native atomicity primitive. If chain c_1 settles successfully but chain c_2 fails, solver capital is at risk.</w:t>
      </w:r>
    </w:p>
    <w:p>
      <w:pPr>
        <w:spacing w:after="100" w:before="100"/>
        <w:jc w:val="both"/>
      </w:pPr>
      <w:r>
        <w:rPr>
          <w:rFonts w:ascii="Arial" w:cs="Arial" w:eastAsia="Arial" w:hAnsi="Arial"/>
          <w:sz w:val="22"/>
          <w:szCs w:val="22"/>
        </w:rPr>
        <w:t xml:space="preserve">We model this risk formally. Let a cross-chain ring R involve chains C_R = {c_{j_1}, ..., c_{j_m}}. Settlement proceeds sequentially or in parallel across these chains. Define the failure probability of chain c_j's settlement leg as p_j^fail, assumed independent. The ring-level failure probability is:</w:t>
      </w:r>
    </w:p>
    <w:p>
      <w:pPr>
        <w:spacing w:after="160" w:before="160"/>
        <w:jc w:val="center"/>
      </w:pPr>
      <w:r>
        <w:rPr>
          <w:rFonts w:ascii="Courier New" w:cs="Courier New" w:eastAsia="Courier New" w:hAnsi="Courier New"/>
          <w:i/>
          <w:iCs/>
          <w:sz w:val="22"/>
          <w:szCs w:val="22"/>
        </w:rPr>
        <w:t xml:space="preserve">p_fail(R) = 1 - prod_{j in C_R} (1 - p_j^fail)</w:t>
      </w:r>
    </w:p>
    <w:p>
      <w:pPr>
        <w:spacing w:after="100" w:before="100"/>
        <w:jc w:val="both"/>
      </w:pPr>
      <w:r>
        <w:rPr>
          <w:rFonts w:ascii="Arial" w:cs="Arial" w:eastAsia="Arial" w:hAnsi="Arial"/>
          <w:sz w:val="22"/>
          <w:szCs w:val="22"/>
        </w:rPr>
        <w:t xml:space="preserve">In the event of partial failure, the solver bears the loss on successfully-settled legs that cannot be recovered. The expected loss is bounded by the sum of leg values for successfully-settled chains in failure scenarios.</w:t>
      </w:r>
    </w:p>
    <w:p>
      <w:pPr>
        <w:pStyle w:val="Heading2"/>
      </w:pPr>
      <w:r>
        <w:rPr>
          <w:rFonts w:ascii="Arial" w:cs="Arial" w:eastAsia="Arial" w:hAnsi="Arial"/>
          <w:b/>
          <w:bCs/>
        </w:rPr>
        <w:t xml:space="preserve">6.2 Existing Approaches</w:t>
      </w:r>
    </w:p>
    <w:p>
      <w:pPr>
        <w:spacing w:after="100" w:before="100"/>
        <w:jc w:val="both"/>
      </w:pPr>
      <w:r>
        <w:rPr>
          <w:rFonts w:ascii="Arial" w:cs="Arial" w:eastAsia="Arial" w:hAnsi="Arial"/>
          <w:sz w:val="22"/>
          <w:szCs w:val="22"/>
        </w:rPr>
        <w:t xml:space="preserve">Three settlement mechanisms are available with different tradeoffs:</w:t>
      </w:r>
    </w:p>
    <w:p>
      <w:pPr>
        <w:spacing w:after="100" w:before="100"/>
        <w:jc w:val="both"/>
      </w:pPr>
      <w:r>
        <w:rPr>
          <w:rFonts w:ascii="Arial" w:cs="Arial" w:eastAsia="Arial" w:hAnsi="Arial"/>
          <w:sz w:val="22"/>
          <w:szCs w:val="22"/>
        </w:rPr>
        <w:t xml:space="preserve">Hash Time Locked Contracts (HTLCs): Provide cryptographic atomicity but require at least two block confirmations per chain, adding 12-60 seconds per leg. This exceeds the 30-second batch window and is incompatible with CoW Protocol's timing constraints.</w:t>
      </w:r>
    </w:p>
    <w:p>
      <w:pPr>
        <w:spacing w:after="100" w:before="100"/>
        <w:jc w:val="both"/>
      </w:pPr>
      <w:r>
        <w:rPr>
          <w:rFonts w:ascii="Arial" w:cs="Arial" w:eastAsia="Arial" w:hAnsi="Arial"/>
          <w:sz w:val="22"/>
          <w:szCs w:val="22"/>
        </w:rPr>
        <w:t xml:space="preserve">Optimistic Settlement with Solver Collateral: The Across Protocol approach. The solver posts collateral equal to the ring value, settles all legs, and is reimbursed upon proof submission. This is timing-compatible but requires significant capital commitment. The effective annualized capital cost is approximately (ring_value * p_fail * gas_price) / (collateral * T_settlement).</w:t>
      </w:r>
    </w:p>
    <w:p>
      <w:pPr>
        <w:spacing w:after="100" w:before="100"/>
        <w:jc w:val="both"/>
      </w:pPr>
      <w:r>
        <w:rPr>
          <w:rFonts w:ascii="Arial" w:cs="Arial" w:eastAsia="Arial" w:hAnsi="Arial"/>
          <w:sz w:val="22"/>
          <w:szCs w:val="22"/>
        </w:rPr>
        <w:t xml:space="preserve">Shared Sequencers (Espresso, Astria): Provide near-atomic cross-chain settlement by ordering transactions across chains in a coordinated block. This is the technically ideal solution but is not yet production-ready at the time of writing.</w:t>
      </w:r>
    </w:p>
    <w:p>
      <w:pPr>
        <w:pStyle w:val="Heading2"/>
      </w:pPr>
      <w:r>
        <w:rPr>
          <w:rFonts w:ascii="Arial" w:cs="Arial" w:eastAsia="Arial" w:hAnsi="Arial"/>
          <w:b/>
          <w:bCs/>
        </w:rPr>
        <w:t xml:space="preserve">6.3 Bridge Cost Model</w:t>
      </w:r>
    </w:p>
    <w:p>
      <w:pPr>
        <w:spacing w:after="100" w:before="100"/>
        <w:jc w:val="both"/>
      </w:pPr>
      <w:r>
        <w:rPr>
          <w:rFonts w:ascii="Arial" w:cs="Arial" w:eastAsia="Arial" w:hAnsi="Arial"/>
          <w:sz w:val="22"/>
          <w:szCs w:val="22"/>
        </w:rPr>
        <w:t xml:space="preserve">Bridge costs vary by bridge protocol, token pair, chain pair, and transfer amount. We model the bridge cost function beta as:</w:t>
      </w:r>
    </w:p>
    <w:p>
      <w:pPr>
        <w:spacing w:after="160" w:before="160"/>
        <w:jc w:val="center"/>
      </w:pPr>
      <w:r>
        <w:rPr>
          <w:rFonts w:ascii="Courier New" w:cs="Courier New" w:eastAsia="Courier New" w:hAnsi="Courier New"/>
          <w:i/>
          <w:iCs/>
          <w:sz w:val="22"/>
          <w:szCs w:val="22"/>
        </w:rPr>
        <w:t xml:space="preserve">beta((t, c_j), (t, c_k), amount) = fee_fixed(c_j, c_k) + fee_pct(c_j, c_k) * amount + slippage(t, c_j, c_k, amount)</w:t>
      </w:r>
    </w:p>
    <w:p>
      <w:pPr>
        <w:spacing w:after="100" w:before="100"/>
        <w:jc w:val="both"/>
      </w:pPr>
      <w:r>
        <w:rPr>
          <w:rFonts w:ascii="Arial" w:cs="Arial" w:eastAsia="Arial" w:hAnsi="Arial"/>
          <w:sz w:val="22"/>
          <w:szCs w:val="22"/>
        </w:rPr>
        <w:t xml:space="preserve">where fee_fixed is a fixed protocol fee, fee_pct is a percentage fee on the transferred amount, and slippage captures price impact for large transfers. In practice, bridge costs for EVM-to-EVM transfers via Across or Socket range from 0.05% to 0.3% of transfer value for amounts under $100k, with negligible fixed fees.</w:t>
      </w:r>
    </w:p>
    <w:p>
      <w:pPr>
        <w:pStyle w:val="Heading2"/>
      </w:pPr>
      <w:r>
        <w:rPr>
          <w:rFonts w:ascii="Arial" w:cs="Arial" w:eastAsia="Arial" w:hAnsi="Arial"/>
          <w:b/>
          <w:bCs/>
        </w:rPr>
        <w:t xml:space="preserve">6.4 Economic Viability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8E8" w:val="clear"/>
            <w:tcMar>
              <w:top w:type="dxa" w:w="160"/>
              <w:left w:type="dxa" w:w="200"/>
              <w:bottom w:type="dxa" w:w="160"/>
              <w:right w:type="dxa" w:w="200"/>
            </w:tcMar>
          </w:tcPr>
          <w:p>
            <w:pPr>
              <w:spacing w:after="60" w:before="60"/>
            </w:pPr>
            <w:r>
              <w:rPr>
                <w:rFonts w:ascii="Arial" w:cs="Arial" w:eastAsia="Arial" w:hAnsi="Arial"/>
                <w:b/>
                <w:bCs/>
                <w:i/>
                <w:iCs/>
                <w:sz w:val="22"/>
                <w:szCs w:val="22"/>
              </w:rPr>
              <w:t xml:space="preserve">Theorem 6 (Viability Condition). </w:t>
            </w:r>
            <w:r>
              <w:rPr>
                <w:rFonts w:ascii="Arial" w:cs="Arial" w:eastAsia="Arial" w:hAnsi="Arial"/>
                <w:i/>
                <w:iCs/>
                <w:sz w:val="22"/>
                <w:szCs w:val="22"/>
              </w:rPr>
              <w:t xml:space="preserve">A cross-chain ring R is economically viable if and only if: sum_j U_{i_j}^* * P_ref(b_{i_j}) &gt; BridgeCost(R) + GasCost(R) + CollateralCost(R), where CollateralCost(R) = collateral_rate * ring_value * T_settlement.</w:t>
            </w:r>
          </w:p>
        </w:tc>
      </w:tr>
    </w:tbl>
    <w:p>
      <w:pPr>
        <w:spacing w:after="200" w:before="200"/>
      </w:pPr>
      <w:r>
        <w:t xml:space="preserve"/>
      </w:r>
    </w:p>
    <w:p>
      <w:pPr>
        <w:spacing w:after="100" w:before="100"/>
        <w:jc w:val="both"/>
      </w:pPr>
      <w:r>
        <w:rPr>
          <w:rFonts w:ascii="Arial" w:cs="Arial" w:eastAsia="Arial" w:hAnsi="Arial"/>
          <w:sz w:val="22"/>
          <w:szCs w:val="22"/>
        </w:rPr>
        <w:t xml:space="preserve">Practical implication: for typical bridge costs of 0.1% and gas costs of $2-5 on L2 chains, a cross-chain ring with three intents each of $10,000 value requires aggregate surplus exceeding approximately $35-50 to be viable. This implies that cross-chain rings are most profitable for: (i) large order sizes, (ii) orders with limit prices significantly above market (high surplus headroom), (iii) same-token bridge transfers on low-cost chains.</w:t>
      </w:r>
    </w:p>
    <w:p>
      <w:pPr>
        <w:spacing w:after="100" w:before="100"/>
        <w:jc w:val="both"/>
      </w:pPr>
      <w:r>
        <w:rPr>
          <w:rFonts w:ascii="Arial" w:cs="Arial" w:eastAsia="Arial" w:hAnsi="Arial"/>
          <w:sz w:val="22"/>
          <w:szCs w:val="22"/>
        </w:rPr>
        <w:t xml:space="preserve">The viability condition has a direct implication for the classifier: the most informative feature for cross-chain ring classification is the surplus headroom relative to bridge and gas costs — orders with tight limit prices near market are unlikely to generate sufficient surplus to justify cross-chain settlement overhead.</w:t>
      </w:r>
    </w:p>
    <w:p>
      <w:r>
        <w:br w:type="page"/>
      </w:r>
    </w:p>
    <w:p>
      <w:pPr>
        <w:pStyle w:val="Heading1"/>
      </w:pPr>
      <w:r>
        <w:rPr>
          <w:rFonts w:ascii="Arial" w:cs="Arial" w:eastAsia="Arial" w:hAnsi="Arial"/>
          <w:b/>
          <w:bCs/>
        </w:rPr>
        <w:t xml:space="preserve">7. Empirical Evaluation</w:t>
      </w:r>
    </w:p>
    <w:p>
      <w:pPr>
        <w:pStyle w:val="Heading2"/>
      </w:pPr>
      <w:r>
        <w:rPr>
          <w:rFonts w:ascii="Arial" w:cs="Arial" w:eastAsia="Arial" w:hAnsi="Arial"/>
          <w:b/>
          <w:bCs/>
        </w:rPr>
        <w:t xml:space="preserve">7.1 Dataset</w:t>
      </w:r>
    </w:p>
    <w:p>
      <w:pPr>
        <w:spacing w:after="100" w:before="100"/>
        <w:jc w:val="both"/>
      </w:pPr>
      <w:r>
        <w:rPr>
          <w:rFonts w:ascii="Arial" w:cs="Arial" w:eastAsia="Arial" w:hAnsi="Arial"/>
          <w:sz w:val="22"/>
          <w:szCs w:val="22"/>
        </w:rPr>
        <w:t xml:space="preserve">We collect historical batch auction data from CoW Protocol across Ethereum mainnet and Gnosis Chain for the period January 2024 to December 2025, comprising approximately 1.2 million settled batches. For each batch, we record: the full auction instance JSON (intents, token prices, available balances), all solver submissions including the winning solution, and on-chain settlement transaction data.</w:t>
      </w:r>
    </w:p>
    <w:p>
      <w:pPr>
        <w:spacing w:after="100" w:before="100"/>
        <w:jc w:val="both"/>
      </w:pPr>
      <w:r>
        <w:rPr>
          <w:rFonts w:ascii="Arial" w:cs="Arial" w:eastAsia="Arial" w:hAnsi="Arial"/>
          <w:sz w:val="22"/>
          <w:szCs w:val="22"/>
        </w:rPr>
        <w:t xml:space="preserve">We identify multi-party CoW matches as batches where the winning solution contains no AMM interactions yet settles three or more intents — indicating a pure peer-to-peer ring settlement. This yields approximately 87,000 multi-party match events (7.2% of batches), with ring length distribution: k=3: 71%, k=4: 24%, k=5+: 5%.</w:t>
      </w:r>
    </w:p>
    <w:p>
      <w:pPr>
        <w:spacing w:after="100" w:before="100"/>
        <w:jc w:val="both"/>
      </w:pPr>
      <w:r>
        <w:rPr>
          <w:rFonts w:ascii="Arial" w:cs="Arial" w:eastAsia="Arial" w:hAnsi="Arial"/>
          <w:sz w:val="22"/>
          <w:szCs w:val="22"/>
        </w:rPr>
        <w:t xml:space="preserve">For cross-chain evaluation, we supplement with simulated cross-chain batch data constructed by pairing intents from concurrent Ethereum and Gnosis Chain batches, using bridge cost estimates from the Across Protocol API.</w:t>
      </w:r>
    </w:p>
    <w:p>
      <w:pPr>
        <w:pStyle w:val="Heading2"/>
      </w:pPr>
      <w:r>
        <w:rPr>
          <w:rFonts w:ascii="Arial" w:cs="Arial" w:eastAsia="Arial" w:hAnsi="Arial"/>
          <w:b/>
          <w:bCs/>
        </w:rPr>
        <w:t xml:space="preserve">7.2 Classifier Performance</w:t>
      </w:r>
    </w:p>
    <w:p>
      <w:pPr>
        <w:spacing w:after="100" w:before="100"/>
        <w:jc w:val="both"/>
      </w:pPr>
      <w:r>
        <w:rPr>
          <w:rFonts w:ascii="Arial" w:cs="Arial" w:eastAsia="Arial" w:hAnsi="Arial"/>
          <w:sz w:val="22"/>
          <w:szCs w:val="22"/>
        </w:rPr>
        <w:t xml:space="preserve">We train a 4-layer Graph Attention Network (GAT) with 64-dimensional hidden representations on 80% of the dataset, validating on the remaining 20%. Results are reported on a held-out test set spanning the final 3 months of data.</w:t>
      </w:r>
    </w:p>
    <w:p>
      <w:pPr>
        <w:spacing w:after="200" w:before="20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300"/>
        <w:gridCol w:w="1700"/>
        <w:gridCol w:w="18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Threshold tau</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Pool Reduction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Surplus Regret (bound)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Surplus Regret (empirical)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9.8%</w:t>
            </w:r>
          </w:p>
        </w:tc>
      </w:tr>
    </w:tbl>
    <w:p>
      <w:pPr>
        <w:spacing w:after="200" w:before="200"/>
      </w:pPr>
      <w:r>
        <w:t xml:space="preserve"/>
      </w:r>
    </w:p>
    <w:p>
      <w:pPr>
        <w:spacing w:after="100" w:before="100"/>
        <w:jc w:val="both"/>
      </w:pPr>
      <w:r>
        <w:rPr>
          <w:rFonts w:ascii="Arial" w:cs="Arial" w:eastAsia="Arial" w:hAnsi="Arial"/>
          <w:sz w:val="22"/>
          <w:szCs w:val="22"/>
        </w:rPr>
        <w:t xml:space="preserve">Table 1: Classifier performance at varying decision thresholds. Pool reduction measures the fraction of intents removed from consideration. Surplus regret is the percentage of optimal surplus lost due to missed rings. The gap between theoretical bound and empirical regret reflects positive correlation among ring members.</w:t>
      </w:r>
    </w:p>
    <w:p>
      <w:pPr>
        <w:spacing w:after="100" w:before="100"/>
        <w:jc w:val="both"/>
      </w:pPr>
      <w:r>
        <w:rPr>
          <w:rFonts w:ascii="Arial" w:cs="Arial" w:eastAsia="Arial" w:hAnsi="Arial"/>
          <w:sz w:val="22"/>
          <w:szCs w:val="22"/>
        </w:rPr>
        <w:t xml:space="preserve">At tau = 0.5, the classifier achieves 94% recall and 71% precision, reducing the intent pool by 53% with only 2.1% empirical surplus regret. This is our recommended operating point, balancing matching quality against computational savings.</w:t>
      </w:r>
    </w:p>
    <w:p>
      <w:pPr>
        <w:pStyle w:val="Heading2"/>
      </w:pPr>
      <w:r>
        <w:rPr>
          <w:rFonts w:ascii="Arial" w:cs="Arial" w:eastAsia="Arial" w:hAnsi="Arial"/>
          <w:b/>
          <w:bCs/>
        </w:rPr>
        <w:t xml:space="preserve">7.3 Ring Detection Results</w:t>
      </w:r>
    </w:p>
    <w:p>
      <w:pPr>
        <w:spacing w:after="100" w:before="100"/>
        <w:jc w:val="both"/>
      </w:pPr>
      <w:r>
        <w:rPr>
          <w:rFonts w:ascii="Arial" w:cs="Arial" w:eastAsia="Arial" w:hAnsi="Arial"/>
          <w:sz w:val="22"/>
          <w:szCs w:val="22"/>
        </w:rPr>
        <w:t xml:space="preserve">We compare four configurations: (i) Naive baseline — greedy pairwise CoW matching only; (ii) Exhaustive k=3 — exact ring enumeration without pruning; (iii) Our algorithm at tau = 0.5; (iv) Oracle — optimal matching with perfect classifier.</w:t>
      </w:r>
    </w:p>
    <w:p>
      <w:pPr>
        <w:spacing w:after="200" w:before="20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1500"/>
        <w:gridCol w:w="14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Rings Found (k&gt;=3)</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Avg. Ring Surplus ($)</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Runtime (ms)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Timeout 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Naive Baseline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Exhaustive k=3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Ours (tau=0.5)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Oracle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pPr>
        <w:spacing w:after="200" w:before="200"/>
      </w:pPr>
      <w:r>
        <w:t xml:space="preserve"/>
      </w:r>
    </w:p>
    <w:p>
      <w:pPr>
        <w:spacing w:after="100" w:before="100"/>
        <w:jc w:val="both"/>
      </w:pPr>
      <w:r>
        <w:rPr>
          <w:rFonts w:ascii="Arial" w:cs="Arial" w:eastAsia="Arial" w:hAnsi="Arial"/>
          <w:sz w:val="22"/>
          <w:szCs w:val="22"/>
        </w:rPr>
        <w:t xml:space="preserve">Table 2: Ring detection comparison. Our algorithm finds 97.9% of optimal rings with 4.3x runtime reduction compared to exhaustive enumeration, and a near-zero timeout rate versus 3.1% for exhaustive search.</w:t>
      </w:r>
    </w:p>
    <w:p>
      <w:pPr>
        <w:pStyle w:val="Heading2"/>
      </w:pPr>
      <w:r>
        <w:rPr>
          <w:rFonts w:ascii="Arial" w:cs="Arial" w:eastAsia="Arial" w:hAnsi="Arial"/>
          <w:b/>
          <w:bCs/>
        </w:rPr>
        <w:t xml:space="preserve">7.4 Surplus Improvement vs. Baseline Solver</w:t>
      </w:r>
    </w:p>
    <w:p>
      <w:pPr>
        <w:spacing w:after="100" w:before="100"/>
        <w:jc w:val="both"/>
      </w:pPr>
      <w:r>
        <w:rPr>
          <w:rFonts w:ascii="Arial" w:cs="Arial" w:eastAsia="Arial" w:hAnsi="Arial"/>
          <w:sz w:val="22"/>
          <w:szCs w:val="22"/>
        </w:rPr>
        <w:t xml:space="preserve">We evaluate end-to-end surplus improvement over the naive baseline solver on a test set of 10,000 batches. Surplus is reported in USD equivalent using reference prices at batch time.</w:t>
      </w:r>
    </w:p>
    <w:p>
      <w:pPr>
        <w:spacing w:after="200" w:before="20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300"/>
        <w:gridCol w:w="16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Batch Size Quartile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Baseline Surplus/Batch</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Our Surplus/Batch</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Rings Found (avg)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(&lt;25 intents)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(25-75 intents)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 (75-150 intents)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(&gt;150 intents)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$298.7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9.43</w:t>
            </w:r>
          </w:p>
        </w:tc>
      </w:tr>
    </w:tbl>
    <w:p>
      <w:pPr>
        <w:spacing w:after="200" w:before="200"/>
      </w:pPr>
      <w:r>
        <w:t xml:space="preserve"/>
      </w:r>
    </w:p>
    <w:p>
      <w:pPr>
        <w:spacing w:after="100" w:before="100"/>
        <w:jc w:val="both"/>
      </w:pPr>
      <w:r>
        <w:rPr>
          <w:rFonts w:ascii="Arial" w:cs="Arial" w:eastAsia="Arial" w:hAnsi="Arial"/>
          <w:sz w:val="22"/>
          <w:szCs w:val="22"/>
        </w:rPr>
        <w:t xml:space="preserve">Table 3: Surplus improvement by batch size quartile. Larger batches benefit more from multi-party matching as ring opportunities scale super-linearly with batch size. The improvement is consistent at 32-47% for medium and large batches.</w:t>
      </w:r>
    </w:p>
    <w:p>
      <w:pPr>
        <w:pStyle w:val="Heading2"/>
      </w:pPr>
      <w:r>
        <w:rPr>
          <w:rFonts w:ascii="Arial" w:cs="Arial" w:eastAsia="Arial" w:hAnsi="Arial"/>
          <w:b/>
          <w:bCs/>
        </w:rPr>
        <w:t xml:space="preserve">7.5 Runtime Analysis</w:t>
      </w:r>
    </w:p>
    <w:p>
      <w:pPr>
        <w:spacing w:after="100" w:before="100"/>
        <w:jc w:val="both"/>
      </w:pPr>
      <w:r>
        <w:rPr>
          <w:rFonts w:ascii="Arial" w:cs="Arial" w:eastAsia="Arial" w:hAnsi="Arial"/>
          <w:sz w:val="22"/>
          <w:szCs w:val="22"/>
        </w:rPr>
        <w:t xml:space="preserve">All experiments run on a single CPU server (8-core, 32GB RAM) representative of a typical solver deployment. GNN inference uses PyTorch with CPU-only execution to reflect deployment constraints avoiding GPU dependencies.</w:t>
      </w:r>
    </w:p>
    <w:p>
      <w:pPr>
        <w:spacing w:after="100" w:before="100"/>
        <w:jc w:val="both"/>
      </w:pPr>
      <w:r>
        <w:rPr>
          <w:rFonts w:ascii="Arial" w:cs="Arial" w:eastAsia="Arial" w:hAnsi="Arial"/>
          <w:sz w:val="22"/>
          <w:szCs w:val="22"/>
        </w:rPr>
        <w:t xml:space="preserve">Mean end-to-end solver runtime at tau = 0.5 is 1,950ms, well within the 30-second batch window and leaving substantial headroom for AMM routing on non-ring orders. The 99th percentile runtime is 4,100ms, observed on batches with unusually high token graph density.</w:t>
      </w:r>
    </w:p>
    <w:p>
      <w:r>
        <w:br w:type="page"/>
      </w:r>
    </w:p>
    <w:p>
      <w:pPr>
        <w:pStyle w:val="Heading1"/>
      </w:pPr>
      <w:r>
        <w:rPr>
          <w:rFonts w:ascii="Arial" w:cs="Arial" w:eastAsia="Arial" w:hAnsi="Arial"/>
          <w:b/>
          <w:bCs/>
        </w:rPr>
        <w:t xml:space="preserve">8. Discussion</w:t>
      </w:r>
    </w:p>
    <w:p>
      <w:pPr>
        <w:pStyle w:val="Heading2"/>
      </w:pPr>
      <w:r>
        <w:rPr>
          <w:rFonts w:ascii="Arial" w:cs="Arial" w:eastAsia="Arial" w:hAnsi="Arial"/>
          <w:b/>
          <w:bCs/>
        </w:rPr>
        <w:t xml:space="preserve">8.1 Limitations</w:t>
      </w:r>
    </w:p>
    <w:p>
      <w:pPr>
        <w:spacing w:after="100" w:before="100"/>
        <w:jc w:val="both"/>
      </w:pPr>
      <w:r>
        <w:rPr>
          <w:rFonts w:ascii="Arial" w:cs="Arial" w:eastAsia="Arial" w:hAnsi="Arial"/>
          <w:sz w:val="22"/>
          <w:szCs w:val="22"/>
        </w:rPr>
        <w:t xml:space="preserve">Several limitations of the current work warrant acknowledgment. First, our cross-chain evaluation relies on simulated data constructed from single-chain batches, as native cross-chain batch data from CoW Protocol's 2025 cross-chain infrastructure is not yet available in sufficient volume for statistical analysis. Second, our bridge cost model assumes independence between bridge availability and token price, which may not hold during high-volatility periods when bridge liquidity is stressed simultaneously with large order flow. Third, the regret bound in Theorem 4 assumes approximate independence of classifier decisions across ring members; this assumption is reasonable but not formally verified.</w:t>
      </w:r>
    </w:p>
    <w:p>
      <w:pPr>
        <w:pStyle w:val="Heading2"/>
      </w:pPr>
      <w:r>
        <w:rPr>
          <w:rFonts w:ascii="Arial" w:cs="Arial" w:eastAsia="Arial" w:hAnsi="Arial"/>
          <w:b/>
          <w:bCs/>
        </w:rPr>
        <w:t xml:space="preserve">8.2 Protocol-Level Implications</w:t>
      </w:r>
    </w:p>
    <w:p>
      <w:pPr>
        <w:spacing w:after="100" w:before="100"/>
        <w:jc w:val="both"/>
      </w:pPr>
      <w:r>
        <w:rPr>
          <w:rFonts w:ascii="Arial" w:cs="Arial" w:eastAsia="Arial" w:hAnsi="Arial"/>
          <w:sz w:val="22"/>
          <w:szCs w:val="22"/>
        </w:rPr>
        <w:t xml:space="preserve">Our results suggest that the current CoW Protocol batch auction mechanism leaves significant surplus on the table by not explicitly incentivizing solvers to find multi-party rings. A protocol-level change — adding a bonus for multi-party CoW settlements proportional to ring length — could increase solver investment in ring detection algorithms. Our viability analysis (Section 6.4) provides the theoretical basis for calibrating such a bonus.</w:t>
      </w:r>
    </w:p>
    <w:p>
      <w:pPr>
        <w:spacing w:after="100" w:before="100"/>
        <w:jc w:val="both"/>
      </w:pPr>
      <w:r>
        <w:rPr>
          <w:rFonts w:ascii="Arial" w:cs="Arial" w:eastAsia="Arial" w:hAnsi="Arial"/>
          <w:sz w:val="22"/>
          <w:szCs w:val="22"/>
        </w:rPr>
        <w:t xml:space="preserve">The cross-chain atomicity problem identified in Section 6.1 is a fundamental infrastructure gap. Our analysis shows that shared sequencer infrastructure, currently in early deployment, would unlock cross-chain ring matching without capital risk. Protocol-level coordination with Espresso or Astria sequencers could be a high-value integration for CoW DAO.</w:t>
      </w:r>
    </w:p>
    <w:p>
      <w:pPr>
        <w:pStyle w:val="Heading2"/>
      </w:pPr>
      <w:r>
        <w:rPr>
          <w:rFonts w:ascii="Arial" w:cs="Arial" w:eastAsia="Arial" w:hAnsi="Arial"/>
          <w:b/>
          <w:bCs/>
        </w:rPr>
        <w:t xml:space="preserve">8.3 Generalization to Other Intent Protocols</w:t>
      </w:r>
    </w:p>
    <w:p>
      <w:pPr>
        <w:spacing w:after="100" w:before="100"/>
        <w:jc w:val="both"/>
      </w:pPr>
      <w:r>
        <w:rPr>
          <w:rFonts w:ascii="Arial" w:cs="Arial" w:eastAsia="Arial" w:hAnsi="Arial"/>
          <w:sz w:val="22"/>
          <w:szCs w:val="22"/>
        </w:rPr>
        <w:t xml:space="preserve">Our CCMPIM formulation and two-stage algorithm are not specific to CoW Protocol. Any intent-based protocol that (i) batches intents before settlement, (ii) allows solver competition, and (iii) supports partial fills can benefit from multi-party ring matching. UniswapX, 1inch Fusion, and Across Protocol all satisfy these conditions. The GNN classifier requires retraining on protocol-specific data, but the ring enumeration and scoring components are fully transferable.</w:t>
      </w:r>
    </w:p>
    <w:p>
      <w:r>
        <w:br w:type="page"/>
      </w:r>
    </w:p>
    <w:p>
      <w:pPr>
        <w:pStyle w:val="Heading1"/>
      </w:pPr>
      <w:r>
        <w:rPr>
          <w:rFonts w:ascii="Arial" w:cs="Arial" w:eastAsia="Arial" w:hAnsi="Arial"/>
          <w:b/>
          <w:bCs/>
        </w:rPr>
        <w:t xml:space="preserve">9. Conclusion and Future Work</w:t>
      </w:r>
    </w:p>
    <w:p>
      <w:pPr>
        <w:spacing w:after="100" w:before="100"/>
        <w:jc w:val="both"/>
      </w:pPr>
      <w:r>
        <w:rPr>
          <w:rFonts w:ascii="Arial" w:cs="Arial" w:eastAsia="Arial" w:hAnsi="Arial"/>
          <w:sz w:val="22"/>
          <w:szCs w:val="22"/>
        </w:rPr>
        <w:t xml:space="preserve">We have presented CCMPIM, the first formal treatment of cross-chain multi-party intent matching in decentralized exchange protocols. Our main contributions are: (i) a hypergraph formulation of the problem with cross-chain bridge and atomicity constraints; (ii) NP-hardness and fixed-parameter tractability proofs establishing the theoretical boundaries of the problem; (iii) a two-stage algorithm with formal regret and approximation bounds; and (iv) empirical evidence of 32-47% surplus improvement over naive baseline solvers on large batches.</w:t>
      </w:r>
    </w:p>
    <w:p>
      <w:pPr>
        <w:spacing w:after="100" w:before="100"/>
        <w:jc w:val="both"/>
      </w:pPr>
      <w:r>
        <w:rPr>
          <w:rFonts w:ascii="Arial" w:cs="Arial" w:eastAsia="Arial" w:hAnsi="Arial"/>
          <w:sz w:val="22"/>
          <w:szCs w:val="22"/>
        </w:rPr>
        <w:t xml:space="preserve">The central practical finding is that multi-party ring matching is computationally feasible within solver time budgets when combined with learned intent pruning, and that it generates substantial surplus improvements that existing production solvers do not capture.</w:t>
      </w:r>
    </w:p>
    <w:p>
      <w:pPr>
        <w:spacing w:after="100" w:before="100"/>
        <w:jc w:val="both"/>
      </w:pPr>
      <w:r>
        <w:rPr>
          <w:rFonts w:ascii="Arial" w:cs="Arial" w:eastAsia="Arial" w:hAnsi="Arial"/>
          <w:sz w:val="22"/>
          <w:szCs w:val="22"/>
        </w:rPr>
        <w:t xml:space="preserve">Future work includes: (i) real cross-chain batch data evaluation as CoW Protocol's native cross-chain infrastructure matures; (ii) RL-based dynamic threshold adaptation for the classifier; (iii) formal mechanism design analysis of whether the current solver competition incentivizes multi-party ring detection; (iv) extension to non-EVM chains (Solana, NEAR) where token semantics differ.</w:t>
      </w:r>
    </w:p>
    <w:p>
      <w:r>
        <w:br w:type="page"/>
      </w:r>
    </w:p>
    <w:p>
      <w:pPr>
        <w:pStyle w:val="Heading1"/>
      </w:pPr>
      <w:r>
        <w:rPr>
          <w:rFonts w:ascii="Arial" w:cs="Arial" w:eastAsia="Arial" w:hAnsi="Arial"/>
          <w:b/>
          <w:bCs/>
        </w:rPr>
        <w:t xml:space="preserve">References</w:t>
      </w:r>
    </w:p>
    <w:p>
      <w:pPr>
        <w:spacing w:after="100" w:before="100"/>
        <w:jc w:val="both"/>
      </w:pPr>
      <w:r>
        <w:rPr>
          <w:rFonts w:ascii="Arial" w:cs="Arial" w:eastAsia="Arial" w:hAnsi="Arial"/>
          <w:sz w:val="22"/>
          <w:szCs w:val="22"/>
        </w:rPr>
        <w:t xml:space="preserve">[1] Abraham, D.J., Blum, A., and Sandholm, T. (2007). Clearing Algorithms for Barter Exchange Markets: Enabling Nationwide Kidney Exchanges. Proceedings of ACM EC.</w:t>
      </w:r>
    </w:p>
    <w:p>
      <w:pPr>
        <w:spacing w:after="100" w:before="100"/>
        <w:jc w:val="both"/>
      </w:pPr>
      <w:r>
        <w:rPr>
          <w:rFonts w:ascii="Arial" w:cs="Arial" w:eastAsia="Arial" w:hAnsi="Arial"/>
          <w:sz w:val="22"/>
          <w:szCs w:val="22"/>
        </w:rPr>
        <w:t xml:space="preserve">[2] Budish, E., Cramton, P., and Shim, J. (2015). The High-Frequency Trading Arms Race: Frequent Batch Auctions as a Market Design Response. Quarterly Journal of Economics, 130(4).</w:t>
      </w:r>
    </w:p>
    <w:p>
      <w:pPr>
        <w:spacing w:after="100" w:before="100"/>
        <w:jc w:val="both"/>
      </w:pPr>
      <w:r>
        <w:rPr>
          <w:rFonts w:ascii="Arial" w:cs="Arial" w:eastAsia="Arial" w:hAnsi="Arial"/>
          <w:sz w:val="22"/>
          <w:szCs w:val="22"/>
        </w:rPr>
        <w:t xml:space="preserve">[3] CoW Protocol Documentation. (2026). Auction Mechanism and Schema. docs.cow.fi.</w:t>
      </w:r>
    </w:p>
    <w:p>
      <w:pPr>
        <w:spacing w:after="100" w:before="100"/>
        <w:jc w:val="both"/>
      </w:pPr>
      <w:r>
        <w:rPr>
          <w:rFonts w:ascii="Arial" w:cs="Arial" w:eastAsia="Arial" w:hAnsi="Arial"/>
          <w:sz w:val="22"/>
          <w:szCs w:val="22"/>
        </w:rPr>
        <w:t xml:space="preserve">[4] Elmachtoub, A.N. and Grigas, P. (2022). Smart Predict, then Optimize. Management Science, 68(1).</w:t>
      </w:r>
    </w:p>
    <w:p>
      <w:pPr>
        <w:spacing w:after="100" w:before="100"/>
        <w:jc w:val="both"/>
      </w:pPr>
      <w:r>
        <w:rPr>
          <w:rFonts w:ascii="Arial" w:cs="Arial" w:eastAsia="Arial" w:hAnsi="Arial"/>
          <w:sz w:val="22"/>
          <w:szCs w:val="22"/>
        </w:rPr>
        <w:t xml:space="preserve">[5] Johnson, D.B. (1975). Finding All the Elementary Circuits of a Directed Graph. SIAM Journal on Computing, 4(1).</w:t>
      </w:r>
    </w:p>
    <w:p>
      <w:pPr>
        <w:spacing w:after="100" w:before="100"/>
        <w:jc w:val="both"/>
      </w:pPr>
      <w:r>
        <w:rPr>
          <w:rFonts w:ascii="Arial" w:cs="Arial" w:eastAsia="Arial" w:hAnsi="Arial"/>
          <w:sz w:val="22"/>
          <w:szCs w:val="22"/>
        </w:rPr>
        <w:t xml:space="preserve">[6] Roth, A.E., Sonmez, T., and Unver, M.U. (2004). Kidney Exchange. Quarterly Journal of Economics, 119(2).</w:t>
      </w:r>
    </w:p>
    <w:p>
      <w:pPr>
        <w:spacing w:after="100" w:before="100"/>
        <w:jc w:val="both"/>
      </w:pPr>
      <w:r>
        <w:rPr>
          <w:rFonts w:ascii="Arial" w:cs="Arial" w:eastAsia="Arial" w:hAnsi="Arial"/>
          <w:sz w:val="22"/>
          <w:szCs w:val="22"/>
        </w:rPr>
        <w:t xml:space="preserve">[7] Sandholm, T. (1999). Algorithm for Optimal Winner Determination in Combinatorial Auctions. Artificial Intelligence, 135(1-2).</w:t>
      </w:r>
    </w:p>
    <w:p>
      <w:pPr>
        <w:spacing w:after="100" w:before="100"/>
        <w:jc w:val="both"/>
      </w:pPr>
      <w:r>
        <w:rPr>
          <w:rFonts w:ascii="Arial" w:cs="Arial" w:eastAsia="Arial" w:hAnsi="Arial"/>
          <w:sz w:val="22"/>
          <w:szCs w:val="22"/>
        </w:rPr>
        <w:t xml:space="preserve">[8] Veličković, P., et al. (2018). Graph Attention Networks. ICLR 2018.</w:t>
      </w:r>
    </w:p>
    <w:p>
      <w:pPr>
        <w:spacing w:after="100" w:before="100"/>
        <w:jc w:val="both"/>
      </w:pPr>
      <w:r>
        <w:rPr>
          <w:rFonts w:ascii="Arial" w:cs="Arial" w:eastAsia="Arial" w:hAnsi="Arial"/>
          <w:sz w:val="22"/>
          <w:szCs w:val="22"/>
        </w:rPr>
        <w:t xml:space="preserve">[9] ERC-7683. (2024). Cross Chain Intents Standard. Ethereum Improvement Proposals. eips.ethereum.org.</w:t>
      </w:r>
    </w:p>
    <w:p>
      <w:pPr>
        <w:spacing w:after="100" w:before="100"/>
        <w:jc w:val="both"/>
      </w:pPr>
      <w:r>
        <w:rPr>
          <w:rFonts w:ascii="Arial" w:cs="Arial" w:eastAsia="Arial" w:hAnsi="Arial"/>
          <w:sz w:val="22"/>
          <w:szCs w:val="22"/>
        </w:rPr>
        <w:t xml:space="preserve">[10] Angeris, G., et al. (2022). Optimal Routing for Constant Function Market Makers. Proceedings of ACM EC.</w:t>
      </w:r>
    </w:p>
    <w:p>
      <w:r>
        <w:br w:type="page"/>
      </w:r>
    </w:p>
    <w:p>
      <w:pPr>
        <w:pStyle w:val="Heading1"/>
      </w:pPr>
      <w:r>
        <w:rPr>
          <w:rFonts w:ascii="Arial" w:cs="Arial" w:eastAsia="Arial" w:hAnsi="Arial"/>
          <w:b/>
          <w:bCs/>
        </w:rPr>
        <w:t xml:space="preserve">Appendix A: Formal Proofs</w:t>
      </w:r>
    </w:p>
    <w:p>
      <w:pPr>
        <w:pStyle w:val="Heading2"/>
      </w:pPr>
      <w:r>
        <w:rPr>
          <w:rFonts w:ascii="Arial" w:cs="Arial" w:eastAsia="Arial" w:hAnsi="Arial"/>
          <w:b/>
          <w:bCs/>
        </w:rPr>
        <w:t xml:space="preserve">A.1 Proof of Theorem 3 (Inapproximability)</w:t>
      </w:r>
    </w:p>
    <w:p>
      <w:pPr>
        <w:spacing w:after="100" w:before="100"/>
        <w:jc w:val="both"/>
      </w:pPr>
      <w:r>
        <w:rPr>
          <w:rFonts w:ascii="Arial" w:cs="Arial" w:eastAsia="Arial" w:hAnsi="Arial"/>
          <w:sz w:val="22"/>
          <w:szCs w:val="22"/>
        </w:rPr>
        <w:t xml:space="preserve">We reduce from the hardness of Set Packing approximation. Hastad (1996) showed that Set Packing with sets of size at most k cannot be approximated within O(k / log k) unless P = NP. For unbounded k, Set Packing is inapproximable within O(|U|^(1-epsilon)) for any epsilon &gt; 0 under the same assumption, where |U| is the universe size.</w:t>
      </w:r>
    </w:p>
    <w:p>
      <w:pPr>
        <w:spacing w:after="100" w:before="100"/>
        <w:jc w:val="both"/>
      </w:pPr>
      <w:r>
        <w:rPr>
          <w:rFonts w:ascii="Arial" w:cs="Arial" w:eastAsia="Arial" w:hAnsi="Arial"/>
          <w:sz w:val="22"/>
          <w:szCs w:val="22"/>
        </w:rPr>
        <w:t xml:space="preserve">The reduction from Section 4.1 maps Set Packing instances to CCMPIM instances with a polynomial blowup in instance size. The intents |I| in the CCMPIM instance satisfy |I| = O(|U| * |S|) where |S| is the number of sets. An approximation-preserving reduction therefore transfers the inapproximability bound, yielding O(|I|^(1-epsilon)) inapproximability for unbounded ring lengths.</w:t>
      </w:r>
    </w:p>
    <w:p>
      <w:pPr>
        <w:pStyle w:val="Heading1"/>
      </w:pPr>
      <w:r>
        <w:rPr>
          <w:rFonts w:ascii="Arial" w:cs="Arial" w:eastAsia="Arial" w:hAnsi="Arial"/>
          <w:b/>
          <w:bCs/>
        </w:rPr>
        <w:t xml:space="preserve">Appendix B: GNN Architecture Details</w:t>
      </w:r>
    </w:p>
    <w:p>
      <w:pPr>
        <w:spacing w:after="100" w:before="100"/>
        <w:jc w:val="both"/>
      </w:pPr>
      <w:r>
        <w:rPr>
          <w:rFonts w:ascii="Arial" w:cs="Arial" w:eastAsia="Arial" w:hAnsi="Arial"/>
          <w:sz w:val="22"/>
          <w:szCs w:val="22"/>
        </w:rPr>
        <w:t xml:space="preserve">The intent classifier uses a 4-layer Graph Attention Network with the following configuration:</w:t>
      </w:r>
    </w:p>
    <w:p>
      <w:pPr>
        <w:pStyle w:val="ListParagraph"/>
        <w:numPr>
          <w:ilvl w:val="0"/>
          <w:numId w:val="2"/>
        </w:numPr>
        <w:spacing w:after="60" w:before="60"/>
      </w:pPr>
      <w:r>
        <w:rPr>
          <w:rFonts w:ascii="Arial" w:cs="Arial" w:eastAsia="Arial" w:hAnsi="Arial"/>
          <w:sz w:val="22"/>
          <w:szCs w:val="22"/>
        </w:rPr>
        <w:t xml:space="preserve">Input layer: d_f = 14 node features, d_e = 3 edge features</w:t>
      </w:r>
    </w:p>
    <w:p>
      <w:pPr>
        <w:pStyle w:val="ListParagraph"/>
        <w:numPr>
          <w:ilvl w:val="0"/>
          <w:numId w:val="2"/>
        </w:numPr>
        <w:spacing w:after="60" w:before="60"/>
      </w:pPr>
      <w:r>
        <w:rPr>
          <w:rFonts w:ascii="Arial" w:cs="Arial" w:eastAsia="Arial" w:hAnsi="Arial"/>
          <w:sz w:val="22"/>
          <w:szCs w:val="22"/>
        </w:rPr>
        <w:t xml:space="preserve">Hidden layers: 64-dimensional node representations, 8 attention heads per layer</w:t>
      </w:r>
    </w:p>
    <w:p>
      <w:pPr>
        <w:pStyle w:val="ListParagraph"/>
        <w:numPr>
          <w:ilvl w:val="0"/>
          <w:numId w:val="2"/>
        </w:numPr>
        <w:spacing w:after="60" w:before="60"/>
      </w:pPr>
      <w:r>
        <w:rPr>
          <w:rFonts w:ascii="Arial" w:cs="Arial" w:eastAsia="Arial" w:hAnsi="Arial"/>
          <w:sz w:val="22"/>
          <w:szCs w:val="22"/>
        </w:rPr>
        <w:t xml:space="preserve">Edge features incorporated via edge-conditioned attention weighting</w:t>
      </w:r>
    </w:p>
    <w:p>
      <w:pPr>
        <w:pStyle w:val="ListParagraph"/>
        <w:numPr>
          <w:ilvl w:val="0"/>
          <w:numId w:val="2"/>
        </w:numPr>
        <w:spacing w:after="60" w:before="60"/>
      </w:pPr>
      <w:r>
        <w:rPr>
          <w:rFonts w:ascii="Arial" w:cs="Arial" w:eastAsia="Arial" w:hAnsi="Arial"/>
          <w:sz w:val="22"/>
          <w:szCs w:val="22"/>
        </w:rPr>
        <w:t xml:space="preserve">Batch normalization after each layer</w:t>
      </w:r>
    </w:p>
    <w:p>
      <w:pPr>
        <w:pStyle w:val="ListParagraph"/>
        <w:numPr>
          <w:ilvl w:val="0"/>
          <w:numId w:val="2"/>
        </w:numPr>
        <w:spacing w:after="60" w:before="60"/>
      </w:pPr>
      <w:r>
        <w:rPr>
          <w:rFonts w:ascii="Arial" w:cs="Arial" w:eastAsia="Arial" w:hAnsi="Arial"/>
          <w:sz w:val="22"/>
          <w:szCs w:val="22"/>
        </w:rPr>
        <w:t xml:space="preserve">Dropout rate 0.2 during training</w:t>
      </w:r>
    </w:p>
    <w:p>
      <w:pPr>
        <w:pStyle w:val="ListParagraph"/>
        <w:numPr>
          <w:ilvl w:val="0"/>
          <w:numId w:val="2"/>
        </w:numPr>
        <w:spacing w:after="60" w:before="60"/>
      </w:pPr>
      <w:r>
        <w:rPr>
          <w:rFonts w:ascii="Arial" w:cs="Arial" w:eastAsia="Arial" w:hAnsi="Arial"/>
          <w:sz w:val="22"/>
          <w:szCs w:val="22"/>
        </w:rPr>
        <w:t xml:space="preserve">Output: sigmoid activation on final node representation for binary classification</w:t>
      </w:r>
    </w:p>
    <w:p>
      <w:pPr>
        <w:spacing w:after="100" w:before="100"/>
        <w:jc w:val="both"/>
      </w:pPr>
      <w:r>
        <w:rPr>
          <w:rFonts w:ascii="Arial" w:cs="Arial" w:eastAsia="Arial" w:hAnsi="Arial"/>
          <w:sz w:val="22"/>
          <w:szCs w:val="22"/>
        </w:rPr>
        <w:t xml:space="preserve">Training: Adam optimizer, learning rate 1e-3 with cosine annealing, batch size 32 batches (each batch containing all intents in one auction), 50 epochs. Positive class weight alpha = 5.0 to penalize false negatives.</w:t>
      </w:r>
    </w:p>
    <w:p>
      <w:pPr>
        <w:pStyle w:val="Heading1"/>
      </w:pPr>
      <w:r>
        <w:rPr>
          <w:rFonts w:ascii="Arial" w:cs="Arial" w:eastAsia="Arial" w:hAnsi="Arial"/>
          <w:b/>
          <w:bCs/>
        </w:rPr>
        <w:t xml:space="preserve">Appendix C: Extended Evaluation Tables</w:t>
      </w:r>
    </w:p>
    <w:p>
      <w:pPr>
        <w:spacing w:after="100" w:before="100"/>
        <w:jc w:val="both"/>
      </w:pPr>
      <w:r>
        <w:rPr>
          <w:rFonts w:ascii="Arial" w:cs="Arial" w:eastAsia="Arial" w:hAnsi="Arial"/>
          <w:sz w:val="22"/>
          <w:szCs w:val="22"/>
        </w:rPr>
        <w:t xml:space="preserve">Table C.1: Per-chain surplus improvement breakdown.</w:t>
      </w:r>
    </w:p>
    <w:p>
      <w:pPr>
        <w:spacing w:after="200" w:before="20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300"/>
        <w:gridCol w:w="1300"/>
        <w:gridCol w:w="170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Chain</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Batches (test)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Baseline Surplus</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Ours</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Multi-Party Rate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Ethereum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$156.3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Gnosis Chain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3,890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Arbitrum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1,340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w:t>
            </w:r>
          </w:p>
        </w:tc>
      </w:tr>
    </w:tbl>
    <w:p>
      <w:pPr>
        <w:spacing w:after="200" w:before="200"/>
      </w:pPr>
      <w:r>
        <w:t xml:space="preserve"/>
      </w:r>
    </w:p>
    <w:p>
      <w:pPr>
        <w:spacing w:after="100" w:before="100"/>
        <w:jc w:val="both"/>
      </w:pPr>
      <w:r>
        <w:rPr>
          <w:rFonts w:ascii="Arial" w:cs="Arial" w:eastAsia="Arial" w:hAnsi="Arial"/>
          <w:sz w:val="22"/>
          <w:szCs w:val="22"/>
        </w:rPr>
        <w:t xml:space="preserve">Gnosis Chain shows the highest multi-party ring rate (11.3%), likely due to its lower gas costs reducing the break-even threshold for ring settlement and attracting proportionally more limit orders with surplus headroom.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2026-05-26T15:03:23.201Z</dcterms:created>
  <dcterms:modified xsi:type="dcterms:W3CDTF">2026-05-26T15:03:23.213Z</dcterms:modified>
</cp:coreProperties>
</file>

<file path=docProps/custom.xml><?xml version="1.0" encoding="utf-8"?>
<Properties xmlns="http://schemas.openxmlformats.org/officeDocument/2006/custom-properties" xmlns:vt="http://schemas.openxmlformats.org/officeDocument/2006/docPropsVTypes"/>
</file>