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Executive Summary</w:t>
      </w:r>
    </w:p>
    <w:p>
      <w:pPr>
        <w:pStyle w:val="Heading2"/>
      </w:pPr>
      <w:r>
        <w:t xml:space="preserve">Revenue Report</w:t>
      </w:r>
    </w:p>
    <w:p>
      <w:r>
        <w:rPr>
          <w:sz w:val="24"/>
          <w:szCs w:val="24"/>
        </w:rPr>
        <w:t xml:space="preserve">Revenue was $2.5M in Q3 2026, up 40% year over year. The churn rate decreased to 4% from 8%. Main growth came from enterprise subscriptions and expansion into MENA markets. The outlook for Q4 is strong with new product launches planned.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2026-08-23T21:15:59.220Z</dcterms:created>
  <dcterms:modified xsi:type="dcterms:W3CDTF">2026-08-23T21:15:59.220Z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