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9" w:lineRule="auto"/>
        <w:ind w:left="-5" w:firstLine="0"/>
        <w:jc w:val="center"/>
        <w:rPr>
          <w:b w:val="1"/>
          <w:sz w:val="32"/>
          <w:szCs w:val="32"/>
        </w:rPr>
      </w:pPr>
      <w:r w:rsidDel="00000000" w:rsidR="00000000" w:rsidRPr="00000000">
        <w:rPr>
          <w:b w:val="1"/>
          <w:sz w:val="32"/>
          <w:szCs w:val="32"/>
          <w:rtl w:val="0"/>
        </w:rPr>
        <w:t xml:space="preserve">Executive Summary </w:t>
      </w:r>
    </w:p>
    <w:p w:rsidR="00000000" w:rsidDel="00000000" w:rsidP="00000000" w:rsidRDefault="00000000" w:rsidRPr="00000000" w14:paraId="00000002">
      <w:pPr>
        <w:spacing w:after="159" w:lineRule="auto"/>
        <w:ind w:left="-5" w:firstLine="0"/>
        <w:jc w:val="center"/>
        <w:rPr>
          <w:b w:val="1"/>
          <w:sz w:val="32"/>
          <w:szCs w:val="32"/>
        </w:rPr>
      </w:pPr>
      <w:r w:rsidDel="00000000" w:rsidR="00000000" w:rsidRPr="00000000">
        <w:rPr>
          <w:b w:val="1"/>
          <w:sz w:val="32"/>
          <w:szCs w:val="32"/>
          <w:rtl w:val="0"/>
        </w:rPr>
        <w:t xml:space="preserve">Project Part 4</w:t>
      </w:r>
    </w:p>
    <w:p w:rsidR="00000000" w:rsidDel="00000000" w:rsidP="00000000" w:rsidRDefault="00000000" w:rsidRPr="00000000" w14:paraId="00000003">
      <w:pPr>
        <w:spacing w:after="159" w:lineRule="auto"/>
        <w:ind w:left="-5" w:firstLine="0"/>
        <w:jc w:val="right"/>
        <w:rPr>
          <w:b w:val="1"/>
          <w:sz w:val="28"/>
          <w:szCs w:val="28"/>
        </w:rPr>
      </w:pPr>
      <w:r w:rsidDel="00000000" w:rsidR="00000000" w:rsidRPr="00000000">
        <w:rPr>
          <w:b w:val="1"/>
          <w:sz w:val="28"/>
          <w:szCs w:val="28"/>
          <w:rtl w:val="0"/>
        </w:rPr>
        <w:t xml:space="preserve">Team-7</w:t>
      </w:r>
    </w:p>
    <w:p w:rsidR="00000000" w:rsidDel="00000000" w:rsidP="00000000" w:rsidRDefault="00000000" w:rsidRPr="00000000" w14:paraId="00000004">
      <w:pPr>
        <w:spacing w:after="159" w:lineRule="auto"/>
        <w:ind w:left="-5" w:firstLine="0"/>
        <w:rPr>
          <w:sz w:val="24"/>
          <w:szCs w:val="24"/>
        </w:rPr>
      </w:pPr>
      <w:r w:rsidDel="00000000" w:rsidR="00000000" w:rsidRPr="00000000">
        <w:rPr>
          <w:rtl w:val="0"/>
        </w:rPr>
      </w:r>
    </w:p>
    <w:p w:rsidR="00000000" w:rsidDel="00000000" w:rsidP="00000000" w:rsidRDefault="00000000" w:rsidRPr="00000000" w14:paraId="00000005">
      <w:pPr>
        <w:spacing w:after="159" w:lineRule="auto"/>
        <w:ind w:left="-5" w:firstLine="0"/>
        <w:rPr>
          <w:rFonts w:ascii="Times New Roman" w:cs="Times New Roman" w:eastAsia="Times New Roman" w:hAnsi="Times New Roman"/>
          <w:b w:val="1"/>
          <w:color w:val="4c1130"/>
          <w:sz w:val="26"/>
          <w:szCs w:val="26"/>
        </w:rPr>
      </w:pPr>
      <w:r w:rsidDel="00000000" w:rsidR="00000000" w:rsidRPr="00000000">
        <w:rPr>
          <w:rFonts w:ascii="Times New Roman" w:cs="Times New Roman" w:eastAsia="Times New Roman" w:hAnsi="Times New Roman"/>
          <w:b w:val="1"/>
          <w:color w:val="4c1130"/>
          <w:sz w:val="26"/>
          <w:szCs w:val="26"/>
          <w:rtl w:val="0"/>
        </w:rPr>
        <w:t xml:space="preserve">Introduction:</w:t>
      </w:r>
    </w:p>
    <w:p w:rsidR="00000000" w:rsidDel="00000000" w:rsidP="00000000" w:rsidRDefault="00000000" w:rsidRPr="00000000" w14:paraId="00000006">
      <w:pPr>
        <w:spacing w:after="159" w:lineRule="auto"/>
        <w:ind w:left="-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MediCrystals Co. is a prominent glass manufacturer based in Germany, specializing in pharmaceutical glass products such as ampoules, vials, cartridges, and pre-fillable syringes. With manufacturing facilities across Europe, the US, and Southeast Asia, MediCrystals operates as a multinational corporation, serving clients worldwide and maintaining a presence in more than 120 countries. Despite its substantial annual production of over 8 billion glass containers for the pharmaceutical industry, the company is currently facing challenges stemming from an unforeseen surge in demand, leading to constraints in glass supplies. This sudden increase in demand has raised concerns about potential shortages, stockouts, and operational and financial strains for pharmaceutical manufacturers globally.</w:t>
      </w:r>
    </w:p>
    <w:p w:rsidR="00000000" w:rsidDel="00000000" w:rsidP="00000000" w:rsidRDefault="00000000" w:rsidRPr="00000000" w14:paraId="00000007">
      <w:pPr>
        <w:spacing w:after="159" w:lineRule="auto"/>
        <w:ind w:left="-5" w:firstLine="0"/>
        <w:rPr>
          <w:rFonts w:ascii="Times New Roman" w:cs="Times New Roman" w:eastAsia="Times New Roman" w:hAnsi="Times New Roman"/>
          <w:b w:val="1"/>
          <w:color w:val="4c1130"/>
          <w:sz w:val="26"/>
          <w:szCs w:val="26"/>
        </w:rPr>
      </w:pPr>
      <w:r w:rsidDel="00000000" w:rsidR="00000000" w:rsidRPr="00000000">
        <w:rPr>
          <w:rFonts w:ascii="Times New Roman" w:cs="Times New Roman" w:eastAsia="Times New Roman" w:hAnsi="Times New Roman"/>
          <w:b w:val="1"/>
          <w:color w:val="4c1130"/>
          <w:sz w:val="26"/>
          <w:szCs w:val="26"/>
          <w:rtl w:val="0"/>
        </w:rPr>
        <w:t xml:space="preserve">Challenges:</w:t>
      </w:r>
    </w:p>
    <w:p w:rsidR="00000000" w:rsidDel="00000000" w:rsidP="00000000" w:rsidRDefault="00000000" w:rsidRPr="00000000" w14:paraId="00000008">
      <w:pPr>
        <w:spacing w:after="159" w:lineRule="auto"/>
        <w:ind w:left="-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Vice President of Operations at MediCrystals has enlisted our expertise to address several critical areas, including:</w:t>
      </w:r>
    </w:p>
    <w:p w:rsidR="00000000" w:rsidDel="00000000" w:rsidP="00000000" w:rsidRDefault="00000000" w:rsidRPr="00000000" w14:paraId="00000009">
      <w:pPr>
        <w:spacing w:after="159" w:lineRule="auto"/>
        <w:ind w:left="-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Assessing the impact on working capital through the estimation of inventory position changes.</w:t>
      </w:r>
    </w:p>
    <w:p w:rsidR="00000000" w:rsidDel="00000000" w:rsidP="00000000" w:rsidRDefault="00000000" w:rsidRPr="00000000" w14:paraId="0000000A">
      <w:pPr>
        <w:spacing w:after="159" w:lineRule="auto"/>
        <w:ind w:left="-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Analyzing marketing team-collected data on expected demand patterns.</w:t>
      </w:r>
    </w:p>
    <w:p w:rsidR="00000000" w:rsidDel="00000000" w:rsidP="00000000" w:rsidRDefault="00000000" w:rsidRPr="00000000" w14:paraId="0000000B">
      <w:pPr>
        <w:spacing w:after="159" w:lineRule="auto"/>
        <w:ind w:left="-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Providing insights into demand trends and identifying any potentially obsolete inventory that Glaswork may possess.</w:t>
      </w:r>
    </w:p>
    <w:p w:rsidR="00000000" w:rsidDel="00000000" w:rsidP="00000000" w:rsidRDefault="00000000" w:rsidRPr="00000000" w14:paraId="0000000C">
      <w:pPr>
        <w:spacing w:after="159" w:lineRule="auto"/>
        <w:ind w:left="-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Safety Stock Analysis:</w:t>
      </w:r>
    </w:p>
    <w:p w:rsidR="00000000" w:rsidDel="00000000" w:rsidP="00000000" w:rsidRDefault="00000000" w:rsidRPr="00000000" w14:paraId="0000000D">
      <w:pPr>
        <w:spacing w:after="159" w:lineRule="auto"/>
        <w:ind w:left="-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Reorder Point (ROP) formula was calculated as:</w:t>
      </w:r>
    </w:p>
    <w:p w:rsidR="00000000" w:rsidDel="00000000" w:rsidP="00000000" w:rsidRDefault="00000000" w:rsidRPr="00000000" w14:paraId="0000000E">
      <w:pPr>
        <w:spacing w:after="159" w:lineRule="auto"/>
        <w:ind w:left="-5" w:firstLine="0"/>
        <w:jc w:val="center"/>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ROP=(LeadTimeDemand×SafetyFactor)+SafetyStock</w:t>
      </w:r>
    </w:p>
    <w:p w:rsidR="00000000" w:rsidDel="00000000" w:rsidP="00000000" w:rsidRDefault="00000000" w:rsidRPr="00000000" w14:paraId="0000000F">
      <w:pPr>
        <w:spacing w:after="159" w:lineRule="auto"/>
        <w:ind w:left="-5" w:firstLine="0"/>
        <w:jc w:val="left"/>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where Lead Time Demand is the average demand during lead time.</w:t>
      </w:r>
      <w:r w:rsidDel="00000000" w:rsidR="00000000" w:rsidRPr="00000000">
        <w:rPr>
          <w:rtl w:val="0"/>
        </w:rPr>
      </w:r>
    </w:p>
    <w:p w:rsidR="00000000" w:rsidDel="00000000" w:rsidP="00000000" w:rsidRDefault="00000000" w:rsidRPr="00000000" w14:paraId="00000010">
      <w:pPr>
        <w:spacing w:after="159" w:lineRule="auto"/>
        <w:ind w:left="-5" w:firstLine="0"/>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Also,</w:t>
      </w:r>
      <w:r w:rsidDel="00000000" w:rsidR="00000000" w:rsidRPr="00000000">
        <w:rPr>
          <w:rtl w:val="0"/>
        </w:rPr>
      </w:r>
    </w:p>
    <w:p w:rsidR="00000000" w:rsidDel="00000000" w:rsidP="00000000" w:rsidRDefault="00000000" w:rsidRPr="00000000" w14:paraId="00000011">
      <w:pPr>
        <w:spacing w:after="159" w:lineRule="auto"/>
        <w:ind w:left="-5" w:firstLine="0"/>
        <w:jc w:val="center"/>
        <w:rPr>
          <w:rFonts w:ascii="Times New Roman" w:cs="Times New Roman" w:eastAsia="Times New Roman" w:hAnsi="Times New Roman"/>
          <w:b w:val="1"/>
          <w:color w:val="2d3b45"/>
          <w:sz w:val="24"/>
          <w:szCs w:val="24"/>
          <w:highlight w:val="white"/>
        </w:rPr>
      </w:pPr>
      <w:r w:rsidDel="00000000" w:rsidR="00000000" w:rsidRPr="00000000">
        <w:rPr>
          <w:rFonts w:ascii="Gungsuh" w:cs="Gungsuh" w:eastAsia="Gungsuh" w:hAnsi="Gungsuh"/>
          <w:b w:val="1"/>
          <w:color w:val="2d3b45"/>
          <w:sz w:val="24"/>
          <w:szCs w:val="24"/>
          <w:highlight w:val="white"/>
          <w:rtl w:val="0"/>
        </w:rPr>
        <w:t xml:space="preserve">Safety Stock = (Z-score * Demand Variability * Lead Time) / √Lead Time</w:t>
      </w:r>
    </w:p>
    <w:p w:rsidR="00000000" w:rsidDel="00000000" w:rsidP="00000000" w:rsidRDefault="00000000" w:rsidRPr="00000000" w14:paraId="00000012">
      <w:pPr>
        <w:spacing w:after="159" w:lineRule="auto"/>
        <w:ind w:left="-5"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Where:</w:t>
      </w:r>
    </w:p>
    <w:p w:rsidR="00000000" w:rsidDel="00000000" w:rsidP="00000000" w:rsidRDefault="00000000" w:rsidRPr="00000000" w14:paraId="00000013">
      <w:pPr>
        <w:numPr>
          <w:ilvl w:val="0"/>
          <w:numId w:val="1"/>
        </w:numPr>
        <w:spacing w:after="0" w:afterAutospacing="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Safety Factor corresponds to the Z-score for the desired service level (for example, for a 98% service level, you'd use the Z-score corresponding to 2% tail).</w:t>
      </w:r>
    </w:p>
    <w:p w:rsidR="00000000" w:rsidDel="00000000" w:rsidP="00000000" w:rsidRDefault="00000000" w:rsidRPr="00000000" w14:paraId="00000014">
      <w:pPr>
        <w:numPr>
          <w:ilvl w:val="0"/>
          <w:numId w:val="1"/>
        </w:numPr>
        <w:spacing w:after="0" w:afterAutospacing="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Lead Time Demand is the average demand during lead time.</w:t>
      </w:r>
    </w:p>
    <w:p w:rsidR="00000000" w:rsidDel="00000000" w:rsidP="00000000" w:rsidRDefault="00000000" w:rsidRPr="00000000" w14:paraId="00000015">
      <w:pPr>
        <w:numPr>
          <w:ilvl w:val="0"/>
          <w:numId w:val="1"/>
        </w:numPr>
        <w:spacing w:after="0" w:afterAutospacing="0"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Demand Variability is the coefficient of variance for demand.</w:t>
      </w:r>
    </w:p>
    <w:p w:rsidR="00000000" w:rsidDel="00000000" w:rsidP="00000000" w:rsidRDefault="00000000" w:rsidRPr="00000000" w14:paraId="00000016">
      <w:pPr>
        <w:numPr>
          <w:ilvl w:val="0"/>
          <w:numId w:val="1"/>
        </w:numPr>
        <w:spacing w:after="159" w:lineRule="auto"/>
        <w:ind w:left="720" w:hanging="36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Lead Time is the lead time in days.</w:t>
      </w:r>
    </w:p>
    <w:p w:rsidR="00000000" w:rsidDel="00000000" w:rsidP="00000000" w:rsidRDefault="00000000" w:rsidRPr="00000000" w14:paraId="00000017">
      <w:pPr>
        <w:spacing w:after="159" w:lineRule="auto"/>
        <w:ind w:left="-5" w:firstLine="0"/>
        <w:jc w:val="center"/>
        <w:rPr>
          <w:rFonts w:ascii="Times New Roman" w:cs="Times New Roman" w:eastAsia="Times New Roman" w:hAnsi="Times New Roman"/>
          <w:b w:val="1"/>
          <w:color w:val="4c1130"/>
          <w:sz w:val="24"/>
          <w:szCs w:val="24"/>
          <w:highlight w:val="white"/>
        </w:rPr>
      </w:pPr>
      <w:r w:rsidDel="00000000" w:rsidR="00000000" w:rsidRPr="00000000">
        <w:rPr>
          <w:rFonts w:ascii="Times New Roman" w:cs="Times New Roman" w:eastAsia="Times New Roman" w:hAnsi="Times New Roman"/>
          <w:b w:val="1"/>
          <w:color w:val="4c1130"/>
          <w:sz w:val="24"/>
          <w:szCs w:val="24"/>
          <w:highlight w:val="white"/>
        </w:rPr>
        <w:drawing>
          <wp:inline distB="114300" distT="114300" distL="114300" distR="114300">
            <wp:extent cx="5357813" cy="540074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57813" cy="540074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59" w:lineRule="auto"/>
        <w:ind w:left="-5" w:firstLine="0"/>
        <w:rPr>
          <w:rFonts w:ascii="Times New Roman" w:cs="Times New Roman" w:eastAsia="Times New Roman" w:hAnsi="Times New Roman"/>
          <w:b w:val="1"/>
          <w:color w:val="4c1130"/>
          <w:sz w:val="26"/>
          <w:szCs w:val="26"/>
        </w:rPr>
      </w:pPr>
      <w:r w:rsidDel="00000000" w:rsidR="00000000" w:rsidRPr="00000000">
        <w:rPr>
          <w:rFonts w:ascii="Times New Roman" w:cs="Times New Roman" w:eastAsia="Times New Roman" w:hAnsi="Times New Roman"/>
          <w:b w:val="1"/>
          <w:color w:val="4c1130"/>
          <w:sz w:val="26"/>
          <w:szCs w:val="26"/>
          <w:rtl w:val="0"/>
        </w:rPr>
        <w:t xml:space="preserve">Methodology:</w:t>
      </w:r>
    </w:p>
    <w:p w:rsidR="00000000" w:rsidDel="00000000" w:rsidP="00000000" w:rsidRDefault="00000000" w:rsidRPr="00000000" w14:paraId="00000019">
      <w:pPr>
        <w:spacing w:after="159" w:lineRule="auto"/>
        <w:ind w:left="-5" w:firstLine="0"/>
        <w:rPr>
          <w:rFonts w:ascii="Times New Roman" w:cs="Times New Roman" w:eastAsia="Times New Roman" w:hAnsi="Times New Roman"/>
          <w:b w:val="1"/>
          <w:color w:val="4c1130"/>
          <w:sz w:val="24"/>
          <w:szCs w:val="24"/>
          <w:highlight w:val="white"/>
        </w:rPr>
      </w:pPr>
      <w:r w:rsidDel="00000000" w:rsidR="00000000" w:rsidRPr="00000000">
        <w:rPr>
          <w:rFonts w:ascii="Times New Roman" w:cs="Times New Roman" w:eastAsia="Times New Roman" w:hAnsi="Times New Roman"/>
          <w:sz w:val="26"/>
          <w:szCs w:val="26"/>
          <w:rtl w:val="0"/>
        </w:rPr>
        <w:t xml:space="preserve">To forecast the expected trend in average price per unit (APU) for Glaswork's products, we will analyze "Data Exhibit-2" for the upcoming 12 months. By aggregating unit sales over the past year, we can project APU units for the next 12 months. This approach will provide detailed insights into the demand trend, aiding our communication with the marketing team.</w:t>
      </w:r>
      <w:r w:rsidDel="00000000" w:rsidR="00000000" w:rsidRPr="00000000">
        <w:rPr>
          <w:rtl w:val="0"/>
        </w:rPr>
      </w:r>
    </w:p>
    <w:p w:rsidR="00000000" w:rsidDel="00000000" w:rsidP="00000000" w:rsidRDefault="00000000" w:rsidRPr="00000000" w14:paraId="0000001A">
      <w:pPr>
        <w:spacing w:after="159" w:lineRule="auto"/>
        <w:ind w:left="-5" w:firstLine="0"/>
        <w:jc w:val="center"/>
        <w:rPr>
          <w:rFonts w:ascii="Times New Roman" w:cs="Times New Roman" w:eastAsia="Times New Roman" w:hAnsi="Times New Roman"/>
          <w:b w:val="1"/>
          <w:color w:val="4c1130"/>
          <w:sz w:val="24"/>
          <w:szCs w:val="24"/>
          <w:highlight w:val="white"/>
        </w:rPr>
      </w:pPr>
      <w:r w:rsidDel="00000000" w:rsidR="00000000" w:rsidRPr="00000000">
        <w:rPr>
          <w:rFonts w:ascii="Times New Roman" w:cs="Times New Roman" w:eastAsia="Times New Roman" w:hAnsi="Times New Roman"/>
          <w:b w:val="1"/>
          <w:color w:val="4c1130"/>
          <w:sz w:val="24"/>
          <w:szCs w:val="24"/>
          <w:highlight w:val="white"/>
          <w:rtl w:val="0"/>
        </w:rPr>
        <w:t xml:space="preserve">Dynamic Inventory Management Dashboard:</w:t>
      </w:r>
    </w:p>
    <w:p w:rsidR="00000000" w:rsidDel="00000000" w:rsidP="00000000" w:rsidRDefault="00000000" w:rsidRPr="00000000" w14:paraId="0000001B">
      <w:pPr>
        <w:spacing w:after="159" w:lineRule="auto"/>
        <w:ind w:left="-5" w:firstLine="0"/>
        <w:jc w:val="center"/>
        <w:rPr>
          <w:rFonts w:ascii="Times New Roman" w:cs="Times New Roman" w:eastAsia="Times New Roman" w:hAnsi="Times New Roman"/>
          <w:b w:val="1"/>
          <w:color w:val="4c1130"/>
          <w:sz w:val="24"/>
          <w:szCs w:val="24"/>
          <w:highlight w:val="white"/>
        </w:rPr>
      </w:pPr>
      <w:r w:rsidDel="00000000" w:rsidR="00000000" w:rsidRPr="00000000">
        <w:rPr>
          <w:rtl w:val="0"/>
        </w:rPr>
      </w:r>
    </w:p>
    <w:p w:rsidR="00000000" w:rsidDel="00000000" w:rsidP="00000000" w:rsidRDefault="00000000" w:rsidRPr="00000000" w14:paraId="0000001C">
      <w:pPr>
        <w:spacing w:after="159" w:lineRule="auto"/>
        <w:ind w:left="-5"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Pr>
        <w:drawing>
          <wp:inline distB="114300" distT="114300" distL="114300" distR="114300">
            <wp:extent cx="5944235" cy="4762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4235"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159" w:lineRule="auto"/>
        <w:ind w:left="-5"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E">
      <w:pPr>
        <w:spacing w:after="159" w:lineRule="auto"/>
        <w:ind w:left="-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Moving on to the next task:</w:t>
      </w:r>
    </w:p>
    <w:p w:rsidR="00000000" w:rsidDel="00000000" w:rsidP="00000000" w:rsidRDefault="00000000" w:rsidRPr="00000000" w14:paraId="0000001F">
      <w:pPr>
        <w:spacing w:after="159" w:lineRule="auto"/>
        <w:ind w:left="-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We'll create a new column called "On-Hand Inventory," calculated by dividing the dollar value of on-hand stock by the standard unit price. This calculation yields the available stock on hand, considering the expected APU units for obsolete inventory in the coming year.</w:t>
      </w:r>
    </w:p>
    <w:p w:rsidR="00000000" w:rsidDel="00000000" w:rsidP="00000000" w:rsidRDefault="00000000" w:rsidRPr="00000000" w14:paraId="00000020">
      <w:pPr>
        <w:spacing w:after="159" w:lineRule="auto"/>
        <w:ind w:left="-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step is crucial as it highlights items that may be nearing obsolescence, such as SKU 52,607, which shows a significant amount of on-hand inventory. Recognizing excess and potentially outdated stock facilitates informed decisions regarding procurement, based on SKU and on-hand inventory data.</w:t>
      </w:r>
    </w:p>
    <w:p w:rsidR="00000000" w:rsidDel="00000000" w:rsidP="00000000" w:rsidRDefault="00000000" w:rsidRPr="00000000" w14:paraId="00000021">
      <w:pPr>
        <w:spacing w:after="159" w:lineRule="auto"/>
        <w:ind w:left="-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Ultimately, disclosing the current inventory on hand is essential for identifying potential obsolete products within the system. This method simplifies the identification of Stock Keeping Unit (SKU) numbers at risk of obsolescence.</w:t>
      </w:r>
    </w:p>
    <w:p w:rsidR="00000000" w:rsidDel="00000000" w:rsidP="00000000" w:rsidRDefault="00000000" w:rsidRPr="00000000" w14:paraId="00000022">
      <w:pPr>
        <w:spacing w:after="159" w:lineRule="auto"/>
        <w:ind w:left="-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Suppliers of Medicrystal can make informed decisions when equipped with knowledge of Glaswork's current supply and the expected demand trend.</w:t>
      </w:r>
    </w:p>
    <w:p w:rsidR="00000000" w:rsidDel="00000000" w:rsidP="00000000" w:rsidRDefault="00000000" w:rsidRPr="00000000" w14:paraId="00000023">
      <w:pPr>
        <w:spacing w:after="159" w:lineRule="auto"/>
        <w:ind w:left="-5" w:firstLine="0"/>
        <w:rPr>
          <w:sz w:val="26"/>
          <w:szCs w:val="26"/>
        </w:rPr>
      </w:pPr>
      <w:r w:rsidDel="00000000" w:rsidR="00000000" w:rsidRPr="00000000">
        <w:rPr>
          <w:rtl w:val="0"/>
        </w:rPr>
      </w:r>
    </w:p>
    <w:p w:rsidR="00000000" w:rsidDel="00000000" w:rsidP="00000000" w:rsidRDefault="00000000" w:rsidRPr="00000000" w14:paraId="00000024">
      <w:pPr>
        <w:spacing w:after="115" w:lineRule="auto"/>
        <w:ind w:left="-5" w:firstLine="0"/>
        <w:jc w:val="center"/>
        <w:rPr/>
      </w:pPr>
      <w:r w:rsidDel="00000000" w:rsidR="00000000" w:rsidRPr="00000000">
        <w:rPr>
          <w:rtl w:val="0"/>
        </w:rPr>
      </w:r>
    </w:p>
    <w:p w:rsidR="00000000" w:rsidDel="00000000" w:rsidP="00000000" w:rsidRDefault="00000000" w:rsidRPr="00000000" w14:paraId="00000025">
      <w:pPr>
        <w:spacing w:after="0" w:lineRule="auto"/>
        <w:ind w:right="1430"/>
        <w:jc w:val="center"/>
        <w:rPr/>
      </w:pPr>
      <w:r w:rsidDel="00000000" w:rsidR="00000000" w:rsidRPr="00000000">
        <w:rPr>
          <w:rtl w:val="0"/>
        </w:rPr>
      </w:r>
    </w:p>
    <w:sectPr>
      <w:pgSz w:h="15840" w:w="12240" w:orient="portrait"/>
      <w:pgMar w:bottom="1640" w:top="1484" w:left="1440" w:right="143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3864"/>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f5496"/>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3864"/>
    </w:rPr>
  </w:style>
  <w:style w:type="paragraph" w:styleId="Title">
    <w:name w:val="Title"/>
    <w:basedOn w:val="Normal"/>
    <w:next w:val="Normal"/>
    <w:pPr>
      <w:spacing w:after="0" w:line="204" w:lineRule="auto"/>
    </w:pPr>
    <w:rPr>
      <w:rFonts w:ascii="Calibri" w:cs="Calibri" w:eastAsia="Calibri" w:hAnsi="Calibri"/>
      <w:smallCaps w:val="1"/>
      <w:color w:val="44546a"/>
      <w:sz w:val="72"/>
      <w:szCs w:val="72"/>
    </w:rPr>
  </w:style>
  <w:style w:type="paragraph" w:styleId="Subtitle">
    <w:name w:val="Subtitle"/>
    <w:basedOn w:val="Normal"/>
    <w:next w:val="Normal"/>
    <w:pPr>
      <w:spacing w:after="240" w:line="240" w:lineRule="auto"/>
    </w:pPr>
    <w:rPr>
      <w:rFonts w:ascii="Calibri" w:cs="Calibri" w:eastAsia="Calibri" w:hAnsi="Calibri"/>
      <w:color w:val="4472c4"/>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