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1A2E"/>
          <w:sz w:val="72"/>
          <w:szCs w:val="72"/>
        </w:rPr>
        <w:t xml:space="preserve">TAKUMI</w:t>
      </w:r>
    </w:p>
    <w:p>
      <w:pPr>
        <w:spacing w:after="80" w:before="0"/>
      </w:pPr>
      <w:r>
        <w:rPr>
          <w:rFonts w:ascii="Arial" w:cs="Arial" w:eastAsia="Arial" w:hAnsi="Arial"/>
          <w:color w:val="666666"/>
          <w:sz w:val="28"/>
          <w:szCs w:val="28"/>
        </w:rPr>
        <w:t xml:space="preserve">Multi-Agent Orchestration Platform</w:t>
      </w:r>
    </w:p>
    <w:p>
      <w:pPr>
        <w:pBdr>
          <w:bottom w:val="single" w:color="4F8EF7" w:sz="4" w:space="1"/>
        </w:pBdr>
        <w:spacing w:after="160" w:before="160"/>
      </w:pPr>
    </w:p>
    <w:p>
      <w:pPr>
        <w:spacing w:after="40" w:before="0"/>
      </w:pPr>
      <w:r>
        <w:rPr>
          <w:rFonts w:ascii="Arial" w:cs="Arial" w:eastAsia="Arial" w:hAnsi="Arial"/>
          <w:b/>
          <w:bCs/>
          <w:color w:val="4F8EF7"/>
          <w:sz w:val="24"/>
          <w:szCs w:val="24"/>
        </w:rPr>
        <w:t xml:space="preserve">FEATURE SPECIFICATION</w:t>
      </w:r>
    </w:p>
    <w:p>
      <w:pPr>
        <w:spacing w:after="400" w:before="0"/>
      </w:pPr>
      <w:r>
        <w:rPr>
          <w:rFonts w:ascii="Arial" w:cs="Arial" w:eastAsia="Arial" w:hAnsi="Arial"/>
          <w:b/>
          <w:bCs/>
          <w:color w:val="1A1A2E"/>
          <w:sz w:val="36"/>
          <w:szCs w:val="36"/>
        </w:rPr>
        <w:t xml:space="preserve">Governance &amp; Compliance Layer  ·  EU AI Act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 Info</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 — Draft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 Frontend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TBD — post-MVP</w:t>
            </w:r>
          </w:p>
        </w:tc>
      </w:tr>
    </w:tbl>
    <w:p>
      <w:r>
        <w:br w:type="page"/>
      </w:r>
    </w:p>
    <w:p>
      <w:pPr>
        <w:pStyle w:val="Heading1"/>
        <w:spacing w:after="120" w:before="360"/>
      </w:pPr>
      <w:r>
        <w:rPr>
          <w:rFonts w:ascii="Arial" w:cs="Arial" w:eastAsia="Arial" w:hAnsi="Arial"/>
          <w:b/>
          <w:bCs/>
          <w:color w:val="1A1A2E"/>
          <w:sz w:val="36"/>
          <w:szCs w:val="36"/>
        </w:rPr>
        <w:t xml:space="preserve">1. Executive Summary</w:t>
      </w:r>
    </w:p>
    <w:p>
      <w:pPr>
        <w:spacing w:after="80" w:before="80"/>
      </w:pPr>
      <w:r>
        <w:rPr>
          <w:rFonts w:ascii="Arial" w:cs="Arial" w:eastAsia="Arial" w:hAnsi="Arial"/>
          <w:sz w:val="22"/>
          <w:szCs w:val="22"/>
        </w:rPr>
        <w:t xml:space="preserve">Takumi is an AI organisation platform where users compose and run teams of specialised agents that delegate tasks between each other. As these agent orgs take on real business decisions — approvals, communications, data processing, hiring, financial analysis — they enter the scope of the EU AI Act and similar enterprise governance requirements.</w:t>
      </w:r>
    </w:p>
    <w:p>
      <w:pPr>
        <w:spacing w:after="80" w:before="80"/>
      </w:pPr>
      <w:r>
        <w:rPr>
          <w:rFonts w:ascii="Arial" w:cs="Arial" w:eastAsia="Arial" w:hAnsi="Arial"/>
          <w:sz w:val="22"/>
          <w:szCs w:val="22"/>
        </w:rPr>
        <w:t xml:space="preserve">This specification defines a Governance &amp; Compliance Layer that is embedded natively into the Takumi orchestration engine. It is not a bolt-on audit log. It is a first-class system that risk-scores every agent action in real time, enforces configurable policy gates, maintains immutable audit trails, and generates compliance artefacts that satisfy EU AI Act obligations.</w:t>
      </w:r>
    </w:p>
    <w:p>
      <w:pPr>
        <w:spacing w:after="80" w:before="80"/>
      </w:pPr>
      <w:r>
        <w:rPr>
          <w:rFonts w:ascii="Arial" w:cs="Arial" w:eastAsia="Arial" w:hAnsi="Arial"/>
          <w:sz w:val="22"/>
          <w:szCs w:val="22"/>
        </w:rPr>
        <w:t xml:space="preserve">This feature is the primary enterprise differentiator for Takumi. No competing multi-agent platform currently ships governance at the orchestration level.</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F" w:val="clear"/>
            <w:tcMar>
              <w:top w:type="dxa" w:w="120"/>
              <w:left w:type="dxa" w:w="160"/>
              <w:bottom w:type="dxa" w:w="120"/>
              <w:right w:type="dxa" w:w="160"/>
            </w:tcMar>
          </w:tcPr>
          <w:p>
            <w:pPr>
              <w:spacing w:after="60" w:before="0"/>
            </w:pPr>
            <w:r>
              <w:rPr>
                <w:rFonts w:ascii="Arial" w:cs="Arial" w:eastAsia="Arial" w:hAnsi="Arial"/>
                <w:b/>
                <w:bCs/>
                <w:color w:val="4F8EF7"/>
                <w:sz w:val="22"/>
                <w:szCs w:val="22"/>
              </w:rPr>
              <w:t xml:space="preserve">Strategic Positioning</w:t>
            </w:r>
          </w:p>
          <w:p>
            <w:pPr>
              <w:spacing w:after="0" w:before="0"/>
            </w:pPr>
            <w:r>
              <w:rPr>
                <w:rFonts w:ascii="Arial" w:cs="Arial" w:eastAsia="Arial" w:hAnsi="Arial"/>
                <w:sz w:val="22"/>
                <w:szCs w:val="22"/>
              </w:rPr>
              <w:t xml:space="preserve">The EU AI Act came into force in August 2024. High-risk AI system requirements apply from August 2026. Enterprise buyers in finance, healthcare, HR, and legal are actively seeking auditable AI orchestration — and finding nothing purpose-built. Takumi has a narrow window to own this category.</w:t>
            </w:r>
          </w:p>
        </w:tc>
      </w:tr>
    </w:tbl>
    <w:p>
      <w:r>
        <w:br w:type="page"/>
      </w:r>
    </w:p>
    <w:p>
      <w:pPr>
        <w:pStyle w:val="Heading1"/>
        <w:spacing w:after="120" w:before="360"/>
      </w:pPr>
      <w:r>
        <w:rPr>
          <w:rFonts w:ascii="Arial" w:cs="Arial" w:eastAsia="Arial" w:hAnsi="Arial"/>
          <w:b/>
          <w:bCs/>
          <w:color w:val="1A1A2E"/>
          <w:sz w:val="36"/>
          <w:szCs w:val="36"/>
        </w:rPr>
        <w:t xml:space="preserve">2. Problem Statement</w:t>
      </w:r>
    </w:p>
    <w:p>
      <w:pPr>
        <w:pStyle w:val="Heading2"/>
        <w:spacing w:after="80" w:before="280"/>
      </w:pPr>
      <w:r>
        <w:rPr>
          <w:rFonts w:ascii="Arial" w:cs="Arial" w:eastAsia="Arial" w:hAnsi="Arial"/>
          <w:b/>
          <w:bCs/>
          <w:color w:val="4F8EF7"/>
          <w:sz w:val="28"/>
          <w:szCs w:val="28"/>
        </w:rPr>
        <w:t xml:space="preserve">2.1  The Compliance Gap</w:t>
      </w:r>
    </w:p>
    <w:p>
      <w:pPr>
        <w:spacing w:after="80" w:before="80"/>
      </w:pPr>
      <w:r>
        <w:rPr>
          <w:rFonts w:ascii="Arial" w:cs="Arial" w:eastAsia="Arial" w:hAnsi="Arial"/>
          <w:sz w:val="22"/>
          <w:szCs w:val="22"/>
        </w:rPr>
        <w:t xml:space="preserve">Multi-agent AI systems make decisions across organisational workflows. When those decisions affect people — hiring, credit, healthcare triage, content moderation — they are classified as high-risk under the EU AI Act. High-risk systems must demonstrate:</w:t>
      </w:r>
    </w:p>
    <w:p>
      <w:pPr>
        <w:pStyle w:val="ListParagraph"/>
        <w:numPr>
          <w:ilvl w:val="0"/>
          <w:numId w:val="2"/>
        </w:numPr>
        <w:spacing w:after="40" w:before="40"/>
      </w:pPr>
      <w:r>
        <w:rPr>
          <w:rFonts w:ascii="Arial" w:cs="Arial" w:eastAsia="Arial" w:hAnsi="Arial"/>
          <w:sz w:val="22"/>
          <w:szCs w:val="22"/>
        </w:rPr>
        <w:t xml:space="preserve">Technical documentation and risk management throughout the lifecycle</w:t>
      </w:r>
    </w:p>
    <w:p>
      <w:pPr>
        <w:pStyle w:val="ListParagraph"/>
        <w:numPr>
          <w:ilvl w:val="0"/>
          <w:numId w:val="2"/>
        </w:numPr>
        <w:spacing w:after="40" w:before="40"/>
      </w:pPr>
      <w:r>
        <w:rPr>
          <w:rFonts w:ascii="Arial" w:cs="Arial" w:eastAsia="Arial" w:hAnsi="Arial"/>
          <w:sz w:val="22"/>
          <w:szCs w:val="22"/>
        </w:rPr>
        <w:t xml:space="preserve">Human oversight mechanisms with the ability to intervene or override</w:t>
      </w:r>
    </w:p>
    <w:p>
      <w:pPr>
        <w:pStyle w:val="ListParagraph"/>
        <w:numPr>
          <w:ilvl w:val="0"/>
          <w:numId w:val="2"/>
        </w:numPr>
        <w:spacing w:after="40" w:before="40"/>
      </w:pPr>
      <w:r>
        <w:rPr>
          <w:rFonts w:ascii="Arial" w:cs="Arial" w:eastAsia="Arial" w:hAnsi="Arial"/>
          <w:sz w:val="22"/>
          <w:szCs w:val="22"/>
        </w:rPr>
        <w:t xml:space="preserve">Logging of all inputs, outputs, and significant decisions</w:t>
      </w:r>
    </w:p>
    <w:p>
      <w:pPr>
        <w:pStyle w:val="ListParagraph"/>
        <w:numPr>
          <w:ilvl w:val="0"/>
          <w:numId w:val="2"/>
        </w:numPr>
        <w:spacing w:after="40" w:before="40"/>
      </w:pPr>
      <w:r>
        <w:rPr>
          <w:rFonts w:ascii="Arial" w:cs="Arial" w:eastAsia="Arial" w:hAnsi="Arial"/>
          <w:sz w:val="22"/>
          <w:szCs w:val="22"/>
        </w:rPr>
        <w:t xml:space="preserve">Transparency to users when they are interacting with an AI system</w:t>
      </w:r>
    </w:p>
    <w:p>
      <w:pPr>
        <w:pStyle w:val="ListParagraph"/>
        <w:numPr>
          <w:ilvl w:val="0"/>
          <w:numId w:val="2"/>
        </w:numPr>
        <w:spacing w:after="40" w:before="40"/>
      </w:pPr>
      <w:r>
        <w:rPr>
          <w:rFonts w:ascii="Arial" w:cs="Arial" w:eastAsia="Arial" w:hAnsi="Arial"/>
          <w:sz w:val="22"/>
          <w:szCs w:val="22"/>
        </w:rPr>
        <w:t xml:space="preserve">Accuracy, robustness, and cybersecurity measures</w:t>
      </w:r>
    </w:p>
    <w:p>
      <w:pPr>
        <w:spacing w:after="0" w:before="120"/>
      </w:pPr>
    </w:p>
    <w:p>
      <w:pPr>
        <w:spacing w:after="80" w:before="80"/>
      </w:pPr>
      <w:r>
        <w:rPr>
          <w:rFonts w:ascii="Arial" w:cs="Arial" w:eastAsia="Arial" w:hAnsi="Arial"/>
          <w:sz w:val="22"/>
          <w:szCs w:val="22"/>
        </w:rPr>
        <w:t xml:space="preserve">Current multi-agent platforms (LangChain, AutoGen, CrewAI, etc.) treat governance as an afterthought — a logging middleware, if anything. There is no risk-scoring, no policy enforcement, and no compliance-ready output.</w:t>
      </w:r>
    </w:p>
    <w:p>
      <w:pPr>
        <w:pStyle w:val="Heading2"/>
        <w:spacing w:after="80" w:before="280"/>
      </w:pPr>
      <w:r>
        <w:rPr>
          <w:rFonts w:ascii="Arial" w:cs="Arial" w:eastAsia="Arial" w:hAnsi="Arial"/>
          <w:b/>
          <w:bCs/>
          <w:color w:val="4F8EF7"/>
          <w:sz w:val="28"/>
          <w:szCs w:val="28"/>
        </w:rPr>
        <w:t xml:space="preserve">2.2  What Takumi Users Need</w:t>
      </w:r>
    </w:p>
    <w:p>
      <w:pPr>
        <w:spacing w:after="80" w:before="80"/>
      </w:pPr>
      <w:r>
        <w:rPr>
          <w:rFonts w:ascii="Arial" w:cs="Arial" w:eastAsia="Arial" w:hAnsi="Arial"/>
          <w:sz w:val="22"/>
          <w:szCs w:val="22"/>
        </w:rPr>
        <w:t xml:space="preserve">An enterprise deploying Takumi to run their accounts-payable agent team or their HR screening org needs:</w:t>
      </w:r>
    </w:p>
    <w:p>
      <w:pPr>
        <w:pStyle w:val="ListParagraph"/>
        <w:numPr>
          <w:ilvl w:val="0"/>
          <w:numId w:val="2"/>
        </w:numPr>
        <w:spacing w:after="40" w:before="40"/>
      </w:pPr>
      <w:r>
        <w:rPr>
          <w:rFonts w:ascii="Arial" w:cs="Arial" w:eastAsia="Arial" w:hAnsi="Arial"/>
          <w:sz w:val="22"/>
          <w:szCs w:val="22"/>
        </w:rPr>
        <w:t xml:space="preserve">Confidence that every action taken by an agent was within policy</w:t>
      </w:r>
    </w:p>
    <w:p>
      <w:pPr>
        <w:pStyle w:val="ListParagraph"/>
        <w:numPr>
          <w:ilvl w:val="0"/>
          <w:numId w:val="2"/>
        </w:numPr>
        <w:spacing w:after="40" w:before="40"/>
      </w:pPr>
      <w:r>
        <w:rPr>
          <w:rFonts w:ascii="Arial" w:cs="Arial" w:eastAsia="Arial" w:hAnsi="Arial"/>
          <w:sz w:val="22"/>
          <w:szCs w:val="22"/>
        </w:rPr>
        <w:t xml:space="preserve">Evidence they can present to regulators showing human oversight was possible</w:t>
      </w:r>
    </w:p>
    <w:p>
      <w:pPr>
        <w:pStyle w:val="ListParagraph"/>
        <w:numPr>
          <w:ilvl w:val="0"/>
          <w:numId w:val="2"/>
        </w:numPr>
        <w:spacing w:after="40" w:before="40"/>
      </w:pPr>
      <w:r>
        <w:rPr>
          <w:rFonts w:ascii="Arial" w:cs="Arial" w:eastAsia="Arial" w:hAnsi="Arial"/>
          <w:sz w:val="22"/>
          <w:szCs w:val="22"/>
        </w:rPr>
        <w:t xml:space="preserve">A structured risk register mapping their agent workflows to residual risk</w:t>
      </w:r>
    </w:p>
    <w:p>
      <w:pPr>
        <w:pStyle w:val="ListParagraph"/>
        <w:numPr>
          <w:ilvl w:val="0"/>
          <w:numId w:val="2"/>
        </w:numPr>
        <w:spacing w:after="40" w:before="40"/>
      </w:pPr>
      <w:r>
        <w:rPr>
          <w:rFonts w:ascii="Arial" w:cs="Arial" w:eastAsia="Arial" w:hAnsi="Arial"/>
          <w:sz w:val="22"/>
          <w:szCs w:val="22"/>
        </w:rPr>
        <w:t xml:space="preserve">Alerts and gates when agent behaviour approaches or exceeds acceptable risk</w:t>
      </w:r>
    </w:p>
    <w:p>
      <w:pPr>
        <w:pStyle w:val="ListParagraph"/>
        <w:numPr>
          <w:ilvl w:val="0"/>
          <w:numId w:val="2"/>
        </w:numPr>
        <w:spacing w:after="40" w:before="40"/>
      </w:pPr>
      <w:r>
        <w:rPr>
          <w:rFonts w:ascii="Arial" w:cs="Arial" w:eastAsia="Arial" w:hAnsi="Arial"/>
          <w:sz w:val="22"/>
          <w:szCs w:val="22"/>
        </w:rPr>
        <w:t xml:space="preserve">Exportable audit logs in formats legal and compliance teams can actually use</w:t>
      </w:r>
    </w:p>
    <w:p>
      <w:r>
        <w:br w:type="page"/>
      </w:r>
    </w:p>
    <w:p>
      <w:pPr>
        <w:pStyle w:val="Heading1"/>
        <w:spacing w:after="120" w:before="360"/>
      </w:pPr>
      <w:r>
        <w:rPr>
          <w:rFonts w:ascii="Arial" w:cs="Arial" w:eastAsia="Arial" w:hAnsi="Arial"/>
          <w:b/>
          <w:bCs/>
          <w:color w:val="1A1A2E"/>
          <w:sz w:val="36"/>
          <w:szCs w:val="36"/>
        </w:rPr>
        <w:t xml:space="preserve">3. Feature Overview</w:t>
      </w:r>
    </w:p>
    <w:p>
      <w:pPr>
        <w:spacing w:after="80" w:before="80"/>
      </w:pPr>
      <w:r>
        <w:rPr>
          <w:rFonts w:ascii="Arial" w:cs="Arial" w:eastAsia="Arial" w:hAnsi="Arial"/>
          <w:sz w:val="22"/>
          <w:szCs w:val="22"/>
        </w:rPr>
        <w:t xml:space="preserve">The Governance &amp; Compliance Layer consists of five interconnected subsystems: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Risk Scoring Engine</w:t>
            </w:r>
          </w:p>
        </w:tc>
        <w:tc>
          <w:tcPr>
            <w:tcW w:type="dxa" w:w="7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20"/>
                <w:szCs w:val="20"/>
              </w:rPr>
              <w:t xml:space="preserve">Evaluates every agent action against ISO 31000-aligned criteria; produces a numeric risk score and severity classification in real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the organisation's RISK-POLICY configuration and enforces PASS / WARN / GATE / BLOCK responses before any agent action executes.</w:t>
            </w:r>
          </w:p>
        </w:tc>
      </w:tr>
      <w:tr>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Audit Trail Store</w:t>
            </w:r>
          </w:p>
        </w:tc>
        <w:tc>
          <w:tcPr>
            <w:tcW w:type="dxa" w:w="7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20"/>
                <w:szCs w:val="20"/>
              </w:rPr>
              <w:t xml:space="preserve">Immutable, append-only record of every agent decision, delegation, tool call, and human intervention with full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Human-in-the-Loop Gateway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Surfaces approval requests to designated humans when policy gates trigger; supports approve / reject / escalate flows via the frontend.</w:t>
            </w:r>
          </w:p>
        </w:tc>
      </w:tr>
      <w:tr>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Compliance Reporter</w:t>
            </w:r>
          </w:p>
        </w:tc>
        <w:tc>
          <w:tcPr>
            <w:tcW w:type="dxa" w:w="7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20"/>
                <w:szCs w:val="20"/>
              </w:rPr>
              <w:t xml:space="preserve">Generates structured compliance artefacts: risk registers, decision logs, incident reports, and EU AI Act technical documentation summaries.</w:t>
            </w:r>
          </w:p>
        </w:tc>
      </w:tr>
    </w:tbl>
    <w:p>
      <w:r>
        <w:br w:type="page"/>
      </w:r>
    </w:p>
    <w:p>
      <w:pPr>
        <w:pStyle w:val="Heading1"/>
        <w:spacing w:after="120" w:before="360"/>
      </w:pPr>
      <w:r>
        <w:rPr>
          <w:rFonts w:ascii="Arial" w:cs="Arial" w:eastAsia="Arial" w:hAnsi="Arial"/>
          <w:b/>
          <w:bCs/>
          <w:color w:val="1A1A2E"/>
          <w:sz w:val="36"/>
          <w:szCs w:val="36"/>
        </w:rPr>
        <w:t xml:space="preserve">4. Risk Scoring Engine</w:t>
      </w:r>
    </w:p>
    <w:p>
      <w:pPr>
        <w:pStyle w:val="Heading2"/>
        <w:spacing w:after="80" w:before="280"/>
      </w:pPr>
      <w:r>
        <w:rPr>
          <w:rFonts w:ascii="Arial" w:cs="Arial" w:eastAsia="Arial" w:hAnsi="Arial"/>
          <w:b/>
          <w:bCs/>
          <w:color w:val="4F8EF7"/>
          <w:sz w:val="28"/>
          <w:szCs w:val="28"/>
        </w:rPr>
        <w:t xml:space="preserve">4.1  Scoring Model</w:t>
      </w:r>
    </w:p>
    <w:p>
      <w:pPr>
        <w:spacing w:after="80" w:before="80"/>
      </w:pPr>
      <w:r>
        <w:rPr>
          <w:rFonts w:ascii="Arial" w:cs="Arial" w:eastAsia="Arial" w:hAnsi="Arial"/>
          <w:sz w:val="22"/>
          <w:szCs w:val="22"/>
        </w:rPr>
        <w:t xml:space="preserve">Each agent action is scored before execution using two axes derived from ISO 31000:</w:t>
      </w:r>
    </w:p>
    <w:p>
      <w:pPr>
        <w:pStyle w:val="ListParagraph"/>
        <w:numPr>
          <w:ilvl w:val="0"/>
          <w:numId w:val="2"/>
        </w:numPr>
        <w:spacing w:after="40" w:before="40"/>
      </w:pPr>
      <w:r>
        <w:rPr>
          <w:rFonts w:ascii="Arial" w:cs="Arial" w:eastAsia="Arial" w:hAnsi="Arial"/>
          <w:sz w:val="22"/>
          <w:szCs w:val="22"/>
        </w:rPr>
        <w:t xml:space="preserve">Impact — the potential consequence if the action causes harm (financial loss, data breach, legal liability, reputational damage, harm to a person)</w:t>
      </w:r>
    </w:p>
    <w:p>
      <w:pPr>
        <w:pStyle w:val="ListParagraph"/>
        <w:numPr>
          <w:ilvl w:val="0"/>
          <w:numId w:val="2"/>
        </w:numPr>
        <w:spacing w:after="40" w:before="40"/>
      </w:pPr>
      <w:r>
        <w:rPr>
          <w:rFonts w:ascii="Arial" w:cs="Arial" w:eastAsia="Arial" w:hAnsi="Arial"/>
          <w:sz w:val="22"/>
          <w:szCs w:val="22"/>
        </w:rPr>
        <w:t xml:space="preserve">Likelihood — the probability that this specific action, in this context, produces the harmful consequence</w:t>
      </w:r>
    </w:p>
    <w:p>
      <w:pPr>
        <w:spacing w:after="80" w:before="120"/>
      </w:pPr>
    </w:p>
    <w:p>
      <w:pPr>
        <w:spacing w:after="80" w:before="80"/>
      </w:pPr>
      <w:r>
        <w:rPr>
          <w:rFonts w:ascii="Arial" w:cs="Arial" w:eastAsia="Arial" w:hAnsi="Arial"/>
          <w:sz w:val="22"/>
          <w:szCs w:val="22"/>
        </w:rPr>
        <w:t xml:space="preserve">The two scores are combined to produce a risk class: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Impact / Likelihood</w:t>
            </w:r>
          </w:p>
        </w:tc>
        <w:tc>
          <w:tcPr>
            <w:tcW w:type="dxa" w:w="19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Frequent</w:t>
            </w:r>
          </w:p>
        </w:tc>
        <w:tc>
          <w:tcPr>
            <w:tcW w:type="dxa" w:w="19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Probable</w:t>
            </w:r>
          </w:p>
        </w:tc>
        <w:tc>
          <w:tcPr>
            <w:tcW w:type="dxa" w:w="19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Occasional</w:t>
            </w:r>
          </w:p>
        </w:tc>
        <w:tc>
          <w:tcPr>
            <w:tcW w:type="dxa" w:w="19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Rare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195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w:t>
            </w:r>
          </w:p>
        </w:tc>
        <w:tc>
          <w:tcPr>
            <w:tcW w:type="dxa" w:w="195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195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c>
          <w:tcPr>
            <w:tcW w:type="dxa" w:w="1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c>
          <w:tcPr>
            <w:tcW w:type="dxa" w:w="1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c>
          <w:tcPr>
            <w:tcW w:type="dxa" w:w="1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c>
          <w:tcPr>
            <w:tcW w:type="dxa" w:w="1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Low</w:t>
            </w:r>
          </w:p>
        </w:tc>
        <w:tc>
          <w:tcPr>
            <w:tcW w:type="dxa" w:w="1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c>
          <w:tcPr>
            <w:tcW w:type="dxa" w:w="1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c>
          <w:tcPr>
            <w:tcW w:type="dxa" w:w="1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1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after="60" w:before="0"/>
            </w:pPr>
            <w:r>
              <w:rPr>
                <w:rFonts w:ascii="Arial" w:cs="Arial" w:eastAsia="Arial" w:hAnsi="Arial"/>
                <w:b/>
                <w:bCs/>
                <w:color w:val="C0392B"/>
                <w:sz w:val="22"/>
                <w:szCs w:val="22"/>
              </w:rPr>
              <w:t xml:space="preserve">BLOCK</w:t>
            </w:r>
          </w:p>
          <w:p>
            <w:pPr>
              <w:spacing w:after="0" w:before="0"/>
            </w:pPr>
            <w:r>
              <w:rPr>
                <w:rFonts w:ascii="Arial" w:cs="Arial" w:eastAsia="Arial" w:hAnsi="Arial"/>
                <w:sz w:val="22"/>
                <w:szCs w:val="22"/>
              </w:rPr>
              <w:t xml:space="preserve">Action is halted. Human review required before it can proceed. Logged as a blocked action.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60" w:before="0"/>
            </w:pPr>
            <w:r>
              <w:rPr>
                <w:rFonts w:ascii="Arial" w:cs="Arial" w:eastAsia="Arial" w:hAnsi="Arial"/>
                <w:b/>
                <w:bCs/>
                <w:color w:val="E67E22"/>
                <w:sz w:val="22"/>
                <w:szCs w:val="22"/>
              </w:rPr>
              <w:t xml:space="preserve">GATE</w:t>
            </w:r>
          </w:p>
          <w:p>
            <w:pPr>
              <w:spacing w:after="0" w:before="0"/>
            </w:pPr>
            <w:r>
              <w:rPr>
                <w:rFonts w:ascii="Arial" w:cs="Arial" w:eastAsia="Arial" w:hAnsi="Arial"/>
                <w:sz w:val="22"/>
                <w:szCs w:val="22"/>
              </w:rPr>
              <w:t xml:space="preserve">Action is paused and queued to a designated human approver. Proceeds only on approval.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160"/>
              <w:bottom w:type="dxa" w:w="120"/>
              <w:right w:type="dxa" w:w="160"/>
            </w:tcMar>
          </w:tcPr>
          <w:p>
            <w:pPr>
              <w:spacing w:after="60" w:before="0"/>
            </w:pPr>
            <w:r>
              <w:rPr>
                <w:rFonts w:ascii="Arial" w:cs="Arial" w:eastAsia="Arial" w:hAnsi="Arial"/>
                <w:b/>
                <w:bCs/>
                <w:color w:val="B7950B"/>
                <w:sz w:val="22"/>
                <w:szCs w:val="22"/>
              </w:rPr>
              <w:t xml:space="preserve">WARN</w:t>
            </w:r>
          </w:p>
          <w:p>
            <w:pPr>
              <w:spacing w:after="0" w:before="0"/>
            </w:pPr>
            <w:r>
              <w:rPr>
                <w:rFonts w:ascii="Arial" w:cs="Arial" w:eastAsia="Arial" w:hAnsi="Arial"/>
                <w:sz w:val="22"/>
                <w:szCs w:val="22"/>
              </w:rPr>
              <w:t xml:space="preserve">Action proceeds but is flagged in the audit trail and surfaced in the frontend risk feed.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F" w:val="clear"/>
            <w:tcMar>
              <w:top w:type="dxa" w:w="120"/>
              <w:left w:type="dxa" w:w="160"/>
              <w:bottom w:type="dxa" w:w="120"/>
              <w:right w:type="dxa" w:w="160"/>
            </w:tcMar>
          </w:tcPr>
          <w:p>
            <w:pPr>
              <w:spacing w:after="60" w:before="0"/>
            </w:pPr>
            <w:r>
              <w:rPr>
                <w:rFonts w:ascii="Arial" w:cs="Arial" w:eastAsia="Arial" w:hAnsi="Arial"/>
                <w:b/>
                <w:bCs/>
                <w:color w:val="27AE60"/>
                <w:sz w:val="22"/>
                <w:szCs w:val="22"/>
              </w:rPr>
              <w:t xml:space="preserve">PASS</w:t>
            </w:r>
          </w:p>
          <w:p>
            <w:pPr>
              <w:spacing w:after="0" w:before="0"/>
            </w:pPr>
            <w:r>
              <w:rPr>
                <w:rFonts w:ascii="Arial" w:cs="Arial" w:eastAsia="Arial" w:hAnsi="Arial"/>
                <w:sz w:val="22"/>
                <w:szCs w:val="22"/>
              </w:rPr>
              <w:t xml:space="preserve">Action proceeds normally. Logged at standard verbosity.</w:t>
            </w:r>
          </w:p>
        </w:tc>
      </w:tr>
    </w:tbl>
    <w:p>
      <w:pPr>
        <w:pStyle w:val="Heading2"/>
        <w:spacing w:after="80" w:before="280"/>
      </w:pPr>
      <w:r>
        <w:rPr>
          <w:rFonts w:ascii="Arial" w:cs="Arial" w:eastAsia="Arial" w:hAnsi="Arial"/>
          <w:b/>
          <w:bCs/>
          <w:color w:val="4F8EF7"/>
          <w:sz w:val="28"/>
          <w:szCs w:val="28"/>
        </w:rPr>
        <w:t xml:space="preserve">4.2  Risk Signals</w:t>
      </w:r>
    </w:p>
    <w:p>
      <w:pPr>
        <w:spacing w:after="80" w:before="80"/>
      </w:pPr>
      <w:r>
        <w:rPr>
          <w:rFonts w:ascii="Arial" w:cs="Arial" w:eastAsia="Arial" w:hAnsi="Arial"/>
          <w:sz w:val="22"/>
          <w:szCs w:val="22"/>
        </w:rPr>
        <w:t xml:space="preserve">The scoring engine evaluates a combination of signals per action:</w:t>
      </w:r>
    </w:p>
    <w:p>
      <w:pPr>
        <w:pStyle w:val="ListParagraph"/>
        <w:numPr>
          <w:ilvl w:val="0"/>
          <w:numId w:val="2"/>
        </w:numPr>
        <w:spacing w:after="40" w:before="40"/>
      </w:pPr>
      <w:r>
        <w:rPr>
          <w:rFonts w:ascii="Arial" w:cs="Arial" w:eastAsia="Arial" w:hAnsi="Arial"/>
          <w:sz w:val="22"/>
          <w:szCs w:val="22"/>
        </w:rPr>
        <w:t xml:space="preserve">Action type — e.g. sending an external communication scores higher than reading a file</w:t>
      </w:r>
    </w:p>
    <w:p>
      <w:pPr>
        <w:pStyle w:val="ListParagraph"/>
        <w:numPr>
          <w:ilvl w:val="0"/>
          <w:numId w:val="2"/>
        </w:numPr>
        <w:spacing w:after="40" w:before="40"/>
      </w:pPr>
      <w:r>
        <w:rPr>
          <w:rFonts w:ascii="Arial" w:cs="Arial" w:eastAsia="Arial" w:hAnsi="Arial"/>
          <w:sz w:val="22"/>
          <w:szCs w:val="22"/>
        </w:rPr>
        <w:t xml:space="preserve">Data sensitivity — actions touching PII, financial records, or health data score higher</w:t>
      </w:r>
    </w:p>
    <w:p>
      <w:pPr>
        <w:pStyle w:val="ListParagraph"/>
        <w:numPr>
          <w:ilvl w:val="0"/>
          <w:numId w:val="2"/>
        </w:numPr>
        <w:spacing w:after="40" w:before="40"/>
      </w:pPr>
      <w:r>
        <w:rPr>
          <w:rFonts w:ascii="Arial" w:cs="Arial" w:eastAsia="Arial" w:hAnsi="Arial"/>
          <w:sz w:val="22"/>
          <w:szCs w:val="22"/>
        </w:rPr>
        <w:t xml:space="preserve">Agent role — actions by agents with elevated permissions (CEO, CFO) score higher baseline</w:t>
      </w:r>
    </w:p>
    <w:p>
      <w:pPr>
        <w:pStyle w:val="ListParagraph"/>
        <w:numPr>
          <w:ilvl w:val="0"/>
          <w:numId w:val="2"/>
        </w:numPr>
        <w:spacing w:after="40" w:before="40"/>
      </w:pPr>
      <w:r>
        <w:rPr>
          <w:rFonts w:ascii="Arial" w:cs="Arial" w:eastAsia="Arial" w:hAnsi="Arial"/>
          <w:sz w:val="22"/>
          <w:szCs w:val="22"/>
        </w:rPr>
        <w:t xml:space="preserve">Task context — is this action part of an approved task plan, or an unsolicited branch?</w:t>
      </w:r>
    </w:p>
    <w:p>
      <w:pPr>
        <w:pStyle w:val="ListParagraph"/>
        <w:numPr>
          <w:ilvl w:val="0"/>
          <w:numId w:val="2"/>
        </w:numPr>
        <w:spacing w:after="40" w:before="40"/>
      </w:pPr>
      <w:r>
        <w:rPr>
          <w:rFonts w:ascii="Arial" w:cs="Arial" w:eastAsia="Arial" w:hAnsi="Arial"/>
          <w:sz w:val="22"/>
          <w:szCs w:val="22"/>
        </w:rPr>
        <w:t xml:space="preserve">Cumulative session risk — risk score accumulates across a session; later actions inherit prior risk</w:t>
      </w:r>
    </w:p>
    <w:p>
      <w:pPr>
        <w:pStyle w:val="ListParagraph"/>
        <w:numPr>
          <w:ilvl w:val="0"/>
          <w:numId w:val="2"/>
        </w:numPr>
        <w:spacing w:after="40" w:before="40"/>
      </w:pPr>
      <w:r>
        <w:rPr>
          <w:rFonts w:ascii="Arial" w:cs="Arial" w:eastAsia="Arial" w:hAnsi="Arial"/>
          <w:sz w:val="22"/>
          <w:szCs w:val="22"/>
        </w:rPr>
        <w:t xml:space="preserve">Velocity — an agent making many similar actions quickly (e.g. bulk sending) triggers elevated likelihood</w:t>
      </w:r>
    </w:p>
    <w:p>
      <w:pPr>
        <w:pStyle w:val="Heading2"/>
        <w:spacing w:after="80" w:before="280"/>
      </w:pPr>
      <w:r>
        <w:rPr>
          <w:rFonts w:ascii="Arial" w:cs="Arial" w:eastAsia="Arial" w:hAnsi="Arial"/>
          <w:b/>
          <w:bCs/>
          <w:color w:val="4F8EF7"/>
          <w:sz w:val="28"/>
          <w:szCs w:val="28"/>
        </w:rPr>
        <w:t xml:space="preserve">4.3  Policy Configuration</w:t>
      </w:r>
    </w:p>
    <w:p>
      <w:pPr>
        <w:spacing w:after="80" w:before="80"/>
      </w:pPr>
      <w:r>
        <w:rPr>
          <w:rFonts w:ascii="Arial" w:cs="Arial" w:eastAsia="Arial" w:hAnsi="Arial"/>
          <w:sz w:val="22"/>
          <w:szCs w:val="22"/>
        </w:rPr>
        <w:t xml:space="preserve">Each Takumi organisation defines its risk appetite in a RISK-POLICY file (JSON or YAML, editable via the frontend). Configurable fields include:</w:t>
      </w:r>
    </w:p>
    <w:p>
      <w:pPr>
        <w:pStyle w:val="ListParagraph"/>
        <w:numPr>
          <w:ilvl w:val="0"/>
          <w:numId w:val="2"/>
        </w:numPr>
        <w:spacing w:after="40" w:before="40"/>
      </w:pPr>
      <w:r>
        <w:rPr>
          <w:rFonts w:ascii="Arial" w:cs="Arial" w:eastAsia="Arial" w:hAnsi="Arial"/>
          <w:sz w:val="22"/>
          <w:szCs w:val="22"/>
        </w:rPr>
        <w:t xml:space="preserve">Risk thresholds per action class — what score maps to WARN / GATE / BLOCK</w:t>
      </w:r>
    </w:p>
    <w:p>
      <w:pPr>
        <w:pStyle w:val="ListParagraph"/>
        <w:numPr>
          <w:ilvl w:val="0"/>
          <w:numId w:val="2"/>
        </w:numPr>
        <w:spacing w:after="40" w:before="40"/>
      </w:pPr>
      <w:r>
        <w:rPr>
          <w:rFonts w:ascii="Arial" w:cs="Arial" w:eastAsia="Arial" w:hAnsi="Arial"/>
          <w:sz w:val="22"/>
          <w:szCs w:val="22"/>
        </w:rPr>
        <w:t xml:space="preserve">Per-role overrides — CEO agent actions may have a different threshold than a Data Entry agent</w:t>
      </w:r>
    </w:p>
    <w:p>
      <w:pPr>
        <w:pStyle w:val="ListParagraph"/>
        <w:numPr>
          <w:ilvl w:val="0"/>
          <w:numId w:val="2"/>
        </w:numPr>
        <w:spacing w:after="40" w:before="40"/>
      </w:pPr>
      <w:r>
        <w:rPr>
          <w:rFonts w:ascii="Arial" w:cs="Arial" w:eastAsia="Arial" w:hAnsi="Arial"/>
          <w:sz w:val="22"/>
          <w:szCs w:val="22"/>
        </w:rPr>
        <w:t xml:space="preserve">Sensitive data categories — define what counts as PII or confidential for this organisation</w:t>
      </w:r>
    </w:p>
    <w:p>
      <w:pPr>
        <w:pStyle w:val="ListParagraph"/>
        <w:numPr>
          <w:ilvl w:val="0"/>
          <w:numId w:val="2"/>
        </w:numPr>
        <w:spacing w:after="40" w:before="40"/>
      </w:pPr>
      <w:r>
        <w:rPr>
          <w:rFonts w:ascii="Arial" w:cs="Arial" w:eastAsia="Arial" w:hAnsi="Arial"/>
          <w:sz w:val="22"/>
          <w:szCs w:val="22"/>
        </w:rPr>
        <w:t xml:space="preserve">Approvers — map gate types to specific human users who receive approval requests</w:t>
      </w:r>
    </w:p>
    <w:p>
      <w:pPr>
        <w:pStyle w:val="ListParagraph"/>
        <w:numPr>
          <w:ilvl w:val="0"/>
          <w:numId w:val="2"/>
        </w:numPr>
        <w:spacing w:after="40" w:before="40"/>
      </w:pPr>
      <w:r>
        <w:rPr>
          <w:rFonts w:ascii="Arial" w:cs="Arial" w:eastAsia="Arial" w:hAnsi="Arial"/>
          <w:sz w:val="22"/>
          <w:szCs w:val="22"/>
        </w:rPr>
        <w:t xml:space="preserve">Retention policy — how long audit logs and risk reports are stored</w:t>
      </w:r>
    </w:p>
    <w:p>
      <w:r>
        <w:br w:type="page"/>
      </w:r>
    </w:p>
    <w:p>
      <w:pPr>
        <w:pStyle w:val="Heading1"/>
        <w:spacing w:after="120" w:before="360"/>
      </w:pPr>
      <w:r>
        <w:rPr>
          <w:rFonts w:ascii="Arial" w:cs="Arial" w:eastAsia="Arial" w:hAnsi="Arial"/>
          <w:b/>
          <w:bCs/>
          <w:color w:val="1A1A2E"/>
          <w:sz w:val="36"/>
          <w:szCs w:val="36"/>
        </w:rPr>
        <w:t xml:space="preserve">5. Audit Trail Store</w:t>
      </w:r>
    </w:p>
    <w:p>
      <w:pPr>
        <w:pStyle w:val="Heading2"/>
        <w:spacing w:after="80" w:before="280"/>
      </w:pPr>
      <w:r>
        <w:rPr>
          <w:rFonts w:ascii="Arial" w:cs="Arial" w:eastAsia="Arial" w:hAnsi="Arial"/>
          <w:b/>
          <w:bCs/>
          <w:color w:val="4F8EF7"/>
          <w:sz w:val="28"/>
          <w:szCs w:val="28"/>
        </w:rPr>
        <w:t xml:space="preserve">5.1  What Is Recorded</w:t>
      </w:r>
    </w:p>
    <w:p>
      <w:pPr>
        <w:spacing w:after="80" w:before="80"/>
      </w:pPr>
      <w:r>
        <w:rPr>
          <w:rFonts w:ascii="Arial" w:cs="Arial" w:eastAsia="Arial" w:hAnsi="Arial"/>
          <w:sz w:val="22"/>
          <w:szCs w:val="22"/>
        </w:rPr>
        <w:t xml:space="preserve">Every orchestration event produces an immutable audit record. The minimum record schema:</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globally unique, tamper-evident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8601 with millisecond precision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org_id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Takumi organisation identifier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agent_id + 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agent acted, and its role in the org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action_type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DELEGATE / TOOL_CALL / DECISION / COMMUNICATION / HUMAN_GATE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action_payload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serialised input to the 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risk_score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 at time of action, with breakdown by signal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policy_verdict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 WARN / GATE / BLOCK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Result of the action (or PENDING if gated)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human_actor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a human approved/rejected, their identity and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parent_event_id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 to the delegation or task that spawned this action</w:t>
            </w:r>
          </w:p>
        </w:tc>
      </w:tr>
    </w:tbl>
    <w:p>
      <w:pPr>
        <w:pStyle w:val="Heading2"/>
        <w:spacing w:after="80" w:before="280"/>
      </w:pPr>
      <w:r>
        <w:rPr>
          <w:rFonts w:ascii="Arial" w:cs="Arial" w:eastAsia="Arial" w:hAnsi="Arial"/>
          <w:b/>
          <w:bCs/>
          <w:color w:val="4F8EF7"/>
          <w:sz w:val="28"/>
          <w:szCs w:val="28"/>
        </w:rPr>
        <w:t xml:space="preserve">5.2  Immutability Guarantee</w:t>
      </w:r>
    </w:p>
    <w:p>
      <w:pPr>
        <w:spacing w:after="80" w:before="80"/>
      </w:pPr>
      <w:r>
        <w:rPr>
          <w:rFonts w:ascii="Arial" w:cs="Arial" w:eastAsia="Arial" w:hAnsi="Arial"/>
          <w:sz w:val="22"/>
          <w:szCs w:val="22"/>
        </w:rPr>
        <w:t xml:space="preserve">Audit records are append-only. No update or delete operations are permitted post-write. Records are hash-chained (each record includes the hash of the previous record) so any tampering is detectable. This satisfies the EU AI Act Article 12 logging requirements and is compatible with ISO 27001 audit trail controls.</w:t>
      </w:r>
    </w:p>
    <w:p>
      <w:pPr>
        <w:pStyle w:val="Heading2"/>
        <w:spacing w:after="80" w:before="280"/>
      </w:pPr>
      <w:r>
        <w:rPr>
          <w:rFonts w:ascii="Arial" w:cs="Arial" w:eastAsia="Arial" w:hAnsi="Arial"/>
          <w:b/>
          <w:bCs/>
          <w:color w:val="4F8EF7"/>
          <w:sz w:val="28"/>
          <w:szCs w:val="28"/>
        </w:rPr>
        <w:t xml:space="preserve">5.3  Storage &amp; Retention</w:t>
      </w:r>
    </w:p>
    <w:p>
      <w:pPr>
        <w:spacing w:after="80" w:before="80"/>
      </w:pPr>
      <w:r>
        <w:rPr>
          <w:rFonts w:ascii="Arial" w:cs="Arial" w:eastAsia="Arial" w:hAnsi="Arial"/>
          <w:sz w:val="22"/>
          <w:szCs w:val="22"/>
        </w:rPr>
        <w:t xml:space="preserve">Audit records are stored in a dedicated append-only data store, separate from the main application database. Enterprise customers can configure:</w:t>
      </w:r>
    </w:p>
    <w:p>
      <w:pPr>
        <w:pStyle w:val="ListParagraph"/>
        <w:numPr>
          <w:ilvl w:val="0"/>
          <w:numId w:val="2"/>
        </w:numPr>
        <w:spacing w:after="40" w:before="40"/>
      </w:pPr>
      <w:r>
        <w:rPr>
          <w:rFonts w:ascii="Arial" w:cs="Arial" w:eastAsia="Arial" w:hAnsi="Arial"/>
          <w:sz w:val="22"/>
          <w:szCs w:val="22"/>
        </w:rPr>
        <w:t xml:space="preserve">Retention window — minimum 2 years recommended for EU AI Act compliance</w:t>
      </w:r>
    </w:p>
    <w:p>
      <w:pPr>
        <w:pStyle w:val="ListParagraph"/>
        <w:numPr>
          <w:ilvl w:val="0"/>
          <w:numId w:val="2"/>
        </w:numPr>
        <w:spacing w:after="40" w:before="40"/>
      </w:pPr>
      <w:r>
        <w:rPr>
          <w:rFonts w:ascii="Arial" w:cs="Arial" w:eastAsia="Arial" w:hAnsi="Arial"/>
          <w:sz w:val="22"/>
          <w:szCs w:val="22"/>
        </w:rPr>
        <w:t xml:space="preserve">Export formats — NDJSON, CSV, or direct integration with SIEM systems (Splunk, Datadog)</w:t>
      </w:r>
    </w:p>
    <w:p>
      <w:pPr>
        <w:pStyle w:val="ListParagraph"/>
        <w:numPr>
          <w:ilvl w:val="0"/>
          <w:numId w:val="2"/>
        </w:numPr>
        <w:spacing w:after="40" w:before="40"/>
      </w:pPr>
      <w:r>
        <w:rPr>
          <w:rFonts w:ascii="Arial" w:cs="Arial" w:eastAsia="Arial" w:hAnsi="Arial"/>
          <w:sz w:val="22"/>
          <w:szCs w:val="22"/>
        </w:rPr>
        <w:t xml:space="preserve">Encryption at rest — AES-256; customer-managed keys available on Enterprise tier</w:t>
      </w:r>
    </w:p>
    <w:p>
      <w:r>
        <w:br w:type="page"/>
      </w:r>
    </w:p>
    <w:p>
      <w:pPr>
        <w:pStyle w:val="Heading1"/>
        <w:spacing w:after="120" w:before="360"/>
      </w:pPr>
      <w:r>
        <w:rPr>
          <w:rFonts w:ascii="Arial" w:cs="Arial" w:eastAsia="Arial" w:hAnsi="Arial"/>
          <w:b/>
          <w:bCs/>
          <w:color w:val="1A1A2E"/>
          <w:sz w:val="36"/>
          <w:szCs w:val="36"/>
        </w:rPr>
        <w:t xml:space="preserve">6. Human-in-the-Loop Gateway</w:t>
      </w:r>
    </w:p>
    <w:p>
      <w:pPr>
        <w:pStyle w:val="Heading2"/>
        <w:spacing w:after="80" w:before="280"/>
      </w:pPr>
      <w:r>
        <w:rPr>
          <w:rFonts w:ascii="Arial" w:cs="Arial" w:eastAsia="Arial" w:hAnsi="Arial"/>
          <w:b/>
          <w:bCs/>
          <w:color w:val="4F8EF7"/>
          <w:sz w:val="28"/>
          <w:szCs w:val="28"/>
        </w:rPr>
        <w:t xml:space="preserve">6.1  Gate Flow</w:t>
      </w:r>
    </w:p>
    <w:p>
      <w:pPr>
        <w:spacing w:after="80" w:before="80"/>
      </w:pPr>
      <w:r>
        <w:rPr>
          <w:rFonts w:ascii="Arial" w:cs="Arial" w:eastAsia="Arial" w:hAnsi="Arial"/>
          <w:sz w:val="22"/>
          <w:szCs w:val="22"/>
        </w:rPr>
        <w:t xml:space="preserve">When an agent action receives a GATE verdict, the following flow executes:</w:t>
      </w:r>
    </w:p>
    <w:p>
      <w:pPr>
        <w:pStyle w:val="ListParagraph"/>
        <w:numPr>
          <w:ilvl w:val="0"/>
          <w:numId w:val="3"/>
        </w:numPr>
        <w:spacing w:after="40" w:before="40"/>
      </w:pPr>
      <w:r>
        <w:rPr>
          <w:rFonts w:ascii="Arial" w:cs="Arial" w:eastAsia="Arial" w:hAnsi="Arial"/>
          <w:sz w:val="22"/>
          <w:szCs w:val="22"/>
        </w:rPr>
        <w:t xml:space="preserve">Action is paused; the agent enters a WAITING state and does not proceed.</w:t>
      </w:r>
    </w:p>
    <w:p>
      <w:pPr>
        <w:pStyle w:val="ListParagraph"/>
        <w:numPr>
          <w:ilvl w:val="0"/>
          <w:numId w:val="3"/>
        </w:numPr>
        <w:spacing w:after="40" w:before="40"/>
      </w:pPr>
      <w:r>
        <w:rPr>
          <w:rFonts w:ascii="Arial" w:cs="Arial" w:eastAsia="Arial" w:hAnsi="Arial"/>
          <w:sz w:val="22"/>
          <w:szCs w:val="22"/>
        </w:rPr>
        <w:t xml:space="preserve">An approval request is created and routed to the designated approver(s) defined in RISK-POLICY.</w:t>
      </w:r>
    </w:p>
    <w:p>
      <w:pPr>
        <w:pStyle w:val="ListParagraph"/>
        <w:numPr>
          <w:ilvl w:val="0"/>
          <w:numId w:val="3"/>
        </w:numPr>
        <w:spacing w:after="40" w:before="40"/>
      </w:pPr>
      <w:r>
        <w:rPr>
          <w:rFonts w:ascii="Arial" w:cs="Arial" w:eastAsia="Arial" w:hAnsi="Arial"/>
          <w:sz w:val="22"/>
          <w:szCs w:val="22"/>
        </w:rPr>
        <w:t xml:space="preserve">Approver is notified (in-app notification; optional email/Slack integration).</w:t>
      </w:r>
    </w:p>
    <w:p>
      <w:pPr>
        <w:pStyle w:val="ListParagraph"/>
        <w:numPr>
          <w:ilvl w:val="0"/>
          <w:numId w:val="3"/>
        </w:numPr>
        <w:spacing w:after="40" w:before="40"/>
      </w:pPr>
      <w:r>
        <w:rPr>
          <w:rFonts w:ascii="Arial" w:cs="Arial" w:eastAsia="Arial" w:hAnsi="Arial"/>
          <w:sz w:val="22"/>
          <w:szCs w:val="22"/>
        </w:rPr>
        <w:t xml:space="preserve">Approver reviews the action, context, risk score, and the agent's reasoning in the frontend.</w:t>
      </w:r>
    </w:p>
    <w:p>
      <w:pPr>
        <w:pStyle w:val="ListParagraph"/>
        <w:numPr>
          <w:ilvl w:val="0"/>
          <w:numId w:val="3"/>
        </w:numPr>
        <w:spacing w:after="40" w:before="40"/>
      </w:pPr>
      <w:r>
        <w:rPr>
          <w:rFonts w:ascii="Arial" w:cs="Arial" w:eastAsia="Arial" w:hAnsi="Arial"/>
          <w:sz w:val="22"/>
          <w:szCs w:val="22"/>
        </w:rPr>
        <w:t xml:space="preserve">Approver selects: Approve (agent resumes), Reject (action cancelled, agent receives rejection), or Escalate (routes to a higher-level approver).</w:t>
      </w:r>
    </w:p>
    <w:p>
      <w:pPr>
        <w:pStyle w:val="ListParagraph"/>
        <w:numPr>
          <w:ilvl w:val="0"/>
          <w:numId w:val="3"/>
        </w:numPr>
        <w:spacing w:after="40" w:before="40"/>
      </w:pPr>
      <w:r>
        <w:rPr>
          <w:rFonts w:ascii="Arial" w:cs="Arial" w:eastAsia="Arial" w:hAnsi="Arial"/>
          <w:sz w:val="22"/>
          <w:szCs w:val="22"/>
        </w:rPr>
        <w:t xml:space="preserve">Decision and rationale (optional free text) are written to the audit trail.</w:t>
      </w:r>
    </w:p>
    <w:p>
      <w:pPr>
        <w:pStyle w:val="Heading2"/>
        <w:spacing w:after="80" w:before="280"/>
      </w:pPr>
      <w:r>
        <w:rPr>
          <w:rFonts w:ascii="Arial" w:cs="Arial" w:eastAsia="Arial" w:hAnsi="Arial"/>
          <w:b/>
          <w:bCs/>
          <w:color w:val="4F8EF7"/>
          <w:sz w:val="28"/>
          <w:szCs w:val="28"/>
        </w:rPr>
        <w:t xml:space="preserve">6.2  Timeout Policy</w:t>
      </w:r>
    </w:p>
    <w:p>
      <w:pPr>
        <w:spacing w:after="80" w:before="80"/>
      </w:pPr>
      <w:r>
        <w:rPr>
          <w:rFonts w:ascii="Arial" w:cs="Arial" w:eastAsia="Arial" w:hAnsi="Arial"/>
          <w:sz w:val="22"/>
          <w:szCs w:val="22"/>
        </w:rPr>
        <w:t xml:space="preserve">If no approval decision is received within the configured timeout window, the action is automatically rejected and logged. This prevents agents from being permanently blocked but ensures a safe default. Timeout duration is configurable per gate type in RISK-POLICY.</w:t>
      </w:r>
    </w:p>
    <w:p>
      <w:pPr>
        <w:pStyle w:val="Heading2"/>
        <w:spacing w:after="80" w:before="280"/>
      </w:pPr>
      <w:r>
        <w:rPr>
          <w:rFonts w:ascii="Arial" w:cs="Arial" w:eastAsia="Arial" w:hAnsi="Arial"/>
          <w:b/>
          <w:bCs/>
          <w:color w:val="4F8EF7"/>
          <w:sz w:val="28"/>
          <w:szCs w:val="28"/>
        </w:rPr>
        <w:t xml:space="preserve">6.3  Frontend Integration</w:t>
      </w:r>
    </w:p>
    <w:p>
      <w:pPr>
        <w:spacing w:after="80" w:before="80"/>
      </w:pPr>
      <w:r>
        <w:rPr>
          <w:rFonts w:ascii="Arial" w:cs="Arial" w:eastAsia="Arial" w:hAnsi="Arial"/>
          <w:sz w:val="22"/>
          <w:szCs w:val="22"/>
        </w:rPr>
        <w:t xml:space="preserve">The Takumi frontend (the animated agent org view) surfaces human-in-the-loop gates as a first-class UI state. Agents waiting for approval are shown in a distinct WAITING visual state. The approval queue is accessible from the org dashboard. Approvers can see the full decision context — the agent's plan, the specific action, the risk breakdown, and similar past actions — before deciding.</w:t>
      </w:r>
    </w:p>
    <w:p>
      <w:r>
        <w:br w:type="page"/>
      </w:r>
    </w:p>
    <w:p>
      <w:pPr>
        <w:pStyle w:val="Heading1"/>
        <w:spacing w:after="120" w:before="360"/>
      </w:pPr>
      <w:r>
        <w:rPr>
          <w:rFonts w:ascii="Arial" w:cs="Arial" w:eastAsia="Arial" w:hAnsi="Arial"/>
          <w:b/>
          <w:bCs/>
          <w:color w:val="1A1A2E"/>
          <w:sz w:val="36"/>
          <w:szCs w:val="36"/>
        </w:rPr>
        <w:t xml:space="preserve">7. EU AI Act Compliance Mapping</w:t>
      </w:r>
    </w:p>
    <w:p>
      <w:pPr>
        <w:spacing w:after="80" w:before="80"/>
      </w:pPr>
      <w:r>
        <w:rPr>
          <w:rFonts w:ascii="Arial" w:cs="Arial" w:eastAsia="Arial" w:hAnsi="Arial"/>
          <w:sz w:val="22"/>
          <w:szCs w:val="22"/>
        </w:rPr>
        <w:t xml:space="preserve">The following table maps Takumi's governance features to specific EU AI Act obligations for high-risk AI systems (Annex III use cases):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EU AI Act Obligation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Takumi Feature</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Risk management system throughout lifecycle</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Art. 9</w:t>
            </w:r>
          </w:p>
        </w:tc>
        <w:tc>
          <w:tcPr>
            <w:tcW w:type="dxa" w:w="29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Risk Scoring Engine + RISK-POLICY per org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 documentation including intended purpose and risk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Art. 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Reporter — generates technical documentation summaries</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Record-keeping: automatic logging of events during system operation</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Art. 12</w:t>
            </w:r>
          </w:p>
        </w:tc>
        <w:tc>
          <w:tcPr>
            <w:tcW w:type="dxa" w:w="29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Audit Trail Store — immutable, hash-chained, tamper-evident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Transparency to deployers: capabilities, limitations, residual risks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Art. 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Reporter — residual risk register per org</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Human oversight: ability to monitor, understand, and intervene</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Art. 14</w:t>
            </w:r>
          </w:p>
        </w:tc>
        <w:tc>
          <w:tcPr>
            <w:tcW w:type="dxa" w:w="29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sz w:val="19"/>
                <w:szCs w:val="19"/>
              </w:rPr>
              <w:t xml:space="preserve">Human-in-the-Loop Gateway — GATE/BLOCK flow with approval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Accuracy, robustness: performance metrics and error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Art. 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scoring includes action failure modes; BLOCK on critical uncertainty</w:t>
            </w:r>
          </w:p>
        </w:tc>
      </w:tr>
    </w:tbl>
    <w:p>
      <w:r>
        <w:br w:type="page"/>
      </w:r>
    </w:p>
    <w:p>
      <w:pPr>
        <w:pStyle w:val="Heading1"/>
        <w:spacing w:after="120" w:before="360"/>
      </w:pPr>
      <w:r>
        <w:rPr>
          <w:rFonts w:ascii="Arial" w:cs="Arial" w:eastAsia="Arial" w:hAnsi="Arial"/>
          <w:b/>
          <w:bCs/>
          <w:color w:val="1A1A2E"/>
          <w:sz w:val="36"/>
          <w:szCs w:val="36"/>
        </w:rPr>
        <w:t xml:space="preserve">8. Compliance Reporter</w:t>
      </w:r>
    </w:p>
    <w:p>
      <w:pPr>
        <w:spacing w:after="80" w:before="80"/>
      </w:pPr>
      <w:r>
        <w:rPr>
          <w:rFonts w:ascii="Arial" w:cs="Arial" w:eastAsia="Arial" w:hAnsi="Arial"/>
          <w:sz w:val="22"/>
          <w:szCs w:val="22"/>
        </w:rPr>
        <w:t xml:space="preserve">The Compliance Reporter generates structured artefacts on demand or on a scheduled basis. Target audience: legal, compliance, and risk officers at enterprise customer organisations.</w:t>
      </w:r>
    </w:p>
    <w:p>
      <w:pPr>
        <w:pStyle w:val="Heading2"/>
        <w:spacing w:after="80" w:before="280"/>
      </w:pPr>
      <w:r>
        <w:rPr>
          <w:rFonts w:ascii="Arial" w:cs="Arial" w:eastAsia="Arial" w:hAnsi="Arial"/>
          <w:b/>
          <w:bCs/>
          <w:color w:val="4F8EF7"/>
          <w:sz w:val="28"/>
          <w:szCs w:val="28"/>
        </w:rPr>
        <w:t xml:space="preserve">8.1  Report Types</w:t>
      </w:r>
    </w:p>
    <w:p>
      <w:pPr>
        <w:pStyle w:val="ListParagraph"/>
        <w:numPr>
          <w:ilvl w:val="0"/>
          <w:numId w:val="2"/>
        </w:numPr>
        <w:spacing w:after="40" w:before="40"/>
      </w:pPr>
      <w:r>
        <w:rPr>
          <w:rFonts w:ascii="Arial" w:cs="Arial" w:eastAsia="Arial" w:hAnsi="Arial"/>
          <w:b/>
          <w:bCs/>
          <w:sz w:val="22"/>
          <w:szCs w:val="22"/>
        </w:rPr>
        <w:t xml:space="preserve">Risk Register — a living document listing all identified risks per agent role, their current score, mitigations, and residual risk. Updated continuously as the org runs. </w:t>
      </w:r>
      <w:r>
        <w:rPr>
          <w:rFonts w:ascii="Arial" w:cs="Arial" w:eastAsia="Arial" w:hAnsi="Arial"/>
          <w:sz w:val="22"/>
          <w:szCs w:val="22"/>
        </w:rPr>
        <w:t xml:space="preserve">Risk Register</w:t>
      </w:r>
    </w:p>
    <w:p>
      <w:pPr>
        <w:pStyle w:val="ListParagraph"/>
        <w:numPr>
          <w:ilvl w:val="0"/>
          <w:numId w:val="2"/>
        </w:numPr>
        <w:spacing w:after="40" w:before="40"/>
      </w:pPr>
      <w:r>
        <w:rPr>
          <w:rFonts w:ascii="Arial" w:cs="Arial" w:eastAsia="Arial" w:hAnsi="Arial"/>
          <w:b/>
          <w:bCs/>
          <w:sz w:val="22"/>
          <w:szCs w:val="22"/>
        </w:rPr>
        <w:t xml:space="preserve">Decision Log — all agent decisions within a time window, with risk scores, human interventions, and outcomes. Exportable as PDF or CSV. </w:t>
      </w:r>
      <w:r>
        <w:rPr>
          <w:rFonts w:ascii="Arial" w:cs="Arial" w:eastAsia="Arial" w:hAnsi="Arial"/>
          <w:sz w:val="22"/>
          <w:szCs w:val="22"/>
        </w:rPr>
        <w:t xml:space="preserve">Decision Log</w:t>
      </w:r>
    </w:p>
    <w:p>
      <w:pPr>
        <w:pStyle w:val="ListParagraph"/>
        <w:numPr>
          <w:ilvl w:val="0"/>
          <w:numId w:val="2"/>
        </w:numPr>
        <w:spacing w:after="40" w:before="40"/>
      </w:pPr>
      <w:r>
        <w:rPr>
          <w:rFonts w:ascii="Arial" w:cs="Arial" w:eastAsia="Arial" w:hAnsi="Arial"/>
          <w:b/>
          <w:bCs/>
          <w:sz w:val="22"/>
          <w:szCs w:val="22"/>
        </w:rPr>
        <w:t xml:space="preserve">Incident Report — auto-generated when a BLOCK event occurs. Includes full context, chain of events, agent reasoning, and resolution actions. </w:t>
      </w:r>
      <w:r>
        <w:rPr>
          <w:rFonts w:ascii="Arial" w:cs="Arial" w:eastAsia="Arial" w:hAnsi="Arial"/>
          <w:sz w:val="22"/>
          <w:szCs w:val="22"/>
        </w:rPr>
        <w:t xml:space="preserve">Incident Report</w:t>
      </w:r>
    </w:p>
    <w:p>
      <w:pPr>
        <w:pStyle w:val="ListParagraph"/>
        <w:numPr>
          <w:ilvl w:val="0"/>
          <w:numId w:val="2"/>
        </w:numPr>
        <w:spacing w:after="40" w:before="40"/>
      </w:pPr>
      <w:r>
        <w:rPr>
          <w:rFonts w:ascii="Arial" w:cs="Arial" w:eastAsia="Arial" w:hAnsi="Arial"/>
          <w:b/>
          <w:bCs/>
          <w:sz w:val="22"/>
          <w:szCs w:val="22"/>
        </w:rPr>
        <w:t xml:space="preserve">Technical Documentation Summary — a structured document meeting EU AI Act Art. 11 requirements. Maps the org's agent roles, capabilities, training/model information (where available), intended use, and known limitations. </w:t>
      </w:r>
      <w:r>
        <w:rPr>
          <w:rFonts w:ascii="Arial" w:cs="Arial" w:eastAsia="Arial" w:hAnsi="Arial"/>
          <w:sz w:val="22"/>
          <w:szCs w:val="22"/>
        </w:rPr>
        <w:t xml:space="preserve">Technical Documentation Summary</w:t>
      </w:r>
    </w:p>
    <w:p>
      <w:pPr>
        <w:pStyle w:val="ListParagraph"/>
        <w:numPr>
          <w:ilvl w:val="0"/>
          <w:numId w:val="2"/>
        </w:numPr>
        <w:spacing w:after="40" w:before="40"/>
      </w:pPr>
      <w:r>
        <w:rPr>
          <w:rFonts w:ascii="Arial" w:cs="Arial" w:eastAsia="Arial" w:hAnsi="Arial"/>
          <w:b/>
          <w:bCs/>
          <w:sz w:val="22"/>
          <w:szCs w:val="22"/>
        </w:rPr>
        <w:t xml:space="preserve">Human Oversight Report — summary of all GATE events, approval times, approver identities, and decisions. Demonstrates the human oversight capability required by Art. 14. </w:t>
      </w:r>
      <w:r>
        <w:rPr>
          <w:rFonts w:ascii="Arial" w:cs="Arial" w:eastAsia="Arial" w:hAnsi="Arial"/>
          <w:sz w:val="22"/>
          <w:szCs w:val="22"/>
        </w:rPr>
        <w:t xml:space="preserve">Human Oversight Report</w:t>
      </w:r>
    </w:p>
    <w:p>
      <w:pPr>
        <w:pStyle w:val="Heading2"/>
        <w:spacing w:after="80" w:before="280"/>
      </w:pPr>
      <w:r>
        <w:rPr>
          <w:rFonts w:ascii="Arial" w:cs="Arial" w:eastAsia="Arial" w:hAnsi="Arial"/>
          <w:b/>
          <w:bCs/>
          <w:color w:val="4F8EF7"/>
          <w:sz w:val="28"/>
          <w:szCs w:val="28"/>
        </w:rPr>
        <w:t xml:space="preserve">8.2  Access &amp; Permissions</w:t>
      </w:r>
    </w:p>
    <w:p>
      <w:pPr>
        <w:spacing w:after="80" w:before="80"/>
      </w:pPr>
      <w:r>
        <w:rPr>
          <w:rFonts w:ascii="Arial" w:cs="Arial" w:eastAsia="Arial" w:hAnsi="Arial"/>
          <w:sz w:val="22"/>
          <w:szCs w:val="22"/>
        </w:rPr>
        <w:t xml:space="preserve">Compliance reports are accessible to users with the Compliance Officer or Org Admin role. Individual agents cannot access compliance artefacts. All report generation events are themselves logged in the audit trail.</w:t>
      </w:r>
    </w:p>
    <w:p>
      <w:r>
        <w:br w:type="page"/>
      </w:r>
    </w:p>
    <w:p>
      <w:pPr>
        <w:pStyle w:val="Heading1"/>
        <w:spacing w:after="120" w:before="360"/>
      </w:pPr>
      <w:r>
        <w:rPr>
          <w:rFonts w:ascii="Arial" w:cs="Arial" w:eastAsia="Arial" w:hAnsi="Arial"/>
          <w:b/>
          <w:bCs/>
          <w:color w:val="1A1A2E"/>
          <w:sz w:val="36"/>
          <w:szCs w:val="36"/>
        </w:rPr>
        <w:t xml:space="preserve">9. Frontend Considerations</w:t>
      </w:r>
    </w:p>
    <w:p>
      <w:pPr>
        <w:spacing w:after="80" w:before="80"/>
      </w:pPr>
      <w:r>
        <w:rPr>
          <w:rFonts w:ascii="Arial" w:cs="Arial" w:eastAsia="Arial" w:hAnsi="Arial"/>
          <w:sz w:val="22"/>
          <w:szCs w:val="22"/>
        </w:rPr>
        <w:t xml:space="preserve">The governance layer should be a visible, legible presence in the Takumi UI — not hidden infrastructure. Key UI requirements:</w:t>
      </w:r>
    </w:p>
    <w:p>
      <w:pPr>
        <w:pStyle w:val="Heading2"/>
        <w:spacing w:after="80" w:before="280"/>
      </w:pPr>
      <w:r>
        <w:rPr>
          <w:rFonts w:ascii="Arial" w:cs="Arial" w:eastAsia="Arial" w:hAnsi="Arial"/>
          <w:b/>
          <w:bCs/>
          <w:color w:val="4F8EF7"/>
          <w:sz w:val="28"/>
          <w:szCs w:val="28"/>
        </w:rPr>
        <w:t xml:space="preserve">9.1  Agent Risk State Indicators</w:t>
      </w:r>
    </w:p>
    <w:p>
      <w:pPr>
        <w:spacing w:after="80" w:before="80"/>
      </w:pPr>
      <w:r>
        <w:rPr>
          <w:rFonts w:ascii="Arial" w:cs="Arial" w:eastAsia="Arial" w:hAnsi="Arial"/>
          <w:sz w:val="22"/>
          <w:szCs w:val="22"/>
        </w:rPr>
        <w:t xml:space="preserve">Each agent card in the animated org view displays a real-time risk state indicator: a small coloured badge (green / amber / red) that reflects the agent's current or most recent action's risk class. This makes the governance layer viscerally present without overwhelming the primary experience.</w:t>
      </w:r>
    </w:p>
    <w:p>
      <w:pPr>
        <w:pStyle w:val="Heading2"/>
        <w:spacing w:after="80" w:before="280"/>
      </w:pPr>
      <w:r>
        <w:rPr>
          <w:rFonts w:ascii="Arial" w:cs="Arial" w:eastAsia="Arial" w:hAnsi="Arial"/>
          <w:b/>
          <w:bCs/>
          <w:color w:val="4F8EF7"/>
          <w:sz w:val="28"/>
          <w:szCs w:val="28"/>
        </w:rPr>
        <w:t xml:space="preserve">9.2  Approval Queue</w:t>
      </w:r>
    </w:p>
    <w:p>
      <w:pPr>
        <w:spacing w:after="80" w:before="80"/>
      </w:pPr>
      <w:r>
        <w:rPr>
          <w:rFonts w:ascii="Arial" w:cs="Arial" w:eastAsia="Arial" w:hAnsi="Arial"/>
          <w:sz w:val="22"/>
          <w:szCs w:val="22"/>
        </w:rPr>
        <w:t xml:space="preserve">A dedicated panel (accessible from the org dashboard) lists all pending GATE requests. Each entry shows the agent, the action, the risk score breakdown, and the approval deadline. Approvers can act directly from this panel.</w:t>
      </w:r>
    </w:p>
    <w:p>
      <w:pPr>
        <w:pStyle w:val="Heading2"/>
        <w:spacing w:after="80" w:before="280"/>
      </w:pPr>
      <w:r>
        <w:rPr>
          <w:rFonts w:ascii="Arial" w:cs="Arial" w:eastAsia="Arial" w:hAnsi="Arial"/>
          <w:b/>
          <w:bCs/>
          <w:color w:val="4F8EF7"/>
          <w:sz w:val="28"/>
          <w:szCs w:val="28"/>
        </w:rPr>
        <w:t xml:space="preserve">9.3  Risk Feed</w:t>
      </w:r>
    </w:p>
    <w:p>
      <w:pPr>
        <w:spacing w:after="80" w:before="80"/>
      </w:pPr>
      <w:r>
        <w:rPr>
          <w:rFonts w:ascii="Arial" w:cs="Arial" w:eastAsia="Arial" w:hAnsi="Arial"/>
          <w:sz w:val="22"/>
          <w:szCs w:val="22"/>
        </w:rPr>
        <w:t xml:space="preserve">A real-time feed of WARN, GATE, and BLOCK events for the organisation, ordered by recency. Allows org admins to monitor the risk profile of a running agent team at a glance.</w:t>
      </w:r>
    </w:p>
    <w:p>
      <w:pPr>
        <w:pStyle w:val="Heading2"/>
        <w:spacing w:after="80" w:before="280"/>
      </w:pPr>
      <w:r>
        <w:rPr>
          <w:rFonts w:ascii="Arial" w:cs="Arial" w:eastAsia="Arial" w:hAnsi="Arial"/>
          <w:b/>
          <w:bCs/>
          <w:color w:val="4F8EF7"/>
          <w:sz w:val="28"/>
          <w:szCs w:val="28"/>
        </w:rPr>
        <w:t xml:space="preserve">9.4  RISK-POLICY Editor</w:t>
      </w:r>
    </w:p>
    <w:p>
      <w:pPr>
        <w:spacing w:after="80" w:before="80"/>
      </w:pPr>
      <w:r>
        <w:rPr>
          <w:rFonts w:ascii="Arial" w:cs="Arial" w:eastAsia="Arial" w:hAnsi="Arial"/>
          <w:sz w:val="22"/>
          <w:szCs w:val="22"/>
        </w:rPr>
        <w:t xml:space="preserve">A form-based editor for the organisation's RISK-POLICY configuration. Shows the current thresholds visually (e.g. the risk matrix with the current GATE/BLOCK thresholds overlaid). Changes are versioned and logged.</w:t>
      </w:r>
    </w:p>
    <w:p>
      <w:r>
        <w:br w:type="page"/>
      </w:r>
    </w:p>
    <w:p>
      <w:pPr>
        <w:pStyle w:val="Heading1"/>
        <w:spacing w:after="120" w:before="360"/>
      </w:pPr>
      <w:r>
        <w:rPr>
          <w:rFonts w:ascii="Arial" w:cs="Arial" w:eastAsia="Arial" w:hAnsi="Arial"/>
          <w:b/>
          <w:bCs/>
          <w:color w:val="1A1A2E"/>
          <w:sz w:val="36"/>
          <w:szCs w:val="36"/>
        </w:rPr>
        <w:t xml:space="preserve">10. Open Questions &amp; Decisions Required</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does risk scoring execute?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In-process (low latency, harder to isolate) vs. sidecar service (adds ~50ms, cleanly separable). Recommend sidecar for auditability.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LLM-assisted vs. rules-based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Rules-based is deterministic and auditable. LLM-assisted is more nuanced but introduces non-determinism into a compliance-critical path. Recommend rules-based as primary with LLM as an optional enrichment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RISK-POLICY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YAML (human-friendly) vs. JSON (machine-friendly) vs. a UI-only config (no raw file). Recommend YAML with UI editor that reads/writes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store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Embedded SQLite (simple, no ops) vs. Postgres append-only table vs. dedicated audit log service (e.g. Immudb). Depends on deployment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On-premise vs. cloud-only?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customers in regulated industries may require on-premise deployment. This affects the audit store and compliance reporter architecture significantly.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Who certifies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Takumi can provide the tooling but cannot certify EU AI Act compliance on behalf of customers. Legal must define the liability boundary and what Takumi represents in marketing.</w:t>
            </w:r>
          </w:p>
        </w:tc>
      </w:tr>
    </w:tbl>
    <w:p>
      <w:r>
        <w:br w:type="page"/>
      </w:r>
    </w:p>
    <w:p>
      <w:pPr>
        <w:pStyle w:val="Heading1"/>
        <w:spacing w:after="120" w:before="360"/>
      </w:pPr>
      <w:r>
        <w:rPr>
          <w:rFonts w:ascii="Arial" w:cs="Arial" w:eastAsia="Arial" w:hAnsi="Arial"/>
          <w:b/>
          <w:bCs/>
          <w:color w:val="1A1A2E"/>
          <w:sz w:val="36"/>
          <w:szCs w:val="36"/>
        </w:rPr>
        <w:t xml:space="preserve">11. Out of Scope (This Spec)</w:t>
      </w:r>
    </w:p>
    <w:p>
      <w:pPr>
        <w:pStyle w:val="ListParagraph"/>
        <w:numPr>
          <w:ilvl w:val="0"/>
          <w:numId w:val="2"/>
        </w:numPr>
        <w:spacing w:after="40" w:before="40"/>
      </w:pPr>
      <w:r>
        <w:rPr>
          <w:rFonts w:ascii="Arial" w:cs="Arial" w:eastAsia="Arial" w:hAnsi="Arial"/>
          <w:sz w:val="22"/>
          <w:szCs w:val="22"/>
        </w:rPr>
        <w:t xml:space="preserve">Model card generation for underlying LLM providers — depends on provider APIs and is a separate feature</w:t>
      </w:r>
    </w:p>
    <w:p>
      <w:pPr>
        <w:pStyle w:val="ListParagraph"/>
        <w:numPr>
          <w:ilvl w:val="0"/>
          <w:numId w:val="2"/>
        </w:numPr>
        <w:spacing w:after="40" w:before="40"/>
      </w:pPr>
      <w:r>
        <w:rPr>
          <w:rFonts w:ascii="Arial" w:cs="Arial" w:eastAsia="Arial" w:hAnsi="Arial"/>
          <w:sz w:val="22"/>
          <w:szCs w:val="22"/>
        </w:rPr>
        <w:t xml:space="preserve">GDPR / right-to-erasure flows — audit log retention vs. erasure is a separate legal workstream</w:t>
      </w:r>
    </w:p>
    <w:p>
      <w:pPr>
        <w:pStyle w:val="ListParagraph"/>
        <w:numPr>
          <w:ilvl w:val="0"/>
          <w:numId w:val="2"/>
        </w:numPr>
        <w:spacing w:after="40" w:before="40"/>
      </w:pPr>
      <w:r>
        <w:rPr>
          <w:rFonts w:ascii="Arial" w:cs="Arial" w:eastAsia="Arial" w:hAnsi="Arial"/>
          <w:sz w:val="22"/>
          <w:szCs w:val="22"/>
        </w:rPr>
        <w:t xml:space="preserve">Automated red-teaming or adversarial testing of agent orgs</w:t>
      </w:r>
    </w:p>
    <w:p>
      <w:pPr>
        <w:pStyle w:val="ListParagraph"/>
        <w:numPr>
          <w:ilvl w:val="0"/>
          <w:numId w:val="2"/>
        </w:numPr>
        <w:spacing w:after="40" w:before="40"/>
      </w:pPr>
      <w:r>
        <w:rPr>
          <w:rFonts w:ascii="Arial" w:cs="Arial" w:eastAsia="Arial" w:hAnsi="Arial"/>
          <w:sz w:val="22"/>
          <w:szCs w:val="22"/>
        </w:rPr>
        <w:t xml:space="preserve">Multi-jurisdiction compliance (UK AI Act, US Executive Order, China AI regulations) — EU AI Act is the primary target</w:t>
      </w:r>
    </w:p>
    <w:p>
      <w:pPr>
        <w:pStyle w:val="ListParagraph"/>
        <w:numPr>
          <w:ilvl w:val="0"/>
          <w:numId w:val="2"/>
        </w:numPr>
        <w:spacing w:after="40" w:before="40"/>
      </w:pPr>
      <w:r>
        <w:rPr>
          <w:rFonts w:ascii="Arial" w:cs="Arial" w:eastAsia="Arial" w:hAnsi="Arial"/>
          <w:sz w:val="22"/>
          <w:szCs w:val="22"/>
        </w:rPr>
        <w:t xml:space="preserve">Implementation of the feature — this spec describes what, not how</w:t>
      </w:r>
    </w:p>
    <w:p>
      <w:pPr>
        <w:pBdr>
          <w:bottom w:val="single" w:color="4F8EF7" w:sz="4" w:space="1"/>
        </w:pBdr>
        <w:spacing w:after="160" w:before="160"/>
      </w:pPr>
    </w:p>
    <w:p>
      <w:pPr>
        <w:spacing w:after="40" w:before="40"/>
      </w:pPr>
      <w:r>
        <w:rPr>
          <w:rFonts w:ascii="Arial" w:cs="Arial" w:eastAsia="Arial" w:hAnsi="Arial"/>
          <w:i/>
          <w:iCs/>
          <w:color w:val="999999"/>
          <w:sz w:val="18"/>
          <w:szCs w:val="18"/>
        </w:rPr>
        <w:t xml:space="preserve">Reference: @windyroad/risk-scorer — ISO 31000-aligned risk scoring plugin for Claude Code pipelines. Conceptual inspiration for the scoring model and policy gate mechanics.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EF7" w:sz="4" w:space="1"/>
      </w:pBdr>
    </w:pPr>
    <w:r>
      <w:rPr>
        <w:rFonts w:ascii="Arial" w:cs="Arial" w:eastAsia="Arial" w:hAnsi="Arial"/>
        <w:color w:val="999999"/>
        <w:sz w:val="18"/>
        <w:szCs w:val="18"/>
      </w:rPr>
      <w:t xml:space="preserve">Confidential — Internal Use Only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1"/>
      </w:pBdr>
    </w:pPr>
    <w:r>
      <w:rPr>
        <w:rFonts w:ascii="Arial" w:cs="Arial" w:eastAsia="Arial" w:hAnsi="Arial"/>
        <w:b/>
        <w:bCs/>
        <w:color w:val="1A1A2E"/>
        <w:sz w:val="20"/>
        <w:szCs w:val="20"/>
      </w:rPr>
      <w:t xml:space="preserve">TAKUMI </w:t>
    </w:r>
    <w:r>
      <w:rPr>
        <w:rFonts w:ascii="Arial" w:cs="Arial" w:eastAsia="Arial" w:hAnsi="Arial"/>
        <w:color w:val="666666"/>
        <w:sz w:val="20"/>
        <w:szCs w:val="20"/>
      </w:rPr>
      <w:t xml:space="preserve">| Governance &amp; Compliance Layer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4F8EF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2026-06-03T02:53:19.408Z</dcterms:created>
  <dcterms:modified xsi:type="dcterms:W3CDTF">2026-06-03T02:53:19.408Z</dcterms:modified>
</cp:coreProperties>
</file>

<file path=docProps/custom.xml><?xml version="1.0" encoding="utf-8"?>
<Properties xmlns="http://schemas.openxmlformats.org/officeDocument/2006/custom-properties" xmlns:vt="http://schemas.openxmlformats.org/officeDocument/2006/docPropsVTypes"/>
</file>