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2024-12-12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50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B59A5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97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Region merge@Merge Join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Inner join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139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