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27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640bdd40eadbf6b87e7c020b6f736c03509b21b"/>
    <w:p>
      <w:pPr>
        <w:pStyle w:val="Heading1"/>
      </w:pPr>
      <w:r>
        <w:t xml:space="preserve">AI-Powered Behavioral Anomaly Detection for Cybersecurity</w:t>
      </w:r>
    </w:p>
    <w:bookmarkStart w:id="20" w:name="technical-report"/>
    <w:p>
      <w:pPr>
        <w:pStyle w:val="Heading2"/>
      </w:pPr>
      <w:r>
        <w:t xml:space="preserve">Technical Report</w:t>
      </w:r>
    </w:p>
    <w:p>
      <w:pPr>
        <w:pStyle w:val="FirstParagraph"/>
      </w:pPr>
      <w:r>
        <w:rPr>
          <w:bCs/>
          <w:b/>
        </w:rPr>
        <w:t xml:space="preserve">Dataset:</w:t>
      </w:r>
      <w:r>
        <w:t xml:space="preserve"> </w:t>
      </w:r>
      <w:r>
        <w:t xml:space="preserve">108,986 sessions across 330 entities, 2.006% injected anomaly rate</w:t>
      </w:r>
      <w:r>
        <w:br/>
      </w:r>
      <w:r>
        <w:rPr>
          <w:bCs/>
          <w:b/>
        </w:rPr>
        <w:t xml:space="preserve">Alert queue:</w:t>
      </w:r>
      <w:r>
        <w:t xml:space="preserve"> </w:t>
      </w:r>
      <w:r>
        <w:t xml:space="preserve">1,971 alerts generated from the full dataset</w:t>
      </w:r>
      <w:r>
        <w:br/>
      </w:r>
      <w:r>
        <w:rPr>
          <w:bCs/>
          <w:b/>
        </w:rPr>
        <w:t xml:space="preserve">Train/test split:</w:t>
      </w:r>
      <w:r>
        <w:t xml:space="preserve"> </w:t>
      </w:r>
      <w:r>
        <w:t xml:space="preserve">76,290 train / 32,696 test rows (chronological split at 2026-06-10 16:17:15)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system detects behavioral anomalies in access logs using an unsupervised Isolation Forest detector (supplemented with a targeted rule for device-fingerprint mismatches), classifies flagged events into one of 7 attack categories with a Random Forest, and explains each alert using both statistical deviation analysis and exact SHAP-based feature attribution.</w:t>
      </w:r>
    </w:p>
    <w:p>
      <w:pPr>
        <w:pStyle w:val="BodyText"/>
      </w:pPr>
      <w:r>
        <w:t xml:space="preserve">On a held-out chronological test split, the detector achieves</w:t>
      </w:r>
      <w:r>
        <w:t xml:space="preserve"> </w:t>
      </w:r>
      <w:r>
        <w:rPr>
          <w:bCs/>
          <w:b/>
        </w:rPr>
        <w:t xml:space="preserve">99.7% precision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58.2% recall</w:t>
      </w:r>
      <w:r>
        <w:t xml:space="preserve"> </w:t>
      </w:r>
      <w:r>
        <w:t xml:space="preserve">(ROC-AUC 0.974, PR-AUC 0.826), with a false positive rate of</w:t>
      </w:r>
      <w:r>
        <w:t xml:space="preserve"> </w:t>
      </w:r>
      <w:r>
        <w:rPr>
          <w:bCs/>
          <w:b/>
        </w:rPr>
        <w:t xml:space="preserve">0.0%</w:t>
      </w:r>
      <w:r>
        <w:t xml:space="preserve">. At a realistic 1% analyst alert budget, precision reaches</w:t>
      </w:r>
      <w:r>
        <w:t xml:space="preserve"> </w:t>
      </w:r>
      <w:r>
        <w:rPr>
          <w:bCs/>
          <w:b/>
        </w:rPr>
        <w:t xml:space="preserve">99.7%</w:t>
      </w:r>
      <w:r>
        <w:t xml:space="preserve">, capturing</w:t>
      </w:r>
      <w:r>
        <w:t xml:space="preserve"> </w:t>
      </w:r>
      <w:r>
        <w:rPr>
          <w:bCs/>
          <w:b/>
        </w:rPr>
        <w:t xml:space="preserve">59.3%</w:t>
      </w:r>
      <w:r>
        <w:t xml:space="preserve"> </w:t>
      </w:r>
      <w:r>
        <w:t xml:space="preserve">of all true anomalies.</w:t>
      </w:r>
    </w:p>
    <w:p>
      <w:pPr>
        <w:pStyle w:val="BodyText"/>
      </w:pPr>
      <w:r>
        <w:t xml:space="preserve">Across the full dataset’s alert queue,</w:t>
      </w:r>
      <w:r>
        <w:t xml:space="preserve"> </w:t>
      </w:r>
      <w:r>
        <w:rPr>
          <w:bCs/>
          <w:b/>
        </w:rPr>
        <w:t xml:space="preserve">1,554 of 2,186</w:t>
      </w:r>
      <w:r>
        <w:t xml:space="preserve"> </w:t>
      </w:r>
      <w:r>
        <w:t xml:space="preserve">(71.1%) true attack sessions were actually flagged and are visible to an analyst - see Section 5 for the important caveat that this varies sharply by attack type.</w:t>
      </w:r>
    </w:p>
    <w:bookmarkEnd w:id="21"/>
    <w:bookmarkStart w:id="22" w:name="dataset"/>
    <w:p>
      <w:pPr>
        <w:pStyle w:val="Heading2"/>
      </w:pPr>
      <w:r>
        <w:t xml:space="preserve">2. Dataset</w:t>
      </w:r>
    </w:p>
    <w:p>
      <w:pPr>
        <w:pStyle w:val="FirstParagraph"/>
      </w:pPr>
      <w:r>
        <w:t xml:space="preserve">Synthetic access-log data generated per the required schema, with all 7 specified attack patterns injected at controlled rates plus an 8th ambiguous edge case (insider drift) for false-positive tuning. Full behavioral assumptions and the attack taxonomy are documented in</w:t>
      </w:r>
      <w:r>
        <w:t xml:space="preserve"> </w:t>
      </w:r>
      <w:r>
        <w:rPr>
          <w:rStyle w:val="VerbatimChar"/>
        </w:rPr>
        <w:t xml:space="preserve">generator/ASSUMPTIONS.md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stuffing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and slow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impossible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bookmarkEnd w:id="22"/>
    <w:bookmarkStart w:id="23" w:name="system-architecture"/>
    <w:p>
      <w:pPr>
        <w:pStyle w:val="Heading2"/>
      </w:pPr>
      <w:r>
        <w:t xml:space="preserve">3. System Architecture</w:t>
      </w:r>
    </w:p>
    <w:p>
      <w:pPr>
        <w:pStyle w:val="SourceCode"/>
      </w:pPr>
      <w:r>
        <w:rPr>
          <w:rStyle w:val="VerbatimChar"/>
        </w:rPr>
        <w:t xml:space="preserve">Synthetic Data Generator (Phase 1)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Backend API + Database (Phase 2) -- FastAPI + SQLite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ML Pipeline (Phase 3)</w:t>
      </w:r>
      <w:r>
        <w:br/>
      </w:r>
      <w:r>
        <w:rPr>
          <w:rStyle w:val="VerbatimChar"/>
        </w:rPr>
        <w:t xml:space="preserve">  Baseline Profiler (rolling per-entity window, learned from logs)</w:t>
      </w:r>
      <w:r>
        <w:br/>
      </w:r>
      <w:r>
        <w:rPr>
          <w:rStyle w:val="VerbatimChar"/>
        </w:rPr>
        <w:t xml:space="preserve">  -&gt; Feature Engineering (15 signals)</w:t>
      </w:r>
      <w:r>
        <w:br/>
      </w:r>
      <w:r>
        <w:rPr>
          <w:rStyle w:val="VerbatimChar"/>
        </w:rPr>
        <w:t xml:space="preserve">  -&gt; Isolation Forest Detector (unsupervised)</w:t>
      </w:r>
      <w:r>
        <w:br/>
      </w:r>
      <w:r>
        <w:rPr>
          <w:rStyle w:val="VerbatimChar"/>
        </w:rPr>
        <w:t xml:space="preserve">  -&gt; Random Forest Classifier (attack-type)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Alert Population (Phase 4) -- hybrid statistical + rule-based flagging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Explainability (Phase 5) -- z-score reasoning + SHAP classification attribution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Analyst Dashboard (Phase 4) -- Alert Queue, Live Feed, Entity Explorer,</w:t>
      </w:r>
      <w:r>
        <w:br/>
      </w:r>
      <w:r>
        <w:rPr>
          <w:rStyle w:val="VerbatimChar"/>
        </w:rPr>
        <w:t xml:space="preserve">                               Device Trust, World Map, Model Evaluation</w:t>
      </w:r>
    </w:p>
    <w:bookmarkEnd w:id="23"/>
    <w:bookmarkStart w:id="42" w:name="model-performance-held-out-test-split"/>
    <w:p>
      <w:pPr>
        <w:pStyle w:val="Heading2"/>
      </w:pPr>
      <w:r>
        <w:t xml:space="preserve">4. Model Performance (Held-Out Test Split)</w:t>
      </w:r>
    </w:p>
    <w:bookmarkStart w:id="36" w:name="binary-detection"/>
    <w:p>
      <w:pPr>
        <w:pStyle w:val="Heading3"/>
      </w:pPr>
      <w:r>
        <w:t xml:space="preserve">4.1 Binary Detection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Positive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@ top 1pct alert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 (captures 59.3% of anomalies)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@ top 2pct alert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 (captures 76.0% of anomalies)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@ top 5pct alert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0.309 (captures 91.8% of anomalies)</w:t>
            </w:r>
          </w:p>
        </w:tc>
      </w:tr>
    </w:tbl>
    <w:p>
      <w:pPr>
        <w:pStyle w:val="CaptionedFigure"/>
      </w:pPr>
      <w:r>
        <w:drawing>
          <wp:inline>
            <wp:extent cx="5334000" cy="4445000"/>
            <wp:effectExtent b="0" l="0" r="0" t="0"/>
            <wp:docPr descr="ROC Curve" title="" id="25" name="Picture"/>
            <a:graphic>
              <a:graphicData uri="http://schemas.openxmlformats.org/drawingml/2006/picture">
                <pic:pic>
                  <pic:nvPicPr>
                    <pic:cNvPr descr="./output/evaluation/roc_curv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Precision-Recall Curve" title="" id="28" name="Picture"/>
            <a:graphic>
              <a:graphicData uri="http://schemas.openxmlformats.org/drawingml/2006/picture">
                <pic:pic>
                  <pic:nvPicPr>
                    <pic:cNvPr descr="./output/evaluation/pr_cur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Precision-Recall Curve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Risk Score Distribution" title="" id="31" name="Picture"/>
            <a:graphic>
              <a:graphicData uri="http://schemas.openxmlformats.org/drawingml/2006/picture">
                <pic:pic>
                  <pic:nvPicPr>
                    <pic:cNvPr descr="./output/evaluation/score_distribu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Risk Score Distribution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Alert Budget Curve" title="" id="34" name="Picture"/>
            <a:graphic>
              <a:graphicData uri="http://schemas.openxmlformats.org/drawingml/2006/picture">
                <pic:pic>
                  <pic:nvPicPr>
                    <pic:cNvPr descr="./output/evaluation/alert_budget_curv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 Budget Curve</w:t>
      </w:r>
    </w:p>
    <w:bookmarkEnd w:id="36"/>
    <w:bookmarkStart w:id="40" w:name="X726663ad04033138a8f0f252551e88217d80efe"/>
    <w:p>
      <w:pPr>
        <w:pStyle w:val="Heading3"/>
      </w:pPr>
      <w:r>
        <w:t xml:space="preserve">4.2 Attack-Type Classification (oracle setting - evaluated on true anomalies)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Attack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stuffing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impossible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and slow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 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</w:tr>
    </w:tbl>
    <w:p>
      <w:pPr>
        <w:pStyle w:val="CaptionedFigure"/>
      </w:pPr>
      <w:r>
        <w:drawing>
          <wp:inline>
            <wp:extent cx="5334000" cy="4741333"/>
            <wp:effectExtent b="0" l="0" r="0" t="0"/>
            <wp:docPr descr="Attack-Type Confusion Matrix" title="" id="38" name="Picture"/>
            <a:graphic>
              <a:graphicData uri="http://schemas.openxmlformats.org/drawingml/2006/picture">
                <pic:pic>
                  <pic:nvPicPr>
                    <pic:cNvPr descr="./output/evaluation/confusion_matrix_multiclas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Attack-Type Confusion Matrix</w:t>
      </w:r>
    </w:p>
    <w:bookmarkEnd w:id="40"/>
    <w:bookmarkStart w:id="41" w:name="top-classifier-feature-importances"/>
    <w:p>
      <w:pPr>
        <w:pStyle w:val="Heading3"/>
      </w:pPr>
      <w:r>
        <w:t xml:space="preserve">4.3 Top Classifier Feature Importances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log_implied_speed_kmh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new_device_flag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log_time_gap_seconds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new_resource_flag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duration_zscore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log_prior_session_count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hour_zscore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log_ip_recent_distinct_entities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</w:tr>
    </w:tbl>
    <w:bookmarkEnd w:id="41"/>
    <w:bookmarkEnd w:id="42"/>
    <w:bookmarkStart w:id="43" w:name="Xf89515b24c53a670757a577d194e2e61812d1d7"/>
    <w:p>
      <w:pPr>
        <w:pStyle w:val="Heading2"/>
      </w:pPr>
      <w:r>
        <w:t xml:space="preserve">5. End-to-End Attack Coverage (Full Dataset Alert Queue)</w:t>
      </w:r>
    </w:p>
    <w:p>
      <w:pPr>
        <w:pStyle w:val="FirstParagraph"/>
      </w:pPr>
      <w:r>
        <w:t xml:space="preserve">Distinct from the held-out test metrics above: this measures, for the FULL dataset, how many true attack sessions of each type actually produced a visible alert an analyst could act on. This is a stricter, more operationally relevant check.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Attack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Typed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stuffing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impossible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and slow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Honest finding:</w:t>
      </w:r>
      <w:r>
        <w:t xml:space="preserve"> </w:t>
      </w:r>
      <w:r>
        <w:t xml:space="preserve">loud, structurally distinctive patterns (brute force, credential stuffing, device spoofing) are flagged at 95-100%. Quiet, gradual patterns (lateral movement, low-and-slow exfiltration, insider drift) are flagged far less often in practice - as low as 1.1% for insider drift, which was deliberately designed as an ambiguous edge case. This reflects a genuine, well-understood limitation of threshold-based unsupervised detection tuned to an overall base rate: subtler patterns don’t clear the same bar as louder ones. See Section 7 for discussion.</w:t>
      </w:r>
    </w:p>
    <w:bookmarkEnd w:id="43"/>
    <w:bookmarkStart w:id="44" w:name="explainability"/>
    <w:p>
      <w:pPr>
        <w:pStyle w:val="Heading2"/>
      </w:pPr>
      <w:r>
        <w:t xml:space="preserve">6. Explainability</w:t>
      </w:r>
    </w:p>
    <w:p>
      <w:pPr>
        <w:pStyle w:val="FirstParagraph"/>
      </w:pPr>
      <w:r>
        <w:t xml:space="preserve">Every alert carries two independent explanation layers: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Detection-level</w:t>
      </w:r>
      <w:r>
        <w:t xml:space="preserve"> </w:t>
      </w:r>
      <w:r>
        <w:t xml:space="preserve">(why flagged at all) - features ranked by standardized deviation from normal-row statistics.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Classification-level</w:t>
      </w:r>
      <w:r>
        <w:t xml:space="preserve"> </w:t>
      </w:r>
      <w:r>
        <w:t xml:space="preserve">(why this specific attack type) - exact SHAP (</w:t>
      </w:r>
      <w:r>
        <w:rPr>
          <w:rStyle w:val="VerbatimChar"/>
        </w:rPr>
        <w:t xml:space="preserve">shap.TreeExplainer</w:t>
      </w:r>
      <w:r>
        <w:t xml:space="preserve">) feature attributions from the trained Random Forest, computed per predicted class.</w:t>
      </w:r>
    </w:p>
    <w:p>
      <w:pPr>
        <w:pStyle w:val="FirstParagraph"/>
      </w:pPr>
      <w:r>
        <w:t xml:space="preserve">Both layers were spot-checked for coherence: for</w:t>
      </w:r>
      <w:r>
        <w:t xml:space="preserve"> </w:t>
      </w:r>
      <w:r>
        <w:rPr>
          <w:rStyle w:val="VerbatimChar"/>
        </w:rPr>
        <w:t xml:space="preserve">impossible_travel</w:t>
      </w:r>
      <w:r>
        <w:t xml:space="preserve"> </w:t>
      </w:r>
      <w:r>
        <w:t xml:space="preserve">alerts, SHAP correctly identifies implied travel speed as the dominant factor, matching that feature’s #1 ranking in the classifier’s global feature importances (Section 4.3) - independent confirmation that the model learned genuine signal.</w:t>
      </w:r>
    </w:p>
    <w:bookmarkEnd w:id="44"/>
    <w:bookmarkStart w:id="45" w:name="known-limitations-assumptions"/>
    <w:p>
      <w:pPr>
        <w:pStyle w:val="Heading2"/>
      </w:pPr>
      <w:r>
        <w:t xml:space="preserve">7. Known Limitations &amp; Assumptions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Risk-score scaling</w:t>
      </w:r>
      <w:r>
        <w:t xml:space="preserve"> </w:t>
      </w:r>
      <w:r>
        <w:t xml:space="preserve">is min-max normalized relative to whatever batch is being scored; a live streaming deployment should pin this to a fixed reference range computed at training time rather than recomputing per call.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Attack-type flag-rate imbalance</w:t>
      </w:r>
      <w:r>
        <w:t xml:space="preserve"> </w:t>
      </w:r>
      <w:r>
        <w:t xml:space="preserve">(Section 5): subtler patterns are caught far less often than loud ones in the full alert queue. A per-pattern-type contamination/threshold tuning pass, traded deliberately against false-positive rate, is the natural next step.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Classification is evaluated in an oracle setting</w:t>
      </w:r>
      <w:r>
        <w:t xml:space="preserve"> </w:t>
      </w:r>
      <w:r>
        <w:t xml:space="preserve">(given the true anomalies) to isolate classifier quality from detector recall; an end-to-end number restricted to the detector’s actual flagged set is a reasonable further check.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Synthetic data</w:t>
      </w:r>
      <w:r>
        <w:t xml:space="preserve">: geo-coordinates jitter around 12 fixed reference cities rather than a full geocoding service;</w:t>
      </w:r>
      <w:r>
        <w:t xml:space="preserve"> </w:t>
      </w:r>
      <w:r>
        <w:rPr>
          <w:rStyle w:val="VerbatimChar"/>
        </w:rPr>
        <w:t xml:space="preserve">command_sequence</w:t>
      </w:r>
      <w:r>
        <w:t xml:space="preserve"> </w:t>
      </w:r>
      <w:r>
        <w:t xml:space="preserve">uses a small templated action vocabulary per resource type. Both are adequate for the modeling task but not a substitute for real telemetry. Full assumptions in</w:t>
      </w:r>
      <w:r>
        <w:t xml:space="preserve"> </w:t>
      </w:r>
      <w:r>
        <w:rPr>
          <w:rStyle w:val="VerbatimChar"/>
        </w:rPr>
        <w:t xml:space="preserve">generator/ASSUMPTIONS.md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Cold-start handling</w:t>
      </w:r>
      <w:r>
        <w:t xml:space="preserve">: entities with fewer than 5 prior sessions in their rolling window fall back to peer-group (same entity_type) statistics rather than individual baselines. Verified: 1.5% of all sessions used this fallback with non-degenerate feature values.</w:t>
      </w:r>
    </w:p>
    <w:bookmarkEnd w:id="45"/>
    <w:bookmarkStart w:id="46" w:name="deliverables-checklist"/>
    <w:p>
      <w:pPr>
        <w:pStyle w:val="Heading2"/>
      </w:pPr>
      <w:r>
        <w:t xml:space="preserve">8. Deliverables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data generator + documented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-</w:t>
            </w:r>
            <w:r>
              <w:t xml:space="preserve"> </w:t>
            </w:r>
            <w:r>
              <w:rPr>
                <w:rStyle w:val="VerbatimChar"/>
              </w:rPr>
              <w:t xml:space="preserve">generator/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generator/ASSUMPTIONS.md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profiling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-</w:t>
            </w:r>
            <w:r>
              <w:t xml:space="preserve"> </w:t>
            </w:r>
            <w:r>
              <w:rPr>
                <w:rStyle w:val="VerbatimChar"/>
              </w:rPr>
              <w:t xml:space="preserve">ml/profiler.py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ml/ip_features.py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model (sequence-aware, flags deviations)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-</w:t>
            </w:r>
            <w:r>
              <w:t xml:space="preserve"> </w:t>
            </w:r>
            <w:r>
              <w:rPr>
                <w:rStyle w:val="VerbatimChar"/>
              </w:rPr>
              <w:t xml:space="preserve">ml/detector.py</w:t>
            </w:r>
            <w:r>
              <w:t xml:space="preserve"> </w:t>
            </w:r>
            <w:r>
              <w:t xml:space="preserve">(Isolation Forest)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classification (attack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-</w:t>
            </w:r>
            <w:r>
              <w:t xml:space="preserve"> </w:t>
            </w:r>
            <w:r>
              <w:rPr>
                <w:rStyle w:val="VerbatimChar"/>
              </w:rPr>
              <w:t xml:space="preserve">ml/classifier.py</w:t>
            </w:r>
            <w:r>
              <w:t xml:space="preserve"> </w:t>
            </w:r>
            <w:r>
              <w:t xml:space="preserve">(Random Forest)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-</w:t>
            </w:r>
            <w:r>
              <w:t xml:space="preserve"> </w:t>
            </w:r>
            <w:r>
              <w:rPr>
                <w:rStyle w:val="VerbatimChar"/>
              </w:rPr>
              <w:t xml:space="preserve">ml/explain.py</w:t>
            </w:r>
            <w:r>
              <w:t xml:space="preserve"> </w:t>
            </w:r>
            <w:r>
              <w:t xml:space="preserve">(z-score + SHAP)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Analyst-facing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-</w:t>
            </w:r>
            <w:r>
              <w:t xml:space="preserve"> </w:t>
            </w:r>
            <w:r>
              <w:rPr>
                <w:rStyle w:val="VerbatimChar"/>
              </w:rPr>
              <w:t xml:space="preserve">frontend/dashboard.html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(this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- auto-generated from live model output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report was generated automatically from live evaluation data and the current database state - every number above reflects the actual current model run, not a hand-typed snapshot.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2026-07-25T15:34:19Z</dcterms:created>
  <dcterms:modified xsi:type="dcterms:W3CDTF">2026-07-25T15:34:19Z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