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eastAsia="Microsoft YaHei"/>
          <w:b/>
          <w:color w:val="184153"/>
          <w:sz w:val="46"/>
        </w:rPr>
        <w:t>样片工厂</w:t>
        <w:br/>
        <w:t>首页功能确认说明</w:t>
      </w:r>
    </w:p>
    <w:p>
      <w:pPr>
        <w:spacing w:after="280"/>
        <w:jc w:val="center"/>
      </w:pPr>
      <w:r>
        <w:rPr>
          <w:color w:val="5C6965"/>
          <w:sz w:val="20"/>
        </w:rPr>
        <w:t>用于确认首页能力、操作流程、生成结果及提示词管理方式</w:t>
      </w:r>
    </w:p>
    <w:p>
      <w:r>
        <w:rPr>
          <w:b/>
          <w:color w:val="266E88"/>
        </w:rPr>
        <w:t>本次更新：</w:t>
      </w:r>
      <w:r>
        <w:t>产品名称统一调整为“样片工厂”；首页同时保留文字生图和图生图；内置提示词可以在页面调整并保存，无需为修改提示词重新部署程序。</w:t>
      </w:r>
    </w:p>
    <w:p>
      <w:pPr>
        <w:pStyle w:val="Heading1"/>
      </w:pPr>
      <w:r>
        <w:t>一、产品定位</w:t>
      </w:r>
    </w:p>
    <w:p>
      <w:r>
        <w:t>样片工厂是一个用于快速生成、筛选和继续编辑图片样片的工作台。用户先选择生成模式，再填写提示词或上传素材；系统按明确的素材角色生成多张候选样片。用户可以从结果中选择一张，继续进行局部调整。</w:t>
      </w:r>
    </w:p>
    <w:p>
      <w:pPr>
        <w:pStyle w:val="Heading1"/>
      </w:pPr>
      <w:r>
        <w:t>二、首页页面布局与操作顺序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04"/>
        <w:gridCol w:w="3312"/>
      </w:tblGrid>
      <w:tr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页面区域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内容与操作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显示规则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顶部标题区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显示“样片工厂”、当前模式、开始生成与任务进度。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始终显示；生成时锁定本次任务所需配置。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左侧模式与素材区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通过模式按钮切换文字生图或图生图；图生图时展示人物、目标图、背景、道具等上传项。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不同模式只展示当前需要的输入项，避免表单堆叠。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中间结果区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显示预计样片数量、生成队列、结果分组、查看、重试、选择、导出和继续编辑。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始终作为工作重点；结果按任务或版本归类。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右侧生成设置区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提示词、模型、版本、分辨率、尺寸、每项生成数量，以及提示词模板管理入口。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文字生图与图生图共用模型和规格设置；素材相关设置仅图生图显示。</w:t>
            </w:r>
          </w:p>
        </w:tc>
      </w:tr>
    </w:tbl>
    <w:p>
      <w:r>
        <w:t>推荐交互顺序：选择模式 → 填写提示词或上传素材 → 选择模型、版本、分辨率、尺寸和数量 → 查看预计结果数量 → 生成样片 → 选择结果继续编辑。</w:t>
      </w:r>
    </w:p>
    <w:p>
      <w:pPr>
        <w:pStyle w:val="Heading1"/>
      </w:pPr>
      <w:r>
        <w:t>三、模式选择：文字生图与图生图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3312"/>
        <w:gridCol w:w="1584"/>
      </w:tblGrid>
      <w:tr>
        <w:tc>
          <w:tcPr>
            <w:tcW w:type="dxa" w:w="2498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98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2498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498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生成结果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文字生图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只填写图像描述、选择模型与规格。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直接将提示词发送给图像生成接口，不要求上传图片。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按“每项生成数量”得到多张同主题候选样片。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图生图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上传人物、主目标图、背景、道具等素材，可补充文字要求。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将上传素材按角色发送，并结合内置提示词执行人物替换、背景替换、道具替换或多图融合。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得到保留构图或按素材融合后的候选样片。</w:t>
            </w:r>
          </w:p>
        </w:tc>
      </w:tr>
    </w:tbl>
    <w:p>
      <w:pPr>
        <w:pStyle w:val="Heading2"/>
      </w:pPr>
      <w:r>
        <w:t>1. 文字生图页面</w:t>
      </w:r>
    </w:p>
    <w:p>
      <w:r>
        <w:t>左侧仅保留模式选择；右侧突出“图像描述”输入框、可选提示词模板、模型版本、分辨率、尺寸和数量。参考图中的“智能文生图 / 智能图生图”卡片式切换可用于此入口。</w:t>
      </w:r>
    </w:p>
    <w:p>
      <w:pPr>
        <w:pStyle w:val="Heading2"/>
      </w:pPr>
      <w:r>
        <w:t>2. 图生图页面</w:t>
      </w:r>
    </w:p>
    <w:p>
      <w:r>
        <w:t>切换到图生图后，左侧展开素材工作台。用户上传图片并指定每张图片的角色；右侧继续保留提示词、模型和规格配置。提示词只用于补充意图，核心画面关系由素材角色和内置模板约束。</w:t>
      </w:r>
    </w:p>
    <w:p>
      <w:pPr>
        <w:pStyle w:val="Heading1"/>
      </w:pPr>
      <w:r>
        <w:t>四、图生图素材与处理方式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629"/>
        <w:gridCol w:w="3744"/>
      </w:tblGrid>
      <w:tr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素材/功能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用户可以做什么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系统产生的结果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人物参考</w:t>
            </w:r>
          </w:p>
        </w:tc>
        <w:tc>
          <w:tcPr>
            <w:tcW w:type="dxa" w:w="362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 1-3 张人物图片。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固定人物身份、脸部、发型、服装和外观，是图生图的主体来源。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逐张批处理目标图</w:t>
            </w:r>
          </w:p>
        </w:tc>
        <w:tc>
          <w:tcPr>
            <w:tcW w:type="dxa" w:w="362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上传多张目标图并选择逐张处理。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每张目标图独立形成任务，保留原构图、姿势、景别、背景关系和光线。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主目标图 / 多图融合</w:t>
            </w:r>
          </w:p>
        </w:tc>
        <w:tc>
          <w:tcPr>
            <w:tcW w:type="dxa" w:w="362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选择一张主目标图，再添加人物、背景、道具。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主目标图决定画布结构，其余素材融合到同一画面，生成一组候选样片。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背景参考</w:t>
            </w:r>
          </w:p>
        </w:tc>
        <w:tc>
          <w:tcPr>
            <w:tcW w:type="dxa" w:w="362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上传一张背景照片。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只替换人物背后的环境，保留人物、前景遮挡、比例、位置和镜头关系。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道具参考</w:t>
            </w:r>
          </w:p>
        </w:tc>
        <w:tc>
          <w:tcPr>
            <w:tcW w:type="dxa" w:w="362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上传花瓶等道具，并指定被替换对象。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只替换画面指定道具，并匹配原位置、比例、透视、接触关系和光线。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继续编辑</w:t>
            </w:r>
          </w:p>
        </w:tc>
        <w:tc>
          <w:tcPr>
            <w:tcW w:type="dxa" w:w="362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选中已有样片，框选或指定局部区域。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只修改背景、道具、服装、表情、手脚或光线等局部，生成新版本。</w:t>
            </w:r>
          </w:p>
        </w:tc>
      </w:tr>
    </w:tbl>
    <w:p>
      <w:pPr>
        <w:pStyle w:val="Heading1"/>
      </w:pPr>
      <w:r>
        <w:t>五、内置提示词的可编辑与保存机制</w:t>
      </w:r>
    </w:p>
    <w:p>
      <w:r>
        <w:t>现有内置提示词不再写死在前端代码中。首页提供“提示词模板”管理入口，管理员可以查看、修改、保存和恢复模板。保存后新任务直接读取最新模板，不需要为提示词调整重新修改代码或重新部署程序。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053"/>
        <w:gridCol w:w="4320"/>
      </w:tblGrid>
      <w:tr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模板类型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管理员可调整内容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文字生图基础模板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为文字描述增加通用画质、构图或风格规则。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默认正向提示词、默认负向提示词、默认补充词。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人物替换模板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约束人物替换时保留目标图姿势、构图和环境。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人物身份规则、保留项、禁止项、质量检查词。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背景替换模板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约束仅替换背景，不重新生成主体。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可替换范围、必须保留范围、背景融合规则。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道具替换模板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约束只替换用户指定的对象。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对象定位语句、透视比例规则、禁止生成额外道具。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多图融合模板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约束主目标图、人物、背景和道具的角色边界。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各素材角色说明、融合优先级、冲突处理规则。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局部编辑模板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约束只编辑蒙版或指定区域。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局部保留规则、局部修改规则、版本生成规则。</w:t>
            </w:r>
          </w:p>
        </w:tc>
      </w:tr>
    </w:tbl>
    <w:p>
      <w:pPr>
        <w:pStyle w:val="Heading2"/>
      </w:pPr>
      <w:r>
        <w:t>保存位置与 JSON 建议</w:t>
      </w:r>
    </w:p>
    <w:p>
      <w:r>
        <w:t>提示词配置保存到 data 目录，例如 data/prompt-templates.json。文件中使用稳定的模板 ID、名称、适用模式、系统提示词、默认负向提示词、更新时间和版本号。程序启动时读取该 JSON；管理员在页面保存后通过后端接口更新 JSON，并返回最新版本。</w:t>
      </w:r>
    </w:p>
    <w:p>
      <w:pPr>
        <w:pStyle w:val="Heading2"/>
      </w:pPr>
      <w:r>
        <w:t>管理规则</w:t>
      </w:r>
    </w:p>
    <w:p>
      <w:r>
        <w:t>普通创作用户只选择模板和填写补充提示词；具备管理权限的用户才能编辑、保存、复制、恢复默认模板或查看历史版本。保存前显示修改预览，避免误改影响全部生成任务。</w:t>
      </w:r>
    </w:p>
    <w:p>
      <w:pPr>
        <w:pStyle w:val="Heading1"/>
      </w:pPr>
      <w:r>
        <w:t>六、规格设置与样片数量</w:t>
      </w:r>
    </w:p>
    <w:p>
      <w:r>
        <w:t>右侧规格区参考现有界面结构：模型模式切换、模型版本、分辨率、尺寸和每项生成数量。尺寸支持自适应、常用比例和自定义宽高；图生图的“自适应”根据主目标图或当前编辑基础图确定。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3528"/>
        <w:gridCol w:w="3499"/>
      </w:tblGrid>
      <w:tr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数量计算</w:t>
            </w:r>
          </w:p>
        </w:tc>
        <w:tc>
          <w:tcPr>
            <w:tcW w:type="dxa" w:w="3331"/>
            <w:vAlign w:val="center"/>
            <w:shd w:fill="266E88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文字生图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个文字任务 × 每项生成数量</w:t>
            </w:r>
          </w:p>
        </w:tc>
        <w:tc>
          <w:tcPr>
            <w:tcW w:type="dxa" w:w="349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提示词 1 条，数量 4 = 4 张样片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图生图：逐张批处理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目标图数量 × 每张生成数量</w:t>
            </w:r>
          </w:p>
        </w:tc>
        <w:tc>
          <w:tcPr>
            <w:tcW w:type="dxa" w:w="349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 张目标图 × 2 张 = 6 张样片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图生图：多图融合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个融合任务 × 每项生成数量</w:t>
            </w:r>
          </w:p>
        </w:tc>
        <w:tc>
          <w:tcPr>
            <w:tcW w:type="dxa" w:w="349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人物 + 主目标图 + 背景 + 花瓶，数量 4 = 4 张样片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局部继续编辑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选中样片数量 × 编辑生成数量</w:t>
            </w:r>
          </w:p>
        </w:tc>
        <w:tc>
          <w:tcPr>
            <w:tcW w:type="dxa" w:w="349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选中 1 张，生成 3 个局部版本 = 3 张</w:t>
            </w:r>
          </w:p>
        </w:tc>
      </w:tr>
    </w:tbl>
    <w:p>
      <w:pPr>
        <w:pStyle w:val="Heading1"/>
      </w:pPr>
      <w:r>
        <w:t>七、最终可交付的使用结果</w:t>
      </w:r>
    </w:p>
    <w:p>
      <w:pPr>
        <w:pStyle w:val="ListBullet"/>
        <w:spacing w:after="60"/>
      </w:pPr>
      <w:r>
        <w:t>通过一句或多句文字描述直接生成图片样片。</w:t>
      </w:r>
    </w:p>
    <w:p>
      <w:pPr>
        <w:pStyle w:val="ListBullet"/>
        <w:spacing w:after="60"/>
      </w:pPr>
      <w:r>
        <w:t>通过人物参考图批量替换多张目标图中的人物。</w:t>
      </w:r>
    </w:p>
    <w:p>
      <w:pPr>
        <w:pStyle w:val="ListBullet"/>
        <w:spacing w:after="60"/>
      </w:pPr>
      <w:r>
        <w:t>在一张主目标图中融合人物、背景和指定道具。</w:t>
      </w:r>
    </w:p>
    <w:p>
      <w:pPr>
        <w:pStyle w:val="ListBullet"/>
        <w:spacing w:after="60"/>
      </w:pPr>
      <w:r>
        <w:t>用上传的背景照片替换背景，用上传的花瓶等图片替换指定道具。</w:t>
      </w:r>
    </w:p>
    <w:p>
      <w:pPr>
        <w:pStyle w:val="ListBullet"/>
        <w:spacing w:after="60"/>
      </w:pPr>
      <w:r>
        <w:t>根据设置一次生成多张候选样片，并在生成前看到预计数量。</w:t>
      </w:r>
    </w:p>
    <w:p>
      <w:pPr>
        <w:pStyle w:val="ListBullet"/>
        <w:spacing w:after="60"/>
      </w:pPr>
      <w:r>
        <w:t>从结果中选择满意版本，针对局部进行继续编辑，减少复杂提示词造成的全图错误。</w:t>
      </w:r>
    </w:p>
    <w:p>
      <w:pPr>
        <w:pStyle w:val="ListBullet"/>
        <w:spacing w:after="60"/>
      </w:pPr>
      <w:r>
        <w:t>管理员通过页面维护内置提示词模板，保存至 data 目录 JSON 后立即用于后续任务。</w:t>
      </w:r>
    </w:p>
    <w:p>
      <w:pPr>
        <w:pStyle w:val="ListBullet"/>
        <w:spacing w:after="60"/>
      </w:pPr>
      <w:r>
        <w:t>对样片进行查看、重试、筛选、导出和版本延续。</w:t>
      </w:r>
    </w:p>
    <w:p>
      <w:pPr>
        <w:pStyle w:val="Heading1"/>
      </w:pPr>
      <w:r>
        <w:t>八、客户确认项</w:t>
      </w:r>
    </w:p>
    <w:p>
      <w:r>
        <w:t>请确认以下理解是否符合实际使用需求：</w:t>
      </w:r>
    </w:p>
    <w:p>
      <w:pPr>
        <w:pStyle w:val="ListBullet"/>
        <w:spacing w:after="60"/>
      </w:pPr>
      <w:r>
        <w:t>□  产品首页名称调整为“样片工厂”。</w:t>
      </w:r>
    </w:p>
    <w:p>
      <w:pPr>
        <w:pStyle w:val="ListBullet"/>
        <w:spacing w:after="60"/>
      </w:pPr>
      <w:r>
        <w:t>□  首页保留文字生图和图生图两种模式，并通过明显按钮或卡片切换。</w:t>
      </w:r>
    </w:p>
    <w:p>
      <w:pPr>
        <w:pStyle w:val="ListBullet"/>
        <w:spacing w:after="60"/>
      </w:pPr>
      <w:r>
        <w:t>□  文字生图不要求上传图片，直接使用图像描述调用接口。</w:t>
      </w:r>
    </w:p>
    <w:p>
      <w:pPr>
        <w:pStyle w:val="ListBullet"/>
        <w:spacing w:after="60"/>
      </w:pPr>
      <w:r>
        <w:t>□  图生图保留人物替换、逐张批处理、多图融合、背景替换、道具替换和局部继续编辑。</w:t>
      </w:r>
    </w:p>
    <w:p>
      <w:pPr>
        <w:pStyle w:val="ListBullet"/>
        <w:spacing w:after="60"/>
      </w:pPr>
      <w:r>
        <w:t>□  背景和道具参考图需要作为同一融合任务中的素材角色，而不是默认分别拆成不同任务。</w:t>
      </w:r>
    </w:p>
    <w:p>
      <w:pPr>
        <w:pStyle w:val="ListBullet"/>
        <w:spacing w:after="60"/>
      </w:pPr>
      <w:r>
        <w:t>□  道具替换时由用户指定需要替换的画面对象。</w:t>
      </w:r>
    </w:p>
    <w:p>
      <w:pPr>
        <w:pStyle w:val="ListBullet"/>
        <w:spacing w:after="60"/>
      </w:pPr>
      <w:r>
        <w:t>□  内置提示词可在管理页面调整，并保存到 data 目录下的 JSON 文件。</w:t>
      </w:r>
    </w:p>
    <w:p>
      <w:pPr>
        <w:pStyle w:val="ListBullet"/>
        <w:spacing w:after="60"/>
      </w:pPr>
      <w:r>
        <w:t>□  提示词修改不需要修改前端代码或重新部署；新任务读取保存后的最新模板。</w:t>
      </w:r>
    </w:p>
    <w:p>
      <w:pPr>
        <w:pStyle w:val="ListBullet"/>
        <w:spacing w:after="60"/>
      </w:pPr>
      <w:r>
        <w:t>□  样片数量根据文字任务、批处理任务、融合任务或局部编辑任务分别计算。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480"/>
        <w:sz w:val="16"/>
      </w:rPr>
      <w:t>样片工厂 · 首页功能确认说明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color w:val="2833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66E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58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