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D40F16"/>
          <w:sz w:val="56"/>
          <w:szCs w:val="56"/>
        </w:rPr>
        <w:t xml:space="preserve">FRETCORRIDOR</w:t>
      </w:r>
    </w:p>
    <w:p>
      <w:pPr>
        <w:spacing w:after="400"/>
        <w:jc w:val="center"/>
      </w:pPr>
      <w:r>
        <w:rPr>
          <w:i/>
          <w:iCs/>
          <w:color w:val="2B2B2B"/>
          <w:sz w:val="24"/>
          <w:szCs w:val="24"/>
        </w:rPr>
        <w:t xml:space="preserve">Place de marché numérique du fret et du colis — Cameroun / CEMAC</w:t>
      </w:r>
    </w:p>
    <w:p>
      <w:pPr>
        <w:spacing w:after="100"/>
        <w:jc w:val="center"/>
      </w:pPr>
      <w:r>
        <w:rPr>
          <w:b/>
          <w:bCs/>
          <w:sz w:val="32"/>
          <w:szCs w:val="32"/>
        </w:rPr>
        <w:t xml:space="preserve">Feuille de route d'apprentissage et de réalisation — V4.0</w:t>
      </w:r>
    </w:p>
    <w:p>
      <w:pPr>
        <w:spacing w:after="500"/>
        <w:jc w:val="center"/>
      </w:pPr>
      <w:r>
        <w:rPr>
          <w:color w:val="2B2B2B"/>
          <w:sz w:val="20"/>
          <w:szCs w:val="20"/>
        </w:rPr>
        <w:t xml:space="preserve">Réorientation marketplace · Moteur de matching et d'optimisation · Équipe de 3</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2700"/>
        <w:gridCol w:w="6300"/>
      </w:tblGrid>
      <w:tr>
        <w:trPr>
          <w:tblHeader/>
        </w:trPr>
        <w:tc>
          <w:tcPr>
            <w:tcW w:type="pct" w:w="30%"/>
            <w:shd w:fill="2B2B2B" w:val="clear"/>
            <w:tcMar>
              <w:top w:type="dxa" w:w="80"/>
              <w:left w:type="dxa" w:w="100"/>
              <w:bottom w:type="dxa" w:w="80"/>
              <w:right w:type="dxa" w:w="100"/>
            </w:tcMar>
            <w:vAlign w:val="center"/>
          </w:tcPr>
          <w:p>
            <w:r>
              <w:rPr>
                <w:b/>
                <w:bCs/>
                <w:color w:val="FFFFFF"/>
                <w:sz w:val="18"/>
                <w:szCs w:val="18"/>
              </w:rPr>
              <w:t xml:space="preserve">Champ</w:t>
            </w:r>
          </w:p>
        </w:tc>
        <w:tc>
          <w:tcPr>
            <w:tcW w:type="pct" w:w="70%"/>
            <w:shd w:fill="2B2B2B" w:val="clear"/>
            <w:tcMar>
              <w:top w:type="dxa" w:w="80"/>
              <w:left w:type="dxa" w:w="100"/>
              <w:bottom w:type="dxa" w:w="80"/>
              <w:right w:type="dxa" w:w="100"/>
            </w:tcMar>
            <w:vAlign w:val="center"/>
          </w:tcPr>
          <w:p>
            <w:r>
              <w:rPr>
                <w:b/>
                <w:bCs/>
                <w:color w:val="FFFFFF"/>
                <w:sz w:val="18"/>
                <w:szCs w:val="18"/>
              </w:rPr>
              <w:t xml:space="preserve">Valeur</w:t>
            </w:r>
          </w:p>
        </w:tc>
      </w:tr>
      <w:tr>
        <w:tc>
          <w:tcPr>
            <w:tcW w:type="pct" w:w="30%"/>
            <w:tcMar>
              <w:top w:type="dxa" w:w="80"/>
              <w:left w:type="dxa" w:w="100"/>
              <w:bottom w:type="dxa" w:w="80"/>
              <w:right w:type="dxa" w:w="100"/>
            </w:tcMar>
            <w:vAlign w:val="center"/>
          </w:tcPr>
          <w:p>
            <w:r>
              <w:rPr>
                <w:b w:val="false"/>
                <w:bCs w:val="false"/>
                <w:sz w:val="18"/>
                <w:szCs w:val="18"/>
              </w:rPr>
              <w:t xml:space="preserve">Référence CDC</w:t>
            </w:r>
          </w:p>
        </w:tc>
        <w:tc>
          <w:tcPr>
            <w:tcW w:type="pct" w:w="70%"/>
            <w:tcMar>
              <w:top w:type="dxa" w:w="80"/>
              <w:left w:type="dxa" w:w="100"/>
              <w:bottom w:type="dxa" w:w="80"/>
              <w:right w:type="dxa" w:w="100"/>
            </w:tcMar>
            <w:vAlign w:val="center"/>
          </w:tcPr>
          <w:p>
            <w:r>
              <w:rPr>
                <w:b w:val="false"/>
                <w:bCs w:val="false"/>
                <w:sz w:val="18"/>
                <w:szCs w:val="18"/>
              </w:rPr>
              <w:t xml:space="preserve">FSE-CDC-FRETCORRIDOR-2026-004 (v4.0, remplace v3.0)</w:t>
            </w:r>
          </w:p>
        </w:tc>
      </w:tr>
      <w:tr>
        <w:tc>
          <w:tcPr>
            <w:tcW w:type="pct" w:w="30%"/>
            <w:shd w:fill="F5F5F5" w:val="clear"/>
            <w:tcMar>
              <w:top w:type="dxa" w:w="80"/>
              <w:left w:type="dxa" w:w="100"/>
              <w:bottom w:type="dxa" w:w="80"/>
              <w:right w:type="dxa" w:w="100"/>
            </w:tcMar>
            <w:vAlign w:val="center"/>
          </w:tcPr>
          <w:p>
            <w:r>
              <w:rPr>
                <w:b w:val="false"/>
                <w:bCs w:val="false"/>
                <w:sz w:val="18"/>
                <w:szCs w:val="18"/>
              </w:rPr>
              <w:t xml:space="preserve">Équipe</w:t>
            </w:r>
          </w:p>
        </w:tc>
        <w:tc>
          <w:tcPr>
            <w:tcW w:type="pct" w:w="70%"/>
            <w:shd w:fill="F5F5F5" w:val="clear"/>
            <w:tcMar>
              <w:top w:type="dxa" w:w="80"/>
              <w:left w:type="dxa" w:w="100"/>
              <w:bottom w:type="dxa" w:w="80"/>
              <w:right w:type="dxa" w:w="100"/>
            </w:tcMar>
            <w:vAlign w:val="center"/>
          </w:tcPr>
          <w:p>
            <w:r>
              <w:rPr>
                <w:b w:val="false"/>
                <w:bCs w:val="false"/>
                <w:sz w:val="18"/>
                <w:szCs w:val="18"/>
              </w:rPr>
              <w:t xml:space="preserve">3 personnes — Mobile (2 apps Flutter + API associées) · Web (Angular, app unique 3 rôles + API associées) · Moteur (matching, planification, optimisation des flux)</w:t>
            </w:r>
          </w:p>
        </w:tc>
      </w:tr>
      <w:tr>
        <w:tc>
          <w:tcPr>
            <w:tcW w:type="pct" w:w="30%"/>
            <w:tcMar>
              <w:top w:type="dxa" w:w="80"/>
              <w:left w:type="dxa" w:w="100"/>
              <w:bottom w:type="dxa" w:w="80"/>
              <w:right w:type="dxa" w:w="100"/>
            </w:tcMar>
            <w:vAlign w:val="center"/>
          </w:tcPr>
          <w:p>
            <w:r>
              <w:rPr>
                <w:b w:val="false"/>
                <w:bCs w:val="false"/>
                <w:sz w:val="18"/>
                <w:szCs w:val="18"/>
              </w:rPr>
              <w:t xml:space="preserve">Stack technique</w:t>
            </w:r>
          </w:p>
        </w:tc>
        <w:tc>
          <w:tcPr>
            <w:tcW w:type="pct" w:w="70%"/>
            <w:tcMar>
              <w:top w:type="dxa" w:w="80"/>
              <w:left w:type="dxa" w:w="100"/>
              <w:bottom w:type="dxa" w:w="80"/>
              <w:right w:type="dxa" w:w="100"/>
            </w:tcMar>
            <w:vAlign w:val="center"/>
          </w:tcPr>
          <w:p>
            <w:r>
              <w:rPr>
                <w:b w:val="false"/>
                <w:bCs w:val="false"/>
                <w:sz w:val="18"/>
                <w:szCs w:val="18"/>
              </w:rPr>
              <w:t xml:space="preserve">Spring Boot (microservices) · Flutter · Angular · PostgreSQL/PostGIS · Kafka · Redis</w:t>
            </w:r>
          </w:p>
        </w:tc>
      </w:tr>
      <w:tr>
        <w:tc>
          <w:tcPr>
            <w:tcW w:type="pct" w:w="30%"/>
            <w:shd w:fill="F5F5F5" w:val="clear"/>
            <w:tcMar>
              <w:top w:type="dxa" w:w="80"/>
              <w:left w:type="dxa" w:w="100"/>
              <w:bottom w:type="dxa" w:w="80"/>
              <w:right w:type="dxa" w:w="100"/>
            </w:tcMar>
            <w:vAlign w:val="center"/>
          </w:tcPr>
          <w:p>
            <w:r>
              <w:rPr>
                <w:b w:val="false"/>
                <w:bCs w:val="false"/>
                <w:sz w:val="18"/>
                <w:szCs w:val="18"/>
              </w:rPr>
              <w:t xml:space="preserve">Date</w:t>
            </w:r>
          </w:p>
        </w:tc>
        <w:tc>
          <w:tcPr>
            <w:tcW w:type="pct" w:w="70%"/>
            <w:shd w:fill="F5F5F5" w:val="clear"/>
            <w:tcMar>
              <w:top w:type="dxa" w:w="80"/>
              <w:left w:type="dxa" w:w="100"/>
              <w:bottom w:type="dxa" w:w="80"/>
              <w:right w:type="dxa" w:w="100"/>
            </w:tcMar>
            <w:vAlign w:val="center"/>
          </w:tcPr>
          <w:p>
            <w:r>
              <w:rPr>
                <w:b w:val="false"/>
                <w:bCs w:val="false"/>
                <w:sz w:val="18"/>
                <w:szCs w:val="18"/>
              </w:rPr>
              <w:t xml:space="preserve">Août 2026</w:t>
            </w:r>
          </w:p>
        </w:tc>
      </w:tr>
    </w:tbl>
    <w:p>
      <w:r>
        <w:br w:type="page"/>
      </w:r>
    </w:p>
    <w:p>
      <w:pPr>
        <w:pStyle w:val="Heading1"/>
        <w:spacing w:after="180" w:before="360"/>
      </w:pPr>
      <w:r>
        <w:rPr>
          <w:b/>
          <w:bCs/>
          <w:color w:val="D40F16"/>
          <w:sz w:val="30"/>
          <w:szCs w:val="30"/>
        </w:rPr>
        <w:t xml:space="preserve">1. Description du projet — ce qui change en V4</w:t>
      </w:r>
    </w:p>
    <w:p>
      <w:pPr>
        <w:spacing w:after="160"/>
      </w:pPr>
      <w:r>
        <w:rPr>
          <w:sz w:val="20"/>
          <w:szCs w:val="20"/>
        </w:rPr>
        <w:t xml:space="preserve">FretCorridor devient une place de marché publique du transport de marchandises (camion complet, groupage LTL, colis), en Cameroun d'abord, avec une architecture qui reste multi-pays par construction. Le modèle économique conserve un double moteur : le Bureau de Gestion du Fret Terrestre (BGFT) reste client-ancre sous licence institutionnelle (supervision, observatoire), pendant que la marketplace publique — avec paiement intégré orchestré et moteur de matching/optimisation — devient le moteur de volume et d'acquisition.</w:t>
      </w:r>
    </w:p>
    <w:p>
      <w:pPr>
        <w:spacing w:after="160"/>
      </w:pPr>
      <w:r>
        <w:rPr>
          <w:sz w:val="20"/>
          <w:szCs w:val="20"/>
        </w:rPr>
        <w:t xml:space="preserve">Le projet se compose toujours de trois volets développés en parallèle, mais répartis cette fois sur une équipe de trois personnes :</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980"/>
        <w:gridCol w:w="1080"/>
        <w:gridCol w:w="3960"/>
        <w:gridCol w:w="1980"/>
      </w:tblGrid>
      <w:tr>
        <w:trPr>
          <w:tblHeader/>
        </w:trPr>
        <w:tc>
          <w:tcPr>
            <w:tcW w:type="pct" w:w="22%"/>
            <w:shd w:fill="2B2B2B" w:val="clear"/>
            <w:tcMar>
              <w:top w:type="dxa" w:w="80"/>
              <w:left w:type="dxa" w:w="100"/>
              <w:bottom w:type="dxa" w:w="80"/>
              <w:right w:type="dxa" w:w="100"/>
            </w:tcMar>
            <w:vAlign w:val="center"/>
          </w:tcPr>
          <w:p>
            <w:r>
              <w:rPr>
                <w:b/>
                <w:bCs/>
                <w:color w:val="FFFFFF"/>
                <w:sz w:val="18"/>
                <w:szCs w:val="18"/>
              </w:rPr>
              <w:t xml:space="preserve">Volet</w:t>
            </w:r>
          </w:p>
        </w:tc>
        <w:tc>
          <w:tcPr>
            <w:tcW w:type="pct" w:w="12%"/>
            <w:shd w:fill="2B2B2B" w:val="clear"/>
            <w:tcMar>
              <w:top w:type="dxa" w:w="80"/>
              <w:left w:type="dxa" w:w="100"/>
              <w:bottom w:type="dxa" w:w="80"/>
              <w:right w:type="dxa" w:w="100"/>
            </w:tcMar>
            <w:vAlign w:val="center"/>
          </w:tcPr>
          <w:p>
            <w:r>
              <w:rPr>
                <w:b/>
                <w:bCs/>
                <w:color w:val="FFFFFF"/>
                <w:sz w:val="18"/>
                <w:szCs w:val="18"/>
              </w:rPr>
              <w:t xml:space="preserve">Porteur</w:t>
            </w:r>
          </w:p>
        </w:tc>
        <w:tc>
          <w:tcPr>
            <w:tcW w:type="pct" w:w="44%"/>
            <w:shd w:fill="2B2B2B" w:val="clear"/>
            <w:tcMar>
              <w:top w:type="dxa" w:w="80"/>
              <w:left w:type="dxa" w:w="100"/>
              <w:bottom w:type="dxa" w:w="80"/>
              <w:right w:type="dxa" w:w="100"/>
            </w:tcMar>
            <w:vAlign w:val="center"/>
          </w:tcPr>
          <w:p>
            <w:r>
              <w:rPr>
                <w:b/>
                <w:bCs/>
                <w:color w:val="FFFFFF"/>
                <w:sz w:val="18"/>
                <w:szCs w:val="18"/>
              </w:rPr>
              <w:t xml:space="preserve">Rôle</w:t>
            </w:r>
          </w:p>
        </w:tc>
        <w:tc>
          <w:tcPr>
            <w:tcW w:type="pct" w:w="22%"/>
            <w:shd w:fill="2B2B2B" w:val="clear"/>
            <w:tcMar>
              <w:top w:type="dxa" w:w="80"/>
              <w:left w:type="dxa" w:w="100"/>
              <w:bottom w:type="dxa" w:w="80"/>
              <w:right w:type="dxa" w:w="100"/>
            </w:tcMar>
            <w:vAlign w:val="center"/>
          </w:tcPr>
          <w:p>
            <w:r>
              <w:rPr>
                <w:b/>
                <w:bCs/>
                <w:color w:val="FFFFFF"/>
                <w:sz w:val="18"/>
                <w:szCs w:val="18"/>
              </w:rPr>
              <w:t xml:space="preserve">Utilisateurs couverts</w:t>
            </w:r>
          </w:p>
        </w:tc>
      </w:tr>
      <w:tr>
        <w:tc>
          <w:tcPr>
            <w:tcW w:type="pct" w:w="22%"/>
            <w:tcMar>
              <w:top w:type="dxa" w:w="80"/>
              <w:left w:type="dxa" w:w="100"/>
              <w:bottom w:type="dxa" w:w="80"/>
              <w:right w:type="dxa" w:w="100"/>
            </w:tcMar>
            <w:vAlign w:val="center"/>
          </w:tcPr>
          <w:p>
            <w:r>
              <w:rPr>
                <w:b w:val="false"/>
                <w:bCs w:val="false"/>
                <w:sz w:val="18"/>
                <w:szCs w:val="18"/>
              </w:rPr>
              <w:t xml:space="preserve">Mobile (Flutter) + API associées</w:t>
            </w:r>
          </w:p>
        </w:tc>
        <w:tc>
          <w:tcPr>
            <w:tcW w:type="pct" w:w="12%"/>
            <w:tcMar>
              <w:top w:type="dxa" w:w="80"/>
              <w:left w:type="dxa" w:w="100"/>
              <w:bottom w:type="dxa" w:w="80"/>
              <w:right w:type="dxa" w:w="100"/>
            </w:tcMar>
            <w:vAlign w:val="center"/>
          </w:tcPr>
          <w:p>
            <w:r>
              <w:rPr>
                <w:b w:val="false"/>
                <w:bCs w:val="false"/>
                <w:sz w:val="18"/>
                <w:szCs w:val="18"/>
              </w:rPr>
              <w:t xml:space="preserve">Personne 1</w:t>
            </w:r>
          </w:p>
        </w:tc>
        <w:tc>
          <w:tcPr>
            <w:tcW w:type="pct" w:w="44%"/>
            <w:tcMar>
              <w:top w:type="dxa" w:w="80"/>
              <w:left w:type="dxa" w:w="100"/>
              <w:bottom w:type="dxa" w:w="80"/>
              <w:right w:type="dxa" w:w="100"/>
            </w:tcMar>
            <w:vAlign w:val="center"/>
          </w:tcPr>
          <w:p>
            <w:r>
              <w:rPr>
                <w:b w:val="false"/>
                <w:bCs w:val="false"/>
                <w:sz w:val="18"/>
                <w:szCs w:val="18"/>
              </w:rPr>
              <w:t xml:space="preserve">Deux applications : Chauffeur/Transporteur (mode Agent intégré) et Client (chargeur particulier/entreprise), offline-first — et les microservices Spring Boot qui les alimentent : IDA, CAP, MKT, FLT, EXE, NOT.</w:t>
            </w:r>
          </w:p>
        </w:tc>
        <w:tc>
          <w:tcPr>
            <w:tcW w:type="pct" w:w="22%"/>
            <w:tcMar>
              <w:top w:type="dxa" w:w="80"/>
              <w:left w:type="dxa" w:w="100"/>
              <w:bottom w:type="dxa" w:w="80"/>
              <w:right w:type="dxa" w:w="100"/>
            </w:tcMar>
            <w:vAlign w:val="center"/>
          </w:tcPr>
          <w:p>
            <w:r>
              <w:rPr>
                <w:b w:val="false"/>
                <w:bCs w:val="false"/>
                <w:sz w:val="18"/>
                <w:szCs w:val="18"/>
              </w:rPr>
              <w:t xml:space="preserve">Chauffeur, transporteur, chauffeur-propriétaire, agent, chargeur</w:t>
            </w:r>
          </w:p>
        </w:tc>
      </w:tr>
      <w:tr>
        <w:tc>
          <w:tcPr>
            <w:tcW w:type="pct" w:w="22%"/>
            <w:shd w:fill="F5F5F5" w:val="clear"/>
            <w:tcMar>
              <w:top w:type="dxa" w:w="80"/>
              <w:left w:type="dxa" w:w="100"/>
              <w:bottom w:type="dxa" w:w="80"/>
              <w:right w:type="dxa" w:w="100"/>
            </w:tcMar>
            <w:vAlign w:val="center"/>
          </w:tcPr>
          <w:p>
            <w:r>
              <w:rPr>
                <w:b w:val="false"/>
                <w:bCs w:val="false"/>
                <w:sz w:val="18"/>
                <w:szCs w:val="18"/>
              </w:rPr>
              <w:t xml:space="preserve">Web (Angular, PWA) + API associées</w:t>
            </w:r>
          </w:p>
        </w:tc>
        <w:tc>
          <w:tcPr>
            <w:tcW w:type="pct" w:w="12%"/>
            <w:shd w:fill="F5F5F5" w:val="clear"/>
            <w:tcMar>
              <w:top w:type="dxa" w:w="80"/>
              <w:left w:type="dxa" w:w="100"/>
              <w:bottom w:type="dxa" w:w="80"/>
              <w:right w:type="dxa" w:w="100"/>
            </w:tcMar>
            <w:vAlign w:val="center"/>
          </w:tcPr>
          <w:p>
            <w:r>
              <w:rPr>
                <w:b w:val="false"/>
                <w:bCs w:val="false"/>
                <w:sz w:val="18"/>
                <w:szCs w:val="18"/>
              </w:rPr>
              <w:t xml:space="preserve">Personne 2</w:t>
            </w:r>
          </w:p>
        </w:tc>
        <w:tc>
          <w:tcPr>
            <w:tcW w:type="pct" w:w="44%"/>
            <w:shd w:fill="F5F5F5" w:val="clear"/>
            <w:tcMar>
              <w:top w:type="dxa" w:w="80"/>
              <w:left w:type="dxa" w:w="100"/>
              <w:bottom w:type="dxa" w:w="80"/>
              <w:right w:type="dxa" w:w="100"/>
            </w:tcMar>
            <w:vAlign w:val="center"/>
          </w:tcPr>
          <w:p>
            <w:r>
              <w:rPr>
                <w:b w:val="false"/>
                <w:bCs w:val="false"/>
                <w:sz w:val="18"/>
                <w:szCs w:val="18"/>
              </w:rPr>
              <w:t xml:space="preserve">Une application unique à trois rôles distincts (Bureau de fret, Transporteur, Administration), avec garde de routes RBAC — et les microservices qui l'alimentent : passerelle, PAY, BUR, ADM.</w:t>
            </w:r>
          </w:p>
        </w:tc>
        <w:tc>
          <w:tcPr>
            <w:tcW w:type="pct" w:w="22%"/>
            <w:shd w:fill="F5F5F5" w:val="clear"/>
            <w:tcMar>
              <w:top w:type="dxa" w:w="80"/>
              <w:left w:type="dxa" w:w="100"/>
              <w:bottom w:type="dxa" w:w="80"/>
              <w:right w:type="dxa" w:w="100"/>
            </w:tcMar>
            <w:vAlign w:val="center"/>
          </w:tcPr>
          <w:p>
            <w:r>
              <w:rPr>
                <w:b w:val="false"/>
                <w:bCs w:val="false"/>
                <w:sz w:val="18"/>
                <w:szCs w:val="18"/>
              </w:rPr>
              <w:t xml:space="preserve">Bureau de fret, transporteur, back-office Flysoft</w:t>
            </w:r>
          </w:p>
        </w:tc>
      </w:tr>
      <w:tr>
        <w:tc>
          <w:tcPr>
            <w:tcW w:type="pct" w:w="22%"/>
            <w:tcMar>
              <w:top w:type="dxa" w:w="80"/>
              <w:left w:type="dxa" w:w="100"/>
              <w:bottom w:type="dxa" w:w="80"/>
              <w:right w:type="dxa" w:w="100"/>
            </w:tcMar>
            <w:vAlign w:val="center"/>
          </w:tcPr>
          <w:p>
            <w:r>
              <w:rPr>
                <w:b w:val="false"/>
                <w:bCs w:val="false"/>
                <w:sz w:val="18"/>
                <w:szCs w:val="18"/>
              </w:rPr>
              <w:t xml:space="preserve">Moteur de matching, planification et optimisation des flux</w:t>
            </w:r>
          </w:p>
        </w:tc>
        <w:tc>
          <w:tcPr>
            <w:tcW w:type="pct" w:w="12%"/>
            <w:tcMar>
              <w:top w:type="dxa" w:w="80"/>
              <w:left w:type="dxa" w:w="100"/>
              <w:bottom w:type="dxa" w:w="80"/>
              <w:right w:type="dxa" w:w="100"/>
            </w:tcMar>
            <w:vAlign w:val="center"/>
          </w:tcPr>
          <w:p>
            <w:r>
              <w:rPr>
                <w:b w:val="false"/>
                <w:bCs w:val="false"/>
                <w:sz w:val="18"/>
                <w:szCs w:val="18"/>
              </w:rPr>
              <w:t xml:space="preserve">Personne 3</w:t>
            </w:r>
          </w:p>
        </w:tc>
        <w:tc>
          <w:tcPr>
            <w:tcW w:type="pct" w:w="44%"/>
            <w:tcMar>
              <w:top w:type="dxa" w:w="80"/>
              <w:left w:type="dxa" w:w="100"/>
              <w:bottom w:type="dxa" w:w="80"/>
              <w:right w:type="dxa" w:w="100"/>
            </w:tcMar>
            <w:vAlign w:val="center"/>
          </w:tcPr>
          <w:p>
            <w:r>
              <w:rPr>
                <w:b w:val="false"/>
                <w:bCs w:val="false"/>
                <w:sz w:val="18"/>
                <w:szCs w:val="18"/>
              </w:rPr>
              <w:t xml:space="preserve">Quatre modules dédiés : MAT (données/règles de matching), OPT (moteur L0→L4), TRK (suivi/ETA), GEO (axes, hubs, zonage géospatial). Aucune interface directe ; consommé en API par les deux autres volets.</w:t>
            </w:r>
          </w:p>
        </w:tc>
        <w:tc>
          <w:tcPr>
            <w:tcW w:type="pct" w:w="22%"/>
            <w:tcMar>
              <w:top w:type="dxa" w:w="80"/>
              <w:left w:type="dxa" w:w="100"/>
              <w:bottom w:type="dxa" w:w="80"/>
              <w:right w:type="dxa" w:w="100"/>
            </w:tcMar>
            <w:vAlign w:val="center"/>
          </w:tcPr>
          <w:p>
            <w:r>
              <w:rPr>
                <w:b w:val="false"/>
                <w:bCs w:val="false"/>
                <w:sz w:val="18"/>
                <w:szCs w:val="18"/>
              </w:rPr>
              <w:t xml:space="preserve">Tous les clients, via API</w:t>
            </w:r>
          </w:p>
        </w:tc>
      </w:tr>
    </w:tbl>
    <w:p>
      <w:pPr>
        <w:spacing w:after="120"/>
      </w:pPr>
    </w:p>
    <w:tbl>
      <w:tblPr>
        <w:tblW w:type="pct" w:w="100%"/>
        <w:tblBorders>
          <w:top w:val="single" w:color="8A0F13" w:sz="4"/>
          <w:left w:val="single" w:color="8A0F13" w:sz="4"/>
          <w:bottom w:val="single" w:color="8A0F13" w:sz="4"/>
          <w:right w:val="single" w:color="8A0F13"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8A0F13"/>
                <w:sz w:val="20"/>
                <w:szCs w:val="20"/>
              </w:rPr>
              <w:t xml:space="preserve">Ce qui ne change pas</w:t>
            </w:r>
          </w:p>
          <w:p>
            <w:r>
              <w:rPr>
                <w:sz w:val="19"/>
                <w:szCs w:val="19"/>
              </w:rPr>
              <w:t xml:space="preserve">Les trois volets partagent le même modèle de données et les mêmes contrats d'API (OpenAPI/AsyncAPI versionnés). La méthode de travail — apprendre, réaliser, présenter — et le principe "un sprint = une fonctionnalité livrée de bout en bout" restent la colonne vertébrale, avec une coordination renforcée puisque trois personnes travaillent désormais en parallèle sur des services distincts.</w:t>
            </w:r>
          </w:p>
        </w:tc>
      </w:tr>
    </w:tbl>
    <w:p>
      <w:pPr>
        <w:spacing w:after="120"/>
      </w:pPr>
    </w:p>
    <w:tbl>
      <w:tblPr>
        <w:tblW w:type="pct" w:w="100%"/>
        <w:tblBorders>
          <w:top w:val="single" w:color="8A0F13" w:sz="4"/>
          <w:left w:val="single" w:color="8A0F13" w:sz="4"/>
          <w:bottom w:val="single" w:color="8A0F13" w:sz="4"/>
          <w:right w:val="single" w:color="8A0F13"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8A0F13"/>
                <w:sz w:val="20"/>
                <w:szCs w:val="20"/>
              </w:rPr>
              <w:t xml:space="preserve">Répartition backend — précision importante</w:t>
            </w:r>
          </w:p>
          <w:p>
            <w:r>
              <w:rPr>
                <w:sz w:val="19"/>
                <w:szCs w:val="19"/>
              </w:rPr>
              <w:t xml:space="preserve">Il n'y a pas de porteur backend unique. Chaque personne développe les microservices Spring Boot dont son propre client a besoin : la personne Mobile construit IDA, CAP, MKT, FLT, EXE et NOT ; la personne Web construit la passerelle, PAY, BUR et ADM. La personne 3 ne touche à aucun de ces services : elle est intégralement dédiée à quatre modules — MAT, OPT, TRK et GEO —, consommés en API par les deux autres (détail des dépendances en Plan d'exécution §4.2).</w:t>
            </w:r>
          </w:p>
        </w:tc>
      </w:tr>
    </w:tbl>
    <w:p>
      <w:pPr>
        <w:spacing w:after="120"/>
      </w:pPr>
    </w:p>
    <w:p>
      <w:pPr>
        <w:pStyle w:val="Heading2"/>
        <w:spacing w:after="140" w:before="260"/>
      </w:pPr>
      <w:r>
        <w:rPr>
          <w:b/>
          <w:bCs/>
          <w:color w:val="8A0F13"/>
          <w:sz w:val="24"/>
          <w:szCs w:val="24"/>
        </w:rPr>
        <w:t xml:space="preserve">1.1 Les quatre ruptures de la V4, en une phrase chacune</w:t>
      </w:r>
    </w:p>
    <w:p>
      <w:pPr>
        <w:pStyle w:val="ListParagraph"/>
        <w:numPr>
          <w:ilvl w:val="0"/>
          <w:numId w:val="1"/>
        </w:numPr>
        <w:spacing w:after="80"/>
      </w:pPr>
      <w:r>
        <w:rPr>
          <w:sz w:val="20"/>
          <w:szCs w:val="20"/>
        </w:rPr>
        <w:t xml:space="preserve">Marketplace publique + paiement intégré orchestré (jamais détenu) — remplace la logique de pure infrastructure de visibilité de la v3.0.</w:t>
      </w:r>
    </w:p>
    <w:p>
      <w:pPr>
        <w:pStyle w:val="ListParagraph"/>
        <w:numPr>
          <w:ilvl w:val="0"/>
          <w:numId w:val="1"/>
        </w:numPr>
        <w:spacing w:after="80"/>
      </w:pPr>
      <w:r>
        <w:rPr>
          <w:sz w:val="20"/>
          <w:szCs w:val="20"/>
        </w:rPr>
        <w:t xml:space="preserve">Périmètre de charge complet dès le MVP : camion complet (FTL), groupage (LTL), colis — pas seulement le camion complet.</w:t>
      </w:r>
    </w:p>
    <w:p>
      <w:pPr>
        <w:pStyle w:val="ListParagraph"/>
        <w:numPr>
          <w:ilvl w:val="0"/>
          <w:numId w:val="1"/>
        </w:numPr>
        <w:spacing w:after="80"/>
      </w:pPr>
      <w:r>
        <w:rPr>
          <w:sz w:val="20"/>
          <w:szCs w:val="20"/>
        </w:rPr>
        <w:t xml:space="preserve">Le moteur de matching, de planification et d'optimisation devient un sous-système de premier rang, avec sa propre trajectoire de maturité (V0 → V3), et un porteur dédié dans l'équipe.</w:t>
      </w:r>
    </w:p>
    <w:p>
      <w:pPr>
        <w:pStyle w:val="ListParagraph"/>
        <w:numPr>
          <w:ilvl w:val="0"/>
          <w:numId w:val="1"/>
        </w:numPr>
        <w:spacing w:after="80"/>
      </w:pPr>
      <w:r>
        <w:rPr>
          <w:sz w:val="20"/>
          <w:szCs w:val="20"/>
        </w:rPr>
        <w:t xml:space="preserve">Concentration géographique sur le Cameroun (un seul axe en Phase 1), le réseau CEMAC est différé, pas abandonné.</w:t>
      </w:r>
    </w:p>
    <w:p>
      <w:pPr>
        <w:spacing w:after="120"/>
      </w:pPr>
    </w:p>
    <w:tbl>
      <w:tblPr>
        <w:tblW w:type="pct" w:w="100%"/>
        <w:tblBorders>
          <w:top w:val="single" w:color="D40F16" w:sz="4"/>
          <w:left w:val="single" w:color="D40F16" w:sz="4"/>
          <w:bottom w:val="single" w:color="D40F16" w:sz="4"/>
          <w:right w:val="single" w:color="D40F16"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D40F16"/>
                <w:sz w:val="20"/>
                <w:szCs w:val="20"/>
              </w:rPr>
              <w:t xml:space="preserve">Verrou de démarrage</w:t>
            </w:r>
          </w:p>
          <w:p>
            <w:r>
              <w:rPr>
                <w:sz w:val="19"/>
                <w:szCs w:val="19"/>
              </w:rPr>
              <w:t xml:space="preserve">Le CDC v4 maintient un principe strict hérité de la v3.0 : aucun développement de plateforme avant la levée des verrous de la Phase 0 (lettre d'intention du BGFT, lettre d'intention d'un prestataire de paiement agréé, avis juridique données personnelles, entretiens chargeurs, cartographie sécuritaire). Cette feuille de route couvre la préparation technique de l'équipe ; elle n'autorise pas à elle seule le démarrage du développement produit (cf. Plan d'exécution §9).</w:t>
            </w:r>
          </w:p>
        </w:tc>
      </w:tr>
    </w:tbl>
    <w:p>
      <w:pPr>
        <w:pStyle w:val="Heading1"/>
        <w:spacing w:after="180" w:before="360"/>
      </w:pPr>
      <w:r>
        <w:rPr>
          <w:b/>
          <w:bCs/>
          <w:color w:val="D40F16"/>
          <w:sz w:val="30"/>
          <w:szCs w:val="30"/>
        </w:rPr>
        <w:t xml:space="preserve">2. Notions déjà maîtrisées — rappel express</w:t>
      </w:r>
    </w:p>
    <w:p>
      <w:pPr>
        <w:spacing w:after="160"/>
      </w:pPr>
      <w:r>
        <w:rPr>
          <w:sz w:val="20"/>
          <w:szCs w:val="20"/>
        </w:rPr>
        <w:t xml:space="preserve">Ces notions ont déjà été pratiquées par l'équipe (cours, examens, projets antérieurs) et servent de socle direct pour la V4.</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260"/>
        <w:gridCol w:w="2520"/>
        <w:gridCol w:w="5220"/>
      </w:tblGrid>
      <w:tr>
        <w:trPr>
          <w:tblHeader/>
        </w:trPr>
        <w:tc>
          <w:tcPr>
            <w:tcW w:type="pct" w:w="14%"/>
            <w:shd w:fill="2B2B2B" w:val="clear"/>
            <w:tcMar>
              <w:top w:type="dxa" w:w="80"/>
              <w:left w:type="dxa" w:w="100"/>
              <w:bottom w:type="dxa" w:w="80"/>
              <w:right w:type="dxa" w:w="100"/>
            </w:tcMar>
            <w:vAlign w:val="center"/>
          </w:tcPr>
          <w:p>
            <w:r>
              <w:rPr>
                <w:b/>
                <w:bCs/>
                <w:color w:val="FFFFFF"/>
                <w:sz w:val="18"/>
                <w:szCs w:val="18"/>
              </w:rPr>
              <w:t xml:space="preserve">Volet</w:t>
            </w:r>
          </w:p>
        </w:tc>
        <w:tc>
          <w:tcPr>
            <w:tcW w:type="pct" w:w="28%"/>
            <w:shd w:fill="2B2B2B" w:val="clear"/>
            <w:tcMar>
              <w:top w:type="dxa" w:w="80"/>
              <w:left w:type="dxa" w:w="100"/>
              <w:bottom w:type="dxa" w:w="80"/>
              <w:right w:type="dxa" w:w="100"/>
            </w:tcMar>
            <w:vAlign w:val="center"/>
          </w:tcPr>
          <w:p>
            <w:r>
              <w:rPr>
                <w:b/>
                <w:bCs/>
                <w:color w:val="FFFFFF"/>
                <w:sz w:val="18"/>
                <w:szCs w:val="18"/>
              </w:rPr>
              <w:t xml:space="preserve">Notion</w:t>
            </w:r>
          </w:p>
        </w:tc>
        <w:tc>
          <w:tcPr>
            <w:tcW w:type="pct" w:w="58%"/>
            <w:shd w:fill="2B2B2B" w:val="clear"/>
            <w:tcMar>
              <w:top w:type="dxa" w:w="80"/>
              <w:left w:type="dxa" w:w="100"/>
              <w:bottom w:type="dxa" w:w="80"/>
              <w:right w:type="dxa" w:w="100"/>
            </w:tcMar>
            <w:vAlign w:val="center"/>
          </w:tcPr>
          <w:p>
            <w:r>
              <w:rPr>
                <w:b/>
                <w:bCs/>
                <w:color w:val="FFFFFF"/>
                <w:sz w:val="18"/>
                <w:szCs w:val="18"/>
              </w:rPr>
              <w:t xml:space="preserve">Rappel</w:t>
            </w:r>
          </w:p>
        </w:tc>
      </w:tr>
      <w:tr>
        <w:tc>
          <w:tcPr>
            <w:tcW w:type="pct" w:w="14%"/>
            <w:tcMar>
              <w:top w:type="dxa" w:w="80"/>
              <w:left w:type="dxa" w:w="100"/>
              <w:bottom w:type="dxa" w:w="80"/>
              <w:right w:type="dxa" w:w="100"/>
            </w:tcMar>
            <w:vAlign w:val="center"/>
          </w:tcPr>
          <w:p>
            <w:r>
              <w:rPr>
                <w:b w:val="false"/>
                <w:bCs w:val="false"/>
                <w:sz w:val="18"/>
                <w:szCs w:val="18"/>
              </w:rPr>
              <w:t xml:space="preserve">Mobile</w:t>
            </w:r>
          </w:p>
        </w:tc>
        <w:tc>
          <w:tcPr>
            <w:tcW w:type="pct" w:w="28%"/>
            <w:tcMar>
              <w:top w:type="dxa" w:w="80"/>
              <w:left w:type="dxa" w:w="100"/>
              <w:bottom w:type="dxa" w:w="80"/>
              <w:right w:type="dxa" w:w="100"/>
            </w:tcMar>
            <w:vAlign w:val="center"/>
          </w:tcPr>
          <w:p>
            <w:r>
              <w:rPr>
                <w:b w:val="false"/>
                <w:bCs w:val="false"/>
                <w:sz w:val="18"/>
                <w:szCs w:val="18"/>
              </w:rPr>
              <w:t xml:space="preserve">Flutter / Dart</w:t>
            </w:r>
          </w:p>
        </w:tc>
        <w:tc>
          <w:tcPr>
            <w:tcW w:type="pct" w:w="58%"/>
            <w:tcMar>
              <w:top w:type="dxa" w:w="80"/>
              <w:left w:type="dxa" w:w="100"/>
              <w:bottom w:type="dxa" w:w="80"/>
              <w:right w:type="dxa" w:w="100"/>
            </w:tcMar>
            <w:vAlign w:val="center"/>
          </w:tcPr>
          <w:p>
            <w:r>
              <w:rPr>
                <w:b w:val="false"/>
                <w:bCs w:val="false"/>
                <w:sz w:val="18"/>
                <w:szCs w:val="18"/>
              </w:rPr>
              <w:t xml:space="preserve">Widgets, arbre de composants, hot reload — base du développement mobile.</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Mobile</w:t>
            </w:r>
          </w:p>
        </w:tc>
        <w:tc>
          <w:tcPr>
            <w:tcW w:type="pct" w:w="28%"/>
            <w:shd w:fill="F5F5F5" w:val="clear"/>
            <w:tcMar>
              <w:top w:type="dxa" w:w="80"/>
              <w:left w:type="dxa" w:w="100"/>
              <w:bottom w:type="dxa" w:w="80"/>
              <w:right w:type="dxa" w:w="100"/>
            </w:tcMar>
            <w:vAlign w:val="center"/>
          </w:tcPr>
          <w:p>
            <w:r>
              <w:rPr>
                <w:b w:val="false"/>
                <w:bCs w:val="false"/>
                <w:sz w:val="18"/>
                <w:szCs w:val="18"/>
              </w:rPr>
              <w:t xml:space="preserve">Appels API REST + JWT</w:t>
            </w:r>
          </w:p>
        </w:tc>
        <w:tc>
          <w:tcPr>
            <w:tcW w:type="pct" w:w="58%"/>
            <w:shd w:fill="F5F5F5" w:val="clear"/>
            <w:tcMar>
              <w:top w:type="dxa" w:w="80"/>
              <w:left w:type="dxa" w:w="100"/>
              <w:bottom w:type="dxa" w:w="80"/>
              <w:right w:type="dxa" w:w="100"/>
            </w:tcMar>
            <w:vAlign w:val="center"/>
          </w:tcPr>
          <w:p>
            <w:r>
              <w:rPr>
                <w:b w:val="false"/>
                <w:bCs w:val="false"/>
                <w:sz w:val="18"/>
                <w:szCs w:val="18"/>
              </w:rPr>
              <w:t xml:space="preserve">Requêtes HTTP, sérialisation JSON, jeton de connexion stocké et joint aux requêtes.</w:t>
            </w:r>
          </w:p>
        </w:tc>
      </w:tr>
      <w:tr>
        <w:tc>
          <w:tcPr>
            <w:tcW w:type="pct" w:w="14%"/>
            <w:tcMar>
              <w:top w:type="dxa" w:w="80"/>
              <w:left w:type="dxa" w:w="100"/>
              <w:bottom w:type="dxa" w:w="80"/>
              <w:right w:type="dxa" w:w="100"/>
            </w:tcMar>
            <w:vAlign w:val="center"/>
          </w:tcPr>
          <w:p>
            <w:r>
              <w:rPr>
                <w:b w:val="false"/>
                <w:bCs w:val="false"/>
                <w:sz w:val="18"/>
                <w:szCs w:val="18"/>
              </w:rPr>
              <w:t xml:space="preserve">Mobile</w:t>
            </w:r>
          </w:p>
        </w:tc>
        <w:tc>
          <w:tcPr>
            <w:tcW w:type="pct" w:w="28%"/>
            <w:tcMar>
              <w:top w:type="dxa" w:w="80"/>
              <w:left w:type="dxa" w:w="100"/>
              <w:bottom w:type="dxa" w:w="80"/>
              <w:right w:type="dxa" w:w="100"/>
            </w:tcMar>
            <w:vAlign w:val="center"/>
          </w:tcPr>
          <w:p>
            <w:r>
              <w:rPr>
                <w:b w:val="false"/>
                <w:bCs w:val="false"/>
                <w:sz w:val="18"/>
                <w:szCs w:val="18"/>
              </w:rPr>
              <w:t xml:space="preserve">Navigation entre écrans</w:t>
            </w:r>
          </w:p>
        </w:tc>
        <w:tc>
          <w:tcPr>
            <w:tcW w:type="pct" w:w="58%"/>
            <w:tcMar>
              <w:top w:type="dxa" w:w="80"/>
              <w:left w:type="dxa" w:w="100"/>
              <w:bottom w:type="dxa" w:w="80"/>
              <w:right w:type="dxa" w:w="100"/>
            </w:tcMar>
            <w:vAlign w:val="center"/>
          </w:tcPr>
          <w:p>
            <w:r>
              <w:rPr>
                <w:b w:val="false"/>
                <w:bCs w:val="false"/>
                <w:sz w:val="18"/>
                <w:szCs w:val="18"/>
              </w:rPr>
              <w:t xml:space="preserve">Navigator, routes nommées, transmission de données entre écrans.</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Backend</w:t>
            </w:r>
          </w:p>
        </w:tc>
        <w:tc>
          <w:tcPr>
            <w:tcW w:type="pct" w:w="28%"/>
            <w:shd w:fill="F5F5F5" w:val="clear"/>
            <w:tcMar>
              <w:top w:type="dxa" w:w="80"/>
              <w:left w:type="dxa" w:w="100"/>
              <w:bottom w:type="dxa" w:w="80"/>
              <w:right w:type="dxa" w:w="100"/>
            </w:tcMar>
            <w:vAlign w:val="center"/>
          </w:tcPr>
          <w:p>
            <w:r>
              <w:rPr>
                <w:b w:val="false"/>
                <w:bCs w:val="false"/>
                <w:sz w:val="18"/>
                <w:szCs w:val="18"/>
              </w:rPr>
              <w:t xml:space="preserve">Spring Boot / JPA</w:t>
            </w:r>
          </w:p>
        </w:tc>
        <w:tc>
          <w:tcPr>
            <w:tcW w:type="pct" w:w="58%"/>
            <w:shd w:fill="F5F5F5" w:val="clear"/>
            <w:tcMar>
              <w:top w:type="dxa" w:w="80"/>
              <w:left w:type="dxa" w:w="100"/>
              <w:bottom w:type="dxa" w:w="80"/>
              <w:right w:type="dxa" w:w="100"/>
            </w:tcMar>
            <w:vAlign w:val="center"/>
          </w:tcPr>
          <w:p>
            <w:r>
              <w:rPr>
                <w:b w:val="false"/>
                <w:bCs w:val="false"/>
                <w:sz w:val="18"/>
                <w:szCs w:val="18"/>
              </w:rPr>
              <w:t xml:space="preserve">Entités, repositories, méthodes de façade — pratiqué lors de l'examen Spring Boot/JPA.</w:t>
            </w:r>
          </w:p>
        </w:tc>
      </w:tr>
      <w:tr>
        <w:tc>
          <w:tcPr>
            <w:tcW w:type="pct" w:w="14%"/>
            <w:tcMar>
              <w:top w:type="dxa" w:w="80"/>
              <w:left w:type="dxa" w:w="100"/>
              <w:bottom w:type="dxa" w:w="80"/>
              <w:right w:type="dxa" w:w="100"/>
            </w:tcMar>
            <w:vAlign w:val="center"/>
          </w:tcPr>
          <w:p>
            <w:r>
              <w:rPr>
                <w:b w:val="false"/>
                <w:bCs w:val="false"/>
                <w:sz w:val="18"/>
                <w:szCs w:val="18"/>
              </w:rPr>
              <w:t xml:space="preserve">Backend</w:t>
            </w:r>
          </w:p>
        </w:tc>
        <w:tc>
          <w:tcPr>
            <w:tcW w:type="pct" w:w="28%"/>
            <w:tcMar>
              <w:top w:type="dxa" w:w="80"/>
              <w:left w:type="dxa" w:w="100"/>
              <w:bottom w:type="dxa" w:w="80"/>
              <w:right w:type="dxa" w:w="100"/>
            </w:tcMar>
            <w:vAlign w:val="center"/>
          </w:tcPr>
          <w:p>
            <w:r>
              <w:rPr>
                <w:b w:val="false"/>
                <w:bCs w:val="false"/>
                <w:sz w:val="18"/>
                <w:szCs w:val="18"/>
              </w:rPr>
              <w:t xml:space="preserve">Modélisation de données relationnelle</w:t>
            </w:r>
          </w:p>
        </w:tc>
        <w:tc>
          <w:tcPr>
            <w:tcW w:type="pct" w:w="58%"/>
            <w:tcMar>
              <w:top w:type="dxa" w:w="80"/>
              <w:left w:type="dxa" w:w="100"/>
              <w:bottom w:type="dxa" w:w="80"/>
              <w:right w:type="dxa" w:w="100"/>
            </w:tcMar>
            <w:vAlign w:val="center"/>
          </w:tcPr>
          <w:p>
            <w:r>
              <w:rPr>
                <w:b w:val="false"/>
                <w:bCs w:val="false"/>
                <w:sz w:val="18"/>
                <w:szCs w:val="18"/>
              </w:rPr>
              <w:t xml:space="preserve">Conception d'entités et de relations, cohérent avec le §13 du CDC v4 (modèle de données).</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Backend</w:t>
            </w:r>
          </w:p>
        </w:tc>
        <w:tc>
          <w:tcPr>
            <w:tcW w:type="pct" w:w="28%"/>
            <w:shd w:fill="F5F5F5" w:val="clear"/>
            <w:tcMar>
              <w:top w:type="dxa" w:w="80"/>
              <w:left w:type="dxa" w:w="100"/>
              <w:bottom w:type="dxa" w:w="80"/>
              <w:right w:type="dxa" w:w="100"/>
            </w:tcMar>
            <w:vAlign w:val="center"/>
          </w:tcPr>
          <w:p>
            <w:r>
              <w:rPr>
                <w:b w:val="false"/>
                <w:bCs w:val="false"/>
                <w:sz w:val="18"/>
                <w:szCs w:val="18"/>
              </w:rPr>
              <w:t xml:space="preserve">Java réseau (RMI, sockets)</w:t>
            </w:r>
          </w:p>
        </w:tc>
        <w:tc>
          <w:tcPr>
            <w:tcW w:type="pct" w:w="58%"/>
            <w:shd w:fill="F5F5F5" w:val="clear"/>
            <w:tcMar>
              <w:top w:type="dxa" w:w="80"/>
              <w:left w:type="dxa" w:w="100"/>
              <w:bottom w:type="dxa" w:w="80"/>
              <w:right w:type="dxa" w:w="100"/>
            </w:tcMar>
            <w:vAlign w:val="center"/>
          </w:tcPr>
          <w:p>
            <w:r>
              <w:rPr>
                <w:b w:val="false"/>
                <w:bCs w:val="false"/>
                <w:sz w:val="18"/>
                <w:szCs w:val="18"/>
              </w:rPr>
              <w:t xml:space="preserve">Communication client-serveur, utile pour comprendre les échanges API/événements.</w:t>
            </w:r>
          </w:p>
        </w:tc>
      </w:tr>
      <w:tr>
        <w:tc>
          <w:tcPr>
            <w:tcW w:type="pct" w:w="14%"/>
            <w:tcMar>
              <w:top w:type="dxa" w:w="80"/>
              <w:left w:type="dxa" w:w="100"/>
              <w:bottom w:type="dxa" w:w="80"/>
              <w:right w:type="dxa" w:w="100"/>
            </w:tcMar>
            <w:vAlign w:val="center"/>
          </w:tcPr>
          <w:p>
            <w:r>
              <w:rPr>
                <w:b w:val="false"/>
                <w:bCs w:val="false"/>
                <w:sz w:val="18"/>
                <w:szCs w:val="18"/>
              </w:rPr>
              <w:t xml:space="preserve">Web</w:t>
            </w:r>
          </w:p>
        </w:tc>
        <w:tc>
          <w:tcPr>
            <w:tcW w:type="pct" w:w="28%"/>
            <w:tcMar>
              <w:top w:type="dxa" w:w="80"/>
              <w:left w:type="dxa" w:w="100"/>
              <w:bottom w:type="dxa" w:w="80"/>
              <w:right w:type="dxa" w:w="100"/>
            </w:tcMar>
            <w:vAlign w:val="center"/>
          </w:tcPr>
          <w:p>
            <w:r>
              <w:rPr>
                <w:b w:val="false"/>
                <w:bCs w:val="false"/>
                <w:sz w:val="18"/>
                <w:szCs w:val="18"/>
              </w:rPr>
              <w:t xml:space="preserve">HTML / CSS / déploiement</w:t>
            </w:r>
          </w:p>
        </w:tc>
        <w:tc>
          <w:tcPr>
            <w:tcW w:type="pct" w:w="58%"/>
            <w:tcMar>
              <w:top w:type="dxa" w:w="80"/>
              <w:left w:type="dxa" w:w="100"/>
              <w:bottom w:type="dxa" w:w="80"/>
              <w:right w:type="dxa" w:w="100"/>
            </w:tcMar>
            <w:vAlign w:val="center"/>
          </w:tcPr>
          <w:p>
            <w:r>
              <w:rPr>
                <w:b w:val="false"/>
                <w:bCs w:val="false"/>
                <w:sz w:val="18"/>
                <w:szCs w:val="18"/>
              </w:rPr>
              <w:t xml:space="preserve">Bases utiles pour Angular/PWA ; résolution de conflits d'assets déjà pratiquée.</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Transversal</w:t>
            </w:r>
          </w:p>
        </w:tc>
        <w:tc>
          <w:tcPr>
            <w:tcW w:type="pct" w:w="28%"/>
            <w:shd w:fill="F5F5F5" w:val="clear"/>
            <w:tcMar>
              <w:top w:type="dxa" w:w="80"/>
              <w:left w:type="dxa" w:w="100"/>
              <w:bottom w:type="dxa" w:w="80"/>
              <w:right w:type="dxa" w:w="100"/>
            </w:tcMar>
            <w:vAlign w:val="center"/>
          </w:tcPr>
          <w:p>
            <w:r>
              <w:rPr>
                <w:b w:val="false"/>
                <w:bCs w:val="false"/>
                <w:sz w:val="18"/>
                <w:szCs w:val="18"/>
              </w:rPr>
              <w:t xml:space="preserve">UML (14 diagrammes) + Agile/Scrum</w:t>
            </w:r>
          </w:p>
        </w:tc>
        <w:tc>
          <w:tcPr>
            <w:tcW w:type="pct" w:w="58%"/>
            <w:shd w:fill="F5F5F5" w:val="clear"/>
            <w:tcMar>
              <w:top w:type="dxa" w:w="80"/>
              <w:left w:type="dxa" w:w="100"/>
              <w:bottom w:type="dxa" w:w="80"/>
              <w:right w:type="dxa" w:w="100"/>
            </w:tcMar>
            <w:vAlign w:val="center"/>
          </w:tcPr>
          <w:p>
            <w:r>
              <w:rPr>
                <w:b w:val="false"/>
                <w:bCs w:val="false"/>
                <w:sz w:val="18"/>
                <w:szCs w:val="18"/>
              </w:rPr>
              <w:t xml:space="preserve">Modélisation et méthode de travail en sprints, directement applicables — désormais avec 3 flux parallèles à synchroniser.</w:t>
            </w:r>
          </w:p>
        </w:tc>
      </w:tr>
    </w:tbl>
    <w:p>
      <w:r>
        <w:br w:type="page"/>
      </w:r>
    </w:p>
    <w:p>
      <w:pPr>
        <w:pStyle w:val="Heading1"/>
        <w:spacing w:after="180" w:before="360"/>
      </w:pPr>
      <w:r>
        <w:rPr>
          <w:b/>
          <w:bCs/>
          <w:color w:val="D40F16"/>
          <w:sz w:val="30"/>
          <w:szCs w:val="30"/>
        </w:rPr>
        <w:t xml:space="preserve">3. Notions à apprendre — par volet, priorisées</w:t>
      </w:r>
    </w:p>
    <w:p>
      <w:pPr>
        <w:spacing w:after="160"/>
      </w:pPr>
      <w:r>
        <w:rPr>
          <w:sz w:val="20"/>
          <w:szCs w:val="20"/>
        </w:rPr>
        <w:t xml:space="preserve">Priorités : 🔴 haute · 🟡 moyenne · 🟢 normale. On avance notion par notion : à chaque notion maîtrisée, un support de présentation est préparé (cf. §5).</w:t>
      </w:r>
    </w:p>
    <w:p>
      <w:pPr>
        <w:pStyle w:val="Heading2"/>
        <w:spacing w:after="140" w:before="260"/>
      </w:pPr>
      <w:r>
        <w:rPr>
          <w:b/>
          <w:bCs/>
          <w:color w:val="8A0F13"/>
          <w:sz w:val="24"/>
          <w:szCs w:val="24"/>
        </w:rPr>
        <w:t xml:space="preserve">3.1 Mobile (Flutter) + API associées — Personne 1</w:t>
      </w:r>
    </w:p>
    <w:p>
      <w:pPr>
        <w:spacing w:after="160"/>
      </w:pPr>
      <w:r>
        <w:rPr>
          <w:sz w:val="20"/>
          <w:szCs w:val="20"/>
        </w:rPr>
        <w:t xml:space="preserve">Ce volet couvre les deux apps Flutter et les microservices Spring Boot qu'elles consomment directement (IDA, CAP, MKT, FLT, EXE, NOT). Les notions Spring Boot génériques (architecture microservices, Gateway, Kafka, PostGIS) sont détaillées en §3.2 pour éviter la répétition ; elles s'appliquent aux deux personnes qui construisent des microservices.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900"/>
        <w:gridCol w:w="2880"/>
        <w:gridCol w:w="5220"/>
      </w:tblGrid>
      <w:tr>
        <w:trPr>
          <w:tblHeader/>
        </w:trPr>
        <w:tc>
          <w:tcPr>
            <w:tcW w:type="pct" w:w="10%"/>
            <w:shd w:fill="2B2B2B" w:val="clear"/>
            <w:tcMar>
              <w:top w:type="dxa" w:w="80"/>
              <w:left w:type="dxa" w:w="100"/>
              <w:bottom w:type="dxa" w:w="80"/>
              <w:right w:type="dxa" w:w="100"/>
            </w:tcMar>
            <w:vAlign w:val="center"/>
          </w:tcPr>
          <w:p>
            <w:r>
              <w:rPr>
                <w:b/>
                <w:bCs/>
                <w:color w:val="FFFFFF"/>
                <w:sz w:val="18"/>
                <w:szCs w:val="18"/>
              </w:rPr>
              <w:t xml:space="preserve">Priorité</w:t>
            </w:r>
          </w:p>
        </w:tc>
        <w:tc>
          <w:tcPr>
            <w:tcW w:type="pct" w:w="32%"/>
            <w:shd w:fill="2B2B2B" w:val="clear"/>
            <w:tcMar>
              <w:top w:type="dxa" w:w="80"/>
              <w:left w:type="dxa" w:w="100"/>
              <w:bottom w:type="dxa" w:w="80"/>
              <w:right w:type="dxa" w:w="100"/>
            </w:tcMar>
            <w:vAlign w:val="center"/>
          </w:tcPr>
          <w:p>
            <w:r>
              <w:rPr>
                <w:b/>
                <w:bCs/>
                <w:color w:val="FFFFFF"/>
                <w:sz w:val="18"/>
                <w:szCs w:val="18"/>
              </w:rPr>
              <w:t xml:space="preserve">Notion</w:t>
            </w:r>
          </w:p>
        </w:tc>
        <w:tc>
          <w:tcPr>
            <w:tcW w:type="pct" w:w="58%"/>
            <w:shd w:fill="2B2B2B" w:val="clear"/>
            <w:tcMar>
              <w:top w:type="dxa" w:w="80"/>
              <w:left w:type="dxa" w:w="100"/>
              <w:bottom w:type="dxa" w:w="80"/>
              <w:right w:type="dxa" w:w="100"/>
            </w:tcMar>
            <w:vAlign w:val="center"/>
          </w:tcPr>
          <w:p>
            <w:r>
              <w:rPr>
                <w:b/>
                <w:bCs/>
                <w:color w:val="FFFFFF"/>
                <w:sz w:val="18"/>
                <w:szCs w:val="18"/>
              </w:rPr>
              <w:t xml:space="preserve">Pourquoi (contexte V4)</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State management (Riverpod / BLoC)</w:t>
            </w:r>
          </w:p>
        </w:tc>
        <w:tc>
          <w:tcPr>
            <w:tcW w:type="pct" w:w="58%"/>
            <w:tcMar>
              <w:top w:type="dxa" w:w="80"/>
              <w:left w:type="dxa" w:w="100"/>
              <w:bottom w:type="dxa" w:w="80"/>
              <w:right w:type="dxa" w:w="100"/>
            </w:tcMar>
            <w:vAlign w:val="center"/>
          </w:tcPr>
          <w:p>
            <w:r>
              <w:rPr>
                <w:b w:val="false"/>
                <w:bCs w:val="false"/>
                <w:sz w:val="18"/>
                <w:szCs w:val="18"/>
              </w:rPr>
              <w:t xml:space="preserve">Gérer l'état global sur deux apps distinctes qui partagent des packages communs (auth, design system, client API).</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Offline-first + synchronisation idempotente</w:t>
            </w:r>
          </w:p>
        </w:tc>
        <w:tc>
          <w:tcPr>
            <w:tcW w:type="pct" w:w="58%"/>
            <w:shd w:fill="F5F5F5" w:val="clear"/>
            <w:tcMar>
              <w:top w:type="dxa" w:w="80"/>
              <w:left w:type="dxa" w:w="100"/>
              <w:bottom w:type="dxa" w:w="80"/>
              <w:right w:type="dxa" w:w="100"/>
            </w:tcMar>
            <w:vAlign w:val="center"/>
          </w:tcPr>
          <w:p>
            <w:r>
              <w:rPr>
                <w:b w:val="false"/>
                <w:bCs w:val="false"/>
                <w:sz w:val="18"/>
                <w:szCs w:val="18"/>
              </w:rPr>
              <w:t xml:space="preserve">L'app chauffeur doit fonctionner intégralement hors ligne pour toutes les actions opérationnelles (EF-EXE-01) — 30 à 50 % de l'effort d'interface selon le CDC.</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Capture GPS en arrière-plan (FLT)</w:t>
            </w:r>
          </w:p>
        </w:tc>
        <w:tc>
          <w:tcPr>
            <w:tcW w:type="pct" w:w="58%"/>
            <w:tcMar>
              <w:top w:type="dxa" w:w="80"/>
              <w:left w:type="dxa" w:w="100"/>
              <w:bottom w:type="dxa" w:w="80"/>
              <w:right w:type="dxa" w:w="100"/>
            </w:tcMar>
            <w:vAlign w:val="center"/>
          </w:tcPr>
          <w:p>
            <w:r>
              <w:rPr>
                <w:b w:val="false"/>
                <w:bCs w:val="false"/>
                <w:sz w:val="18"/>
                <w:szCs w:val="18"/>
              </w:rPr>
              <w:t xml:space="preserve">Suivi continu du camion même app fermée ; l'app capture et transmet la position brute (module FLT), le calcul d'ETA et la détection d'anomalies sont traités côté Moteur (module TRK, cf. §3.3).</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Déclaration dimensionnelle graduée (N1→N5)</w:t>
            </w:r>
          </w:p>
        </w:tc>
        <w:tc>
          <w:tcPr>
            <w:tcW w:type="pct" w:w="58%"/>
            <w:shd w:fill="F5F5F5" w:val="clear"/>
            <w:tcMar>
              <w:top w:type="dxa" w:w="80"/>
              <w:left w:type="dxa" w:w="100"/>
              <w:bottom w:type="dxa" w:w="80"/>
              <w:right w:type="dxa" w:w="100"/>
            </w:tcMar>
            <w:vAlign w:val="center"/>
          </w:tcPr>
          <w:p>
            <w:r>
              <w:rPr>
                <w:b w:val="false"/>
                <w:bCs w:val="false"/>
                <w:sz w:val="18"/>
                <w:szCs w:val="18"/>
              </w:rPr>
              <w:t xml:space="preserve">Parcours catalogue d'emballages → comparaison → photo → saisie précise → mesure à l'enlèvement (§11.3 du CDC) : le point de conception le plus difficile du produit.</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Mode Agent intégré à l'app Chauffeur/Transporteur</w:t>
            </w:r>
          </w:p>
        </w:tc>
        <w:tc>
          <w:tcPr>
            <w:tcW w:type="pct" w:w="58%"/>
            <w:tcMar>
              <w:top w:type="dxa" w:w="80"/>
              <w:left w:type="dxa" w:w="100"/>
              <w:bottom w:type="dxa" w:w="80"/>
              <w:right w:type="dxa" w:w="100"/>
            </w:tcMar>
            <w:vAlign w:val="center"/>
          </w:tcPr>
          <w:p>
            <w:r>
              <w:rPr>
                <w:b w:val="false"/>
                <w:bCs w:val="false"/>
                <w:sz w:val="18"/>
                <w:szCs w:val="18"/>
              </w:rPr>
              <w:t xml:space="preserve">L'enrôlement terrain (KYC, vérification de pièces) devient un mode dans la même app plutôt qu'une app séparée — économie d'un troisième client mobile.</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Preuves immuables (photo + empreinte cryptographique)</w:t>
            </w:r>
          </w:p>
        </w:tc>
        <w:tc>
          <w:tcPr>
            <w:tcW w:type="pct" w:w="58%"/>
            <w:shd w:fill="F5F5F5" w:val="clear"/>
            <w:tcMar>
              <w:top w:type="dxa" w:w="80"/>
              <w:left w:type="dxa" w:w="100"/>
              <w:bottom w:type="dxa" w:w="80"/>
              <w:right w:type="dxa" w:w="100"/>
            </w:tcMar>
            <w:vAlign w:val="center"/>
          </w:tcPr>
          <w:p>
            <w:r>
              <w:rPr>
                <w:b w:val="false"/>
                <w:bCs w:val="false"/>
                <w:sz w:val="18"/>
                <w:szCs w:val="18"/>
              </w:rPr>
              <w:t xml:space="preserve">Horodatage de capture distinct de l'horodatage de transmission, stockage à empreinte (EF-EXE-04/05).</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Notifications push (FCM) + repli multicanal</w:t>
            </w:r>
          </w:p>
        </w:tc>
        <w:tc>
          <w:tcPr>
            <w:tcW w:type="pct" w:w="58%"/>
            <w:tcMar>
              <w:top w:type="dxa" w:w="80"/>
              <w:left w:type="dxa" w:w="100"/>
              <w:bottom w:type="dxa" w:w="80"/>
              <w:right w:type="dxa" w:w="100"/>
            </w:tcMar>
            <w:vAlign w:val="center"/>
          </w:tcPr>
          <w:p>
            <w:r>
              <w:rPr>
                <w:b w:val="false"/>
                <w:bCs w:val="false"/>
                <w:sz w:val="18"/>
                <w:szCs w:val="18"/>
              </w:rPr>
              <w:t xml:space="preserve">Alertes de mission, anomalies, confirmations ; le mobile doit gérer le repli WhatsApp/SMS/USSD annoncé par le backend.</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Multi-tenant / configuration par axe</w:t>
            </w:r>
          </w:p>
        </w:tc>
        <w:tc>
          <w:tcPr>
            <w:tcW w:type="pct" w:w="58%"/>
            <w:shd w:fill="F5F5F5" w:val="clear"/>
            <w:tcMar>
              <w:top w:type="dxa" w:w="80"/>
              <w:left w:type="dxa" w:w="100"/>
              <w:bottom w:type="dxa" w:w="80"/>
              <w:right w:type="dxa" w:w="100"/>
            </w:tcMar>
            <w:vAlign w:val="center"/>
          </w:tcPr>
          <w:p>
            <w:r>
              <w:rPr>
                <w:b w:val="false"/>
                <w:bCs w:val="false"/>
                <w:sz w:val="18"/>
                <w:szCs w:val="18"/>
              </w:rPr>
              <w:t xml:space="preserve">Adapter règles et UI selon l'axe activé (visibilité / matching / paiement actifs indépendamment).</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Paiement dans l'app (côté client)</w:t>
            </w:r>
          </w:p>
        </w:tc>
        <w:tc>
          <w:tcPr>
            <w:tcW w:type="pct" w:w="58%"/>
            <w:tcMar>
              <w:top w:type="dxa" w:w="80"/>
              <w:left w:type="dxa" w:w="100"/>
              <w:bottom w:type="dxa" w:w="80"/>
              <w:right w:type="dxa" w:w="100"/>
            </w:tcMar>
            <w:vAlign w:val="center"/>
          </w:tcPr>
          <w:p>
            <w:r>
              <w:rPr>
                <w:b w:val="false"/>
                <w:bCs w:val="false"/>
                <w:sz w:val="18"/>
                <w:szCs w:val="18"/>
              </w:rPr>
              <w:t xml:space="preserve">Écran de paiement orchestré vers le prestataire agréé — jamais de détention de fonds côté app.</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Accessibilité vocale (EUX / ENF-A11Y-02)</w:t>
            </w:r>
          </w:p>
        </w:tc>
        <w:tc>
          <w:tcPr>
            <w:tcW w:type="pct" w:w="58%"/>
            <w:shd w:fill="F5F5F5" w:val="clear"/>
            <w:tcMar>
              <w:top w:type="dxa" w:w="80"/>
              <w:left w:type="dxa" w:w="100"/>
              <w:bottom w:type="dxa" w:w="80"/>
              <w:right w:type="dxa" w:w="100"/>
            </w:tcMar>
            <w:vAlign w:val="center"/>
          </w:tcPr>
          <w:p>
            <w:r>
              <w:rPr>
                <w:b w:val="false"/>
                <w:bCs w:val="false"/>
                <w:sz w:val="18"/>
                <w:szCs w:val="18"/>
              </w:rPr>
              <w:t xml:space="preserve">Assistance vocale par écran, littératie variable des utilisateurs.</w:t>
            </w:r>
          </w:p>
        </w:tc>
      </w:tr>
    </w:tbl>
    <w:p>
      <w:pPr>
        <w:pStyle w:val="Heading2"/>
        <w:spacing w:after="140" w:before="260"/>
      </w:pPr>
      <w:r>
        <w:rPr>
          <w:b/>
          <w:bCs/>
          <w:color w:val="8A0F13"/>
          <w:sz w:val="24"/>
          <w:szCs w:val="24"/>
        </w:rPr>
        <w:t xml:space="preserve">3.2 Backend commun (Spring Boot, microservices) — Personnes 1 et 2</w:t>
      </w:r>
    </w:p>
    <w:p>
      <w:pPr>
        <w:spacing w:after="160"/>
      </w:pPr>
      <w:r>
        <w:rPr>
          <w:sz w:val="20"/>
          <w:szCs w:val="20"/>
        </w:rPr>
        <w:t xml:space="preserve">Ce socle est partagé : la personne Mobile et la personne Web construisent chacune leurs propres microservices (cf. §3.1 et §3.4), mais s'appuient sur les mêmes notions Spring Boot / microservices. Il est présenté une seule fois ici pour éviter la répétition.</w:t>
      </w:r>
    </w:p>
    <w:p>
      <w:pPr>
        <w:pStyle w:val="Heading3"/>
        <w:spacing w:after="100" w:before="200"/>
      </w:pPr>
      <w:r>
        <w:rPr>
          <w:b/>
          <w:bCs/>
          <w:color w:val="2B2B2B"/>
          <w:sz w:val="21"/>
          <w:szCs w:val="21"/>
        </w:rPr>
        <w:t xml:space="preserve">Socle backend générique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900"/>
        <w:gridCol w:w="2880"/>
        <w:gridCol w:w="5220"/>
      </w:tblGrid>
      <w:tr>
        <w:trPr>
          <w:tblHeader/>
        </w:trPr>
        <w:tc>
          <w:tcPr>
            <w:tcW w:type="pct" w:w="10%"/>
            <w:shd w:fill="2B2B2B" w:val="clear"/>
            <w:tcMar>
              <w:top w:type="dxa" w:w="80"/>
              <w:left w:type="dxa" w:w="100"/>
              <w:bottom w:type="dxa" w:w="80"/>
              <w:right w:type="dxa" w:w="100"/>
            </w:tcMar>
            <w:vAlign w:val="center"/>
          </w:tcPr>
          <w:p>
            <w:r>
              <w:rPr>
                <w:b/>
                <w:bCs/>
                <w:color w:val="FFFFFF"/>
                <w:sz w:val="18"/>
                <w:szCs w:val="18"/>
              </w:rPr>
              <w:t xml:space="preserve">Priorité</w:t>
            </w:r>
          </w:p>
        </w:tc>
        <w:tc>
          <w:tcPr>
            <w:tcW w:type="pct" w:w="32%"/>
            <w:shd w:fill="2B2B2B" w:val="clear"/>
            <w:tcMar>
              <w:top w:type="dxa" w:w="80"/>
              <w:left w:type="dxa" w:w="100"/>
              <w:bottom w:type="dxa" w:w="80"/>
              <w:right w:type="dxa" w:w="100"/>
            </w:tcMar>
            <w:vAlign w:val="center"/>
          </w:tcPr>
          <w:p>
            <w:r>
              <w:rPr>
                <w:b/>
                <w:bCs/>
                <w:color w:val="FFFFFF"/>
                <w:sz w:val="18"/>
                <w:szCs w:val="18"/>
              </w:rPr>
              <w:t xml:space="preserve">Notion</w:t>
            </w:r>
          </w:p>
        </w:tc>
        <w:tc>
          <w:tcPr>
            <w:tcW w:type="pct" w:w="58%"/>
            <w:shd w:fill="2B2B2B" w:val="clear"/>
            <w:tcMar>
              <w:top w:type="dxa" w:w="80"/>
              <w:left w:type="dxa" w:w="100"/>
              <w:bottom w:type="dxa" w:w="80"/>
              <w:right w:type="dxa" w:w="100"/>
            </w:tcMar>
            <w:vAlign w:val="center"/>
          </w:tcPr>
          <w:p>
            <w:r>
              <w:rPr>
                <w:b/>
                <w:bCs/>
                <w:color w:val="FFFFFF"/>
                <w:sz w:val="18"/>
                <w:szCs w:val="18"/>
              </w:rPr>
              <w:t xml:space="preserve">Pourquoi</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Architecture microservices avec Spring Boot</w:t>
            </w:r>
          </w:p>
        </w:tc>
        <w:tc>
          <w:tcPr>
            <w:tcW w:type="pct" w:w="58%"/>
            <w:tcMar>
              <w:top w:type="dxa" w:w="80"/>
              <w:left w:type="dxa" w:w="100"/>
              <w:bottom w:type="dxa" w:w="80"/>
              <w:right w:type="dxa" w:w="100"/>
            </w:tcMar>
            <w:vAlign w:val="center"/>
          </w:tcPr>
          <w:p>
            <w:r>
              <w:rPr>
                <w:b w:val="false"/>
                <w:bCs w:val="false"/>
                <w:sz w:val="18"/>
                <w:szCs w:val="18"/>
              </w:rPr>
              <w:t xml:space="preserve">Découpage en services découplés (§6.2 du CDC), communication par bus d'événements — remplace le monolithe Go initialement suggéré par le CDC.</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Spring Cloud Gateway + résolution multi-tenant</w:t>
            </w:r>
          </w:p>
        </w:tc>
        <w:tc>
          <w:tcPr>
            <w:tcW w:type="pct" w:w="58%"/>
            <w:shd w:fill="F5F5F5" w:val="clear"/>
            <w:tcMar>
              <w:top w:type="dxa" w:w="80"/>
              <w:left w:type="dxa" w:w="100"/>
              <w:bottom w:type="dxa" w:w="80"/>
              <w:right w:type="dxa" w:w="100"/>
            </w:tcMar>
            <w:vAlign w:val="center"/>
          </w:tcPr>
          <w:p>
            <w:r>
              <w:rPr>
                <w:b w:val="false"/>
                <w:bCs w:val="false"/>
                <w:sz w:val="18"/>
                <w:szCs w:val="18"/>
              </w:rPr>
              <w:t xml:space="preserve">Passerelle unique, authentification JWT, routage par client, limitation de débit.</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Kafka (bus d'événements)</w:t>
            </w:r>
          </w:p>
        </w:tc>
        <w:tc>
          <w:tcPr>
            <w:tcW w:type="pct" w:w="58%"/>
            <w:tcMar>
              <w:top w:type="dxa" w:w="80"/>
              <w:left w:type="dxa" w:w="100"/>
              <w:bottom w:type="dxa" w:w="80"/>
              <w:right w:type="dxa" w:w="100"/>
            </w:tcMar>
            <w:vAlign w:val="center"/>
          </w:tcPr>
          <w:p>
            <w:r>
              <w:rPr>
                <w:b w:val="false"/>
                <w:bCs w:val="false"/>
                <w:sz w:val="18"/>
                <w:szCs w:val="18"/>
              </w:rPr>
              <w:t xml:space="preserve">Découplage entre services, rejouabilité, construction naturelle du journal d'audit (ENF-SEC-02).</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PostgreSQL + PostGIS</w:t>
            </w:r>
          </w:p>
        </w:tc>
        <w:tc>
          <w:tcPr>
            <w:tcW w:type="pct" w:w="58%"/>
            <w:shd w:fill="F5F5F5" w:val="clear"/>
            <w:tcMar>
              <w:top w:type="dxa" w:w="80"/>
              <w:left w:type="dxa" w:w="100"/>
              <w:bottom w:type="dxa" w:w="80"/>
              <w:right w:type="dxa" w:w="100"/>
            </w:tcMar>
            <w:vAlign w:val="center"/>
          </w:tcPr>
          <w:p>
            <w:r>
              <w:rPr>
                <w:b w:val="false"/>
                <w:bCs w:val="false"/>
                <w:sz w:val="18"/>
                <w:szCs w:val="18"/>
              </w:rPr>
              <w:t xml:space="preserve">Requêtes géospatiales natives, transactions fortes pour le grand livre et la réservation atomique de capacité.</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Architecture hexagonale par service</w:t>
            </w:r>
          </w:p>
        </w:tc>
        <w:tc>
          <w:tcPr>
            <w:tcW w:type="pct" w:w="58%"/>
            <w:tcMar>
              <w:top w:type="dxa" w:w="80"/>
              <w:left w:type="dxa" w:w="100"/>
              <w:bottom w:type="dxa" w:w="80"/>
              <w:right w:type="dxa" w:w="100"/>
            </w:tcMar>
            <w:vAlign w:val="center"/>
          </w:tcPr>
          <w:p>
            <w:r>
              <w:rPr>
                <w:b w:val="false"/>
                <w:bCs w:val="false"/>
                <w:sz w:val="18"/>
                <w:szCs w:val="18"/>
              </w:rPr>
              <w:t xml:space="preserve">Le domaine ne dépend d'aucune infrastructure — condition pour que le contrôle ENF-FIN-01 (aucune écriture de trésorerie côté FretCorridor) soit testable automatiquement.</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Idempotence &amp; signatures de webhooks</w:t>
            </w:r>
          </w:p>
        </w:tc>
        <w:tc>
          <w:tcPr>
            <w:tcW w:type="pct" w:w="58%"/>
            <w:shd w:fill="F5F5F5" w:val="clear"/>
            <w:tcMar>
              <w:top w:type="dxa" w:w="80"/>
              <w:left w:type="dxa" w:w="100"/>
              <w:bottom w:type="dxa" w:w="80"/>
              <w:right w:type="dxa" w:w="100"/>
            </w:tcMar>
            <w:vAlign w:val="center"/>
          </w:tcPr>
          <w:p>
            <w:r>
              <w:rPr>
                <w:b w:val="false"/>
                <w:bCs w:val="false"/>
                <w:sz w:val="18"/>
                <w:szCs w:val="18"/>
              </w:rPr>
              <w:t xml:space="preserve">Éviter les doublons de missions/paiements ; vérification cryptographique des notifications du prestataire de paiement (EF-PAY-05).</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Configuration versionnée en base</w:t>
            </w:r>
          </w:p>
        </w:tc>
        <w:tc>
          <w:tcPr>
            <w:tcW w:type="pct" w:w="58%"/>
            <w:tcMar>
              <w:top w:type="dxa" w:w="80"/>
              <w:left w:type="dxa" w:w="100"/>
              <w:bottom w:type="dxa" w:w="80"/>
              <w:right w:type="dxa" w:w="100"/>
            </w:tcMar>
            <w:vAlign w:val="center"/>
          </w:tcPr>
          <w:p>
            <w:r>
              <w:rPr>
                <w:b w:val="false"/>
                <w:bCs w:val="false"/>
                <w:sz w:val="18"/>
                <w:szCs w:val="18"/>
              </w:rPr>
              <w:t xml:space="preserve">Garde-fou : aucun barème, ratio ou quota codé en dur (anti-patron explicite du CDC §12.4).</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Observabilité distribuée</w:t>
            </w:r>
          </w:p>
        </w:tc>
        <w:tc>
          <w:tcPr>
            <w:tcW w:type="pct" w:w="58%"/>
            <w:shd w:fill="F5F5F5" w:val="clear"/>
            <w:tcMar>
              <w:top w:type="dxa" w:w="80"/>
              <w:left w:type="dxa" w:w="100"/>
              <w:bottom w:type="dxa" w:w="80"/>
              <w:right w:type="dxa" w:w="100"/>
            </w:tcMar>
            <w:vAlign w:val="center"/>
          </w:tcPr>
          <w:p>
            <w:r>
              <w:rPr>
                <w:b w:val="false"/>
                <w:bCs w:val="false"/>
                <w:sz w:val="18"/>
                <w:szCs w:val="18"/>
              </w:rPr>
              <w:t xml:space="preserve">Traçage de bout en bout, métriques métier, alerting sur écarts de réconciliation et cycles dégradés du moteur.</w:t>
            </w:r>
          </w:p>
        </w:tc>
      </w:tr>
    </w:tbl>
    <w:p>
      <w:pPr>
        <w:pStyle w:val="Heading2"/>
        <w:spacing w:after="140" w:before="260"/>
      </w:pPr>
      <w:r>
        <w:rPr>
          <w:b/>
          <w:bCs/>
          <w:color w:val="8A0F13"/>
          <w:sz w:val="24"/>
          <w:szCs w:val="24"/>
        </w:rPr>
        <w:t xml:space="preserve">3.3 Moteur — MAT, OPT, TRK, GEO — Personne 3</w:t>
      </w:r>
    </w:p>
    <w:p>
      <w:pPr>
        <w:spacing w:after="160"/>
      </w:pPr>
      <w:r>
        <w:rPr>
          <w:sz w:val="20"/>
          <w:szCs w:val="20"/>
        </w:rPr>
        <w:t xml:space="preserve">Quatre modules du CDC (§6.2), aucune interface directe : tout est consommé en API par les deux autres volets. OPT et MAT sont couplés en continu et vivent dans le même contexte technique ; TRK et GEO sont plus proches de services applicatifs classiques mais restent rattachés ici parce qu'ils sont consommés en continu par OPT (zonage, itinéraires) — cf. Plan d'exécution §4.2 pour le détail des dépendances.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900"/>
        <w:gridCol w:w="2880"/>
        <w:gridCol w:w="5220"/>
      </w:tblGrid>
      <w:tr>
        <w:trPr>
          <w:tblHeader/>
        </w:trPr>
        <w:tc>
          <w:tcPr>
            <w:tcW w:type="pct" w:w="10%"/>
            <w:shd w:fill="2B2B2B" w:val="clear"/>
            <w:tcMar>
              <w:top w:type="dxa" w:w="80"/>
              <w:left w:type="dxa" w:w="100"/>
              <w:bottom w:type="dxa" w:w="80"/>
              <w:right w:type="dxa" w:w="100"/>
            </w:tcMar>
            <w:vAlign w:val="center"/>
          </w:tcPr>
          <w:p>
            <w:r>
              <w:rPr>
                <w:b/>
                <w:bCs/>
                <w:color w:val="FFFFFF"/>
                <w:sz w:val="18"/>
                <w:szCs w:val="18"/>
              </w:rPr>
              <w:t xml:space="preserve">Priorité</w:t>
            </w:r>
          </w:p>
        </w:tc>
        <w:tc>
          <w:tcPr>
            <w:tcW w:type="pct" w:w="32%"/>
            <w:shd w:fill="2B2B2B" w:val="clear"/>
            <w:tcMar>
              <w:top w:type="dxa" w:w="80"/>
              <w:left w:type="dxa" w:w="100"/>
              <w:bottom w:type="dxa" w:w="80"/>
              <w:right w:type="dxa" w:w="100"/>
            </w:tcMar>
            <w:vAlign w:val="center"/>
          </w:tcPr>
          <w:p>
            <w:r>
              <w:rPr>
                <w:b/>
                <w:bCs/>
                <w:color w:val="FFFFFF"/>
                <w:sz w:val="18"/>
                <w:szCs w:val="18"/>
              </w:rPr>
              <w:t xml:space="preserve">Notion</w:t>
            </w:r>
          </w:p>
        </w:tc>
        <w:tc>
          <w:tcPr>
            <w:tcW w:type="pct" w:w="58%"/>
            <w:shd w:fill="2B2B2B" w:val="clear"/>
            <w:tcMar>
              <w:top w:type="dxa" w:w="80"/>
              <w:left w:type="dxa" w:w="100"/>
              <w:bottom w:type="dxa" w:w="80"/>
              <w:right w:type="dxa" w:w="100"/>
            </w:tcMar>
            <w:vAlign w:val="center"/>
          </w:tcPr>
          <w:p>
            <w:r>
              <w:rPr>
                <w:b/>
                <w:bCs/>
                <w:color w:val="FFFFFF"/>
                <w:sz w:val="18"/>
                <w:szCs w:val="18"/>
              </w:rPr>
              <w:t xml:space="preserve">Pourquoi</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Recherche opérationnelle appliquée (VRP/PDPTW)</w:t>
            </w:r>
          </w:p>
        </w:tc>
        <w:tc>
          <w:tcPr>
            <w:tcW w:type="pct" w:w="58%"/>
            <w:tcMar>
              <w:top w:type="dxa" w:w="80"/>
              <w:left w:type="dxa" w:w="100"/>
              <w:bottom w:type="dxa" w:w="80"/>
              <w:right w:type="dxa" w:w="100"/>
            </w:tcMar>
            <w:vAlign w:val="center"/>
          </w:tcPr>
          <w:p>
            <w:r>
              <w:rPr>
                <w:b w:val="false"/>
                <w:bCs w:val="false"/>
                <w:sz w:val="18"/>
                <w:szCs w:val="18"/>
              </w:rPr>
              <w:t xml:space="preserve">Le problème n'est pas "quel chauffeur est le plus proche" mais "quelle combinaison de colis, sur quel camion, dans quel ordre, tient physiquement et légalement" — classe de complexité différente d'un matching Uber-like.</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Moteur V0 (OPT) : filtrage H3 + affectation par lots (Kuhn-Munkres)</w:t>
            </w:r>
          </w:p>
        </w:tc>
        <w:tc>
          <w:tcPr>
            <w:tcW w:type="pct" w:w="58%"/>
            <w:shd w:fill="F5F5F5" w:val="clear"/>
            <w:tcMar>
              <w:top w:type="dxa" w:w="80"/>
              <w:left w:type="dxa" w:w="100"/>
              <w:bottom w:type="dxa" w:w="80"/>
              <w:right w:type="dxa" w:w="100"/>
            </w:tcMar>
            <w:vAlign w:val="center"/>
          </w:tcPr>
          <w:p>
            <w:r>
              <w:rPr>
                <w:b w:val="false"/>
                <w:bCs w:val="false"/>
                <w:sz w:val="18"/>
                <w:szCs w:val="18"/>
              </w:rPr>
              <w:t xml:space="preserve">Jamais d'appariement glouton au plus proche disponible (anti-patron explicite) ; budget de latence L0 ~50 ms ; rayon d'appariement borné par axe.</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Modèle de coût composite multi-critères (MAT)</w:t>
            </w:r>
          </w:p>
        </w:tc>
        <w:tc>
          <w:tcPr>
            <w:tcW w:type="pct" w:w="58%"/>
            <w:tcMar>
              <w:top w:type="dxa" w:w="80"/>
              <w:left w:type="dxa" w:w="100"/>
              <w:bottom w:type="dxa" w:w="80"/>
              <w:right w:type="dxa" w:w="100"/>
            </w:tcMar>
            <w:vAlign w:val="center"/>
          </w:tcPr>
          <w:p>
            <w:r>
              <w:rPr>
                <w:b w:val="false"/>
                <w:bCs w:val="false"/>
                <w:sz w:val="18"/>
                <w:szCs w:val="18"/>
              </w:rPr>
              <w:t xml:space="preserve">Pondérations configurables et versionnées ; chaque décision doit être traçable et reconstituable (EF-MAT-11).</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Référentiel géospatial (GEO) : axes, hubs, zonage H3</w:t>
            </w:r>
          </w:p>
        </w:tc>
        <w:tc>
          <w:tcPr>
            <w:tcW w:type="pct" w:w="58%"/>
            <w:shd w:fill="F5F5F5" w:val="clear"/>
            <w:tcMar>
              <w:top w:type="dxa" w:w="80"/>
              <w:left w:type="dxa" w:w="100"/>
              <w:bottom w:type="dxa" w:w="80"/>
              <w:right w:type="dxa" w:w="100"/>
            </w:tcMar>
            <w:vAlign w:val="center"/>
          </w:tcPr>
          <w:p>
            <w:r>
              <w:rPr>
                <w:b w:val="false"/>
                <w:bCs w:val="false"/>
                <w:sz w:val="18"/>
                <w:szCs w:val="18"/>
              </w:rPr>
              <w:t xml:space="preserve">Alimente en continu le filtre L0 d'OPT et le calcul d'écart de trajectoire de TRK ; module à construire tôt, avant même le moteur V0.</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Suivi et ETA (TRK)</w:t>
            </w:r>
          </w:p>
        </w:tc>
        <w:tc>
          <w:tcPr>
            <w:tcW w:type="pct" w:w="58%"/>
            <w:tcMar>
              <w:top w:type="dxa" w:w="80"/>
              <w:left w:type="dxa" w:w="100"/>
              <w:bottom w:type="dxa" w:w="80"/>
              <w:right w:type="dxa" w:w="100"/>
            </w:tcMar>
            <w:vAlign w:val="center"/>
          </w:tcPr>
          <w:p>
            <w:r>
              <w:rPr>
                <w:b w:val="false"/>
                <w:bCs w:val="false"/>
                <w:sz w:val="18"/>
                <w:szCs w:val="18"/>
              </w:rPr>
              <w:t xml:space="preserve">Ingestion tolérante à la connectivité, recalcul dynamique de l'ETA en cas d'écart, détection d'anomalies — consomme les positions brutes publiées par FLT (Mobile).</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Séquencement de tournées (L2) — PDPTW / ALNS</w:t>
            </w:r>
          </w:p>
        </w:tc>
        <w:tc>
          <w:tcPr>
            <w:tcW w:type="pct" w:w="58%"/>
            <w:shd w:fill="F5F5F5" w:val="clear"/>
            <w:tcMar>
              <w:top w:type="dxa" w:w="80"/>
              <w:left w:type="dxa" w:w="100"/>
              <w:bottom w:type="dxa" w:w="80"/>
              <w:right w:type="dxa" w:w="100"/>
            </w:tcMar>
            <w:vAlign w:val="center"/>
          </w:tcPr>
          <w:p>
            <w:r>
              <w:rPr>
                <w:b w:val="false"/>
                <w:bCs w:val="false"/>
                <w:sz w:val="18"/>
                <w:szCs w:val="18"/>
              </w:rPr>
              <w:t xml:space="preserve">Précédences enlèvement-livraison, fenêtres temporelles, retour à vide en fin de mission — Phase 2 (moteur V1).</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Oracle de chargement 3D + contraintes d'essieu (L3)</w:t>
            </w:r>
          </w:p>
        </w:tc>
        <w:tc>
          <w:tcPr>
            <w:tcW w:type="pct" w:w="58%"/>
            <w:tcMar>
              <w:top w:type="dxa" w:w="80"/>
              <w:left w:type="dxa" w:w="100"/>
              <w:bottom w:type="dxa" w:w="80"/>
              <w:right w:type="dxa" w:w="100"/>
            </w:tcMar>
            <w:vAlign w:val="center"/>
          </w:tcPr>
          <w:p>
            <w:r>
              <w:rPr>
                <w:b w:val="false"/>
                <w:bCs w:val="false"/>
                <w:sz w:val="18"/>
                <w:szCs w:val="18"/>
              </w:rPr>
              <w:t xml:space="preserve">Vérification de faisabilité poids/volume/essieu à chaque état intermédiaire de la séquence de déchargement — poste le plus incertain du plan (Phase 2-3, aucune bibliothèque libre ne le couvre).</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Service d'itinéraires (Valhalla) et d'ETA</w:t>
            </w:r>
          </w:p>
        </w:tc>
        <w:tc>
          <w:tcPr>
            <w:tcW w:type="pct" w:w="58%"/>
            <w:shd w:fill="F5F5F5" w:val="clear"/>
            <w:tcMar>
              <w:top w:type="dxa" w:w="80"/>
              <w:left w:type="dxa" w:w="100"/>
              <w:bottom w:type="dxa" w:w="80"/>
              <w:right w:type="dxa" w:w="100"/>
            </w:tcMar>
            <w:vAlign w:val="center"/>
          </w:tcPr>
          <w:p>
            <w:r>
              <w:rPr>
                <w:b w:val="false"/>
                <w:bCs w:val="false"/>
                <w:sz w:val="18"/>
                <w:szCs w:val="18"/>
              </w:rPr>
              <w:t xml:space="preserve">Budget de latence, ETA avec intervalle de confiance ; utilisé dès la V0.</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Dégradation gracieuse du moteur</w:t>
            </w:r>
          </w:p>
        </w:tc>
        <w:tc>
          <w:tcPr>
            <w:tcW w:type="pct" w:w="58%"/>
            <w:tcMar>
              <w:top w:type="dxa" w:w="80"/>
              <w:left w:type="dxa" w:w="100"/>
              <w:bottom w:type="dxa" w:w="80"/>
              <w:right w:type="dxa" w:w="100"/>
            </w:tcMar>
            <w:vAlign w:val="center"/>
          </w:tcPr>
          <w:p>
            <w:r>
              <w:rPr>
                <w:b w:val="false"/>
                <w:bCs w:val="false"/>
                <w:sz w:val="18"/>
                <w:szCs w:val="18"/>
              </w:rPr>
              <w:t xml:space="preserve">L'indisponibilité du moteur ne doit jamais interrompre consultation, publication ou suivi (ENF-DIS-04).</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Trajectoire de maturité V0 → V3</w:t>
            </w:r>
          </w:p>
        </w:tc>
        <w:tc>
          <w:tcPr>
            <w:tcW w:type="pct" w:w="58%"/>
            <w:shd w:fill="F5F5F5" w:val="clear"/>
            <w:tcMar>
              <w:top w:type="dxa" w:w="80"/>
              <w:left w:type="dxa" w:w="100"/>
              <w:bottom w:type="dxa" w:w="80"/>
              <w:right w:type="dxa" w:w="100"/>
            </w:tcMar>
            <w:vAlign w:val="center"/>
          </w:tcPr>
          <w:p>
            <w:r>
              <w:rPr>
                <w:b w:val="false"/>
                <w:bCs w:val="false"/>
                <w:sz w:val="18"/>
                <w:szCs w:val="18"/>
              </w:rPr>
              <w:t xml:space="preserve">Banc d'essai de non-régression (Solomon, Li &amp; Lim) dès la V0 ; reproductibilité des exécutions à partir des entrées/config/graine aléatoire.</w:t>
            </w:r>
          </w:p>
        </w:tc>
      </w:tr>
    </w:tbl>
    <w:p>
      <w:pPr>
        <w:pStyle w:val="Heading2"/>
        <w:spacing w:after="140" w:before="260"/>
      </w:pPr>
      <w:r>
        <w:rPr>
          <w:b/>
          <w:bCs/>
          <w:color w:val="8A0F13"/>
          <w:sz w:val="24"/>
          <w:szCs w:val="24"/>
        </w:rPr>
        <w:t xml:space="preserve">3.4 Web (Angular, PWA) — app unique, 3 rôles + API associées — Personne 2</w:t>
      </w:r>
    </w:p>
    <w:p>
      <w:pPr>
        <w:spacing w:after="160"/>
      </w:pPr>
      <w:r>
        <w:rPr>
          <w:sz w:val="20"/>
          <w:szCs w:val="20"/>
        </w:rPr>
        <w:t xml:space="preserve">Une seule application Angular, avec garde de routes RBAC qui affiche l'interface selon le rôle (Bureau, Transporteur, Administration) — pas trois portails séparés. Ce volet couvre aussi les microservices consommés par cette app : passerelle, PAY, BUR, ADM. Le rôle Bureau affiche des cartes et écrans qui lisent l'API de GEO (Moteur, cf. §3.3) sans en être le porteur.</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900"/>
        <w:gridCol w:w="2880"/>
        <w:gridCol w:w="5220"/>
      </w:tblGrid>
      <w:tr>
        <w:trPr>
          <w:tblHeader/>
        </w:trPr>
        <w:tc>
          <w:tcPr>
            <w:tcW w:type="pct" w:w="10%"/>
            <w:shd w:fill="2B2B2B" w:val="clear"/>
            <w:tcMar>
              <w:top w:type="dxa" w:w="80"/>
              <w:left w:type="dxa" w:w="100"/>
              <w:bottom w:type="dxa" w:w="80"/>
              <w:right w:type="dxa" w:w="100"/>
            </w:tcMar>
            <w:vAlign w:val="center"/>
          </w:tcPr>
          <w:p>
            <w:r>
              <w:rPr>
                <w:b/>
                <w:bCs/>
                <w:color w:val="FFFFFF"/>
                <w:sz w:val="18"/>
                <w:szCs w:val="18"/>
              </w:rPr>
              <w:t xml:space="preserve">Priorité</w:t>
            </w:r>
          </w:p>
        </w:tc>
        <w:tc>
          <w:tcPr>
            <w:tcW w:type="pct" w:w="32%"/>
            <w:shd w:fill="2B2B2B" w:val="clear"/>
            <w:tcMar>
              <w:top w:type="dxa" w:w="80"/>
              <w:left w:type="dxa" w:w="100"/>
              <w:bottom w:type="dxa" w:w="80"/>
              <w:right w:type="dxa" w:w="100"/>
            </w:tcMar>
            <w:vAlign w:val="center"/>
          </w:tcPr>
          <w:p>
            <w:r>
              <w:rPr>
                <w:b/>
                <w:bCs/>
                <w:color w:val="FFFFFF"/>
                <w:sz w:val="18"/>
                <w:szCs w:val="18"/>
              </w:rPr>
              <w:t xml:space="preserve">Notion</w:t>
            </w:r>
          </w:p>
        </w:tc>
        <w:tc>
          <w:tcPr>
            <w:tcW w:type="pct" w:w="58%"/>
            <w:shd w:fill="2B2B2B" w:val="clear"/>
            <w:tcMar>
              <w:top w:type="dxa" w:w="80"/>
              <w:left w:type="dxa" w:w="100"/>
              <w:bottom w:type="dxa" w:w="80"/>
              <w:right w:type="dxa" w:w="100"/>
            </w:tcMar>
            <w:vAlign w:val="center"/>
          </w:tcPr>
          <w:p>
            <w:r>
              <w:rPr>
                <w:b/>
                <w:bCs/>
                <w:color w:val="FFFFFF"/>
                <w:sz w:val="18"/>
                <w:szCs w:val="18"/>
              </w:rPr>
              <w:t xml:space="preserve">Pourquoi</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Angular fondamentaux (Signals, services, routing)</w:t>
            </w:r>
          </w:p>
        </w:tc>
        <w:tc>
          <w:tcPr>
            <w:tcW w:type="pct" w:w="58%"/>
            <w:tcMar>
              <w:top w:type="dxa" w:w="80"/>
              <w:left w:type="dxa" w:w="100"/>
              <w:bottom w:type="dxa" w:w="80"/>
              <w:right w:type="dxa" w:w="100"/>
            </w:tcMar>
            <w:vAlign w:val="center"/>
          </w:tcPr>
          <w:p>
            <w:r>
              <w:rPr>
                <w:b w:val="false"/>
                <w:bCs w:val="false"/>
                <w:sz w:val="18"/>
                <w:szCs w:val="18"/>
              </w:rPr>
              <w:t xml:space="preserve">Base de l'application unique ; Signals privilégiés sur NgRx pour la gestion d'état (cf. apprentissage précédent).</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PWA &amp; offline (service workers)</w:t>
            </w:r>
          </w:p>
        </w:tc>
        <w:tc>
          <w:tcPr>
            <w:tcW w:type="pct" w:w="58%"/>
            <w:shd w:fill="F5F5F5" w:val="clear"/>
            <w:tcMar>
              <w:top w:type="dxa" w:w="80"/>
              <w:left w:type="dxa" w:w="100"/>
              <w:bottom w:type="dxa" w:w="80"/>
              <w:right w:type="dxa" w:w="100"/>
            </w:tcMar>
            <w:vAlign w:val="center"/>
          </w:tcPr>
          <w:p>
            <w:r>
              <w:rPr>
                <w:b w:val="false"/>
                <w:bCs w:val="false"/>
                <w:sz w:val="18"/>
                <w:szCs w:val="18"/>
              </w:rPr>
              <w:t xml:space="preserve">Le CDC exige un portail web en application monopage progressive, réactive même en connexion dégradée.</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Une app, trois rôles — architecture par feature modules</w:t>
            </w:r>
          </w:p>
        </w:tc>
        <w:tc>
          <w:tcPr>
            <w:tcW w:type="pct" w:w="58%"/>
            <w:tcMar>
              <w:top w:type="dxa" w:w="80"/>
              <w:left w:type="dxa" w:w="100"/>
              <w:bottom w:type="dxa" w:w="80"/>
              <w:right w:type="dxa" w:w="100"/>
            </w:tcMar>
            <w:vAlign w:val="center"/>
          </w:tcPr>
          <w:p>
            <w:r>
              <w:rPr>
                <w:b w:val="false"/>
                <w:bCs w:val="false"/>
                <w:sz w:val="18"/>
                <w:szCs w:val="18"/>
              </w:rPr>
              <w:t xml:space="preserve">Bureau de fret (supervision + observatoire), Transporteur (flotte + missions), Administration (modération + litiges + configuration) dans des feature modules distincts, chargés selon le rôle ; même design system, même shell.</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Garde de routes RBAC par rôle</w:t>
            </w:r>
          </w:p>
        </w:tc>
        <w:tc>
          <w:tcPr>
            <w:tcW w:type="pct" w:w="58%"/>
            <w:shd w:fill="F5F5F5" w:val="clear"/>
            <w:tcMar>
              <w:top w:type="dxa" w:w="80"/>
              <w:left w:type="dxa" w:w="100"/>
              <w:bottom w:type="dxa" w:w="80"/>
              <w:right w:type="dxa" w:w="100"/>
            </w:tcMar>
            <w:vAlign w:val="center"/>
          </w:tcPr>
          <w:p>
            <w:r>
              <w:rPr>
                <w:b w:val="false"/>
                <w:bCs w:val="false"/>
                <w:sz w:val="18"/>
                <w:szCs w:val="18"/>
              </w:rPr>
              <w:t xml:space="preserve">Le rôle de l'acteur connecté détermine les modules accessibles et les routes visibles, dérivé du triplet acteur × rôle × périmètre (§5.2 du CDC) — pas d'URL du rôle Admin accessible à un Transporteur.</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Passerelle &amp; microservices côté web (gateway, PAY, BUR, ADM)</w:t>
            </w:r>
          </w:p>
        </w:tc>
        <w:tc>
          <w:tcPr>
            <w:tcW w:type="pct" w:w="58%"/>
            <w:tcMar>
              <w:top w:type="dxa" w:w="80"/>
              <w:left w:type="dxa" w:w="100"/>
              <w:bottom w:type="dxa" w:w="80"/>
              <w:right w:type="dxa" w:w="100"/>
            </w:tcMar>
            <w:vAlign w:val="center"/>
          </w:tcPr>
          <w:p>
            <w:r>
              <w:rPr>
                <w:b w:val="false"/>
                <w:bCs w:val="false"/>
                <w:sz w:val="18"/>
                <w:szCs w:val="18"/>
              </w:rPr>
              <w:t xml:space="preserve">En plus de l'interface, cette personne construit les endpoints Spring Boot que l'app consomme : passerelle API, paiement/réconciliation, observatoire, administration.</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Cartographie web (Leaflet/OSRM)</w:t>
            </w:r>
          </w:p>
        </w:tc>
        <w:tc>
          <w:tcPr>
            <w:tcW w:type="pct" w:w="58%"/>
            <w:shd w:fill="F5F5F5" w:val="clear"/>
            <w:tcMar>
              <w:top w:type="dxa" w:w="80"/>
              <w:left w:type="dxa" w:w="100"/>
              <w:bottom w:type="dxa" w:w="80"/>
              <w:right w:type="dxa" w:w="100"/>
            </w:tcMar>
            <w:vAlign w:val="center"/>
          </w:tcPr>
          <w:p>
            <w:r>
              <w:rPr>
                <w:b w:val="false"/>
                <w:bCs w:val="false"/>
                <w:sz w:val="18"/>
                <w:szCs w:val="18"/>
              </w:rPr>
              <w:t xml:space="preserve">Vue carte des axes/hubs, missions en direct, zones sensibles — rôle Bureau et rôle Transporteur.</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Tableaux de bord &amp; graphiques</w:t>
            </w:r>
          </w:p>
        </w:tc>
        <w:tc>
          <w:tcPr>
            <w:tcW w:type="pct" w:w="58%"/>
            <w:tcMar>
              <w:top w:type="dxa" w:w="80"/>
              <w:left w:type="dxa" w:w="100"/>
              <w:bottom w:type="dxa" w:w="80"/>
              <w:right w:type="dxa" w:w="100"/>
            </w:tcMar>
            <w:vAlign w:val="center"/>
          </w:tcPr>
          <w:p>
            <w:r>
              <w:rPr>
                <w:b w:val="false"/>
                <w:bCs w:val="false"/>
                <w:sz w:val="18"/>
                <w:szCs w:val="18"/>
              </w:rPr>
              <w:t xml:space="preserve">Observatoire de marché (rôle Bureau), analytique de flotte (rôle Transporteur) — avec seuil d'agrégation minimal avant toute restitution statistique (EF-BUR-04).</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Export PDF / Excel</w:t>
            </w:r>
          </w:p>
        </w:tc>
        <w:tc>
          <w:tcPr>
            <w:tcW w:type="pct" w:w="58%"/>
            <w:shd w:fill="F5F5F5" w:val="clear"/>
            <w:tcMar>
              <w:top w:type="dxa" w:w="80"/>
              <w:left w:type="dxa" w:w="100"/>
              <w:bottom w:type="dxa" w:w="80"/>
              <w:right w:type="dxa" w:w="100"/>
            </w:tcMar>
            <w:vAlign w:val="center"/>
          </w:tcPr>
          <w:p>
            <w:r>
              <w:rPr>
                <w:b w:val="false"/>
                <w:bCs w:val="false"/>
                <w:sz w:val="18"/>
                <w:szCs w:val="18"/>
              </w:rPr>
              <w:t xml:space="preserve">Rapports de conformité et exports pour le rôle Bureau et les grands comptes.</w:t>
            </w:r>
          </w:p>
        </w:tc>
      </w:tr>
      <w:tr>
        <w:tc>
          <w:tcPr>
            <w:tcW w:type="pct" w:w="10%"/>
            <w:tcMar>
              <w:top w:type="dxa" w:w="80"/>
              <w:left w:type="dxa" w:w="100"/>
              <w:bottom w:type="dxa" w:w="80"/>
              <w:right w:type="dxa" w:w="100"/>
            </w:tcMar>
            <w:vAlign w:val="center"/>
          </w:tcPr>
          <w:p>
            <w:r>
              <w:rPr>
                <w:b w:val="false"/>
                <w:bCs w:val="false"/>
                <w:sz w:val="18"/>
                <w:szCs w:val="18"/>
              </w:rPr>
              <w:t xml:space="preserve">🟡</w:t>
            </w:r>
          </w:p>
        </w:tc>
        <w:tc>
          <w:tcPr>
            <w:tcW w:type="pct" w:w="32%"/>
            <w:tcMar>
              <w:top w:type="dxa" w:w="80"/>
              <w:left w:type="dxa" w:w="100"/>
              <w:bottom w:type="dxa" w:w="80"/>
              <w:right w:type="dxa" w:w="100"/>
            </w:tcMar>
            <w:vAlign w:val="center"/>
          </w:tcPr>
          <w:p>
            <w:r>
              <w:rPr>
                <w:b w:val="false"/>
                <w:bCs w:val="false"/>
                <w:sz w:val="18"/>
                <w:szCs w:val="18"/>
              </w:rPr>
              <w:t xml:space="preserve">File de travail priorisée (back-office)</w:t>
            </w:r>
          </w:p>
        </w:tc>
        <w:tc>
          <w:tcPr>
            <w:tcW w:type="pct" w:w="58%"/>
            <w:tcMar>
              <w:top w:type="dxa" w:w="80"/>
              <w:left w:type="dxa" w:w="100"/>
              <w:bottom w:type="dxa" w:w="80"/>
              <w:right w:type="dxa" w:w="100"/>
            </w:tcMar>
            <w:vAlign w:val="center"/>
          </w:tcPr>
          <w:p>
            <w:r>
              <w:rPr>
                <w:b w:val="false"/>
                <w:bCs w:val="false"/>
                <w:sz w:val="18"/>
                <w:szCs w:val="18"/>
              </w:rPr>
              <w:t xml:space="preserve">Modération, litiges, dossier consolidé (mission + parties + chronologie + preuves + écritures) pour le rôle Administration.</w:t>
            </w:r>
          </w:p>
        </w:tc>
      </w:tr>
      <w:tr>
        <w:tc>
          <w:tcPr>
            <w:tcW w:type="pct" w:w="10%"/>
            <w:shd w:fill="F5F5F5" w:val="clear"/>
            <w:tcMar>
              <w:top w:type="dxa" w:w="80"/>
              <w:left w:type="dxa" w:w="100"/>
              <w:bottom w:type="dxa" w:w="80"/>
              <w:right w:type="dxa" w:w="100"/>
            </w:tcMar>
            <w:vAlign w:val="center"/>
          </w:tcPr>
          <w:p>
            <w:r>
              <w:rPr>
                <w:b w:val="false"/>
                <w:bCs w:val="false"/>
                <w:sz w:val="18"/>
                <w:szCs w:val="18"/>
              </w:rPr>
              <w:t xml:space="preserv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Internationalisation (i18n Angular)</w:t>
            </w:r>
          </w:p>
        </w:tc>
        <w:tc>
          <w:tcPr>
            <w:tcW w:type="pct" w:w="58%"/>
            <w:shd w:fill="F5F5F5" w:val="clear"/>
            <w:tcMar>
              <w:top w:type="dxa" w:w="80"/>
              <w:left w:type="dxa" w:w="100"/>
              <w:bottom w:type="dxa" w:w="80"/>
              <w:right w:type="dxa" w:w="100"/>
            </w:tcMar>
            <w:vAlign w:val="center"/>
          </w:tcPr>
          <w:p>
            <w:r>
              <w:rPr>
                <w:b w:val="false"/>
                <w:bCs w:val="false"/>
                <w:sz w:val="18"/>
                <w:szCs w:val="18"/>
              </w:rPr>
              <w:t xml:space="preserve">Interface bilingue FR/EN à parité complète, y compris messages d'erreur.</w:t>
            </w:r>
          </w:p>
        </w:tc>
      </w:tr>
    </w:tbl>
    <w:p>
      <w:r>
        <w:br w:type="page"/>
      </w:r>
    </w:p>
    <w:p>
      <w:pPr>
        <w:pStyle w:val="Heading1"/>
        <w:spacing w:after="180" w:before="360"/>
      </w:pPr>
      <w:r>
        <w:rPr>
          <w:b/>
          <w:bCs/>
          <w:color w:val="D40F16"/>
          <w:sz w:val="30"/>
          <w:szCs w:val="30"/>
        </w:rPr>
        <w:t xml:space="preserve">4. Écrans et interfaces à concevoir</w:t>
      </w:r>
    </w:p>
    <w:p>
      <w:pPr>
        <w:spacing w:after="160"/>
      </w:pPr>
      <w:r>
        <w:rPr>
          <w:sz w:val="20"/>
          <w:szCs w:val="20"/>
        </w:rPr>
        <w:t xml:space="preserve">Checklist des interfaces à couvrir en maquette, alignée sur les modules du CDC v4 et répartie par volet et par personne.</w:t>
      </w:r>
    </w:p>
    <w:p>
      <w:pPr>
        <w:pStyle w:val="Heading2"/>
        <w:spacing w:after="140" w:before="260"/>
      </w:pPr>
      <w:r>
        <w:rPr>
          <w:b/>
          <w:bCs/>
          <w:color w:val="8A0F13"/>
          <w:sz w:val="24"/>
          <w:szCs w:val="24"/>
        </w:rPr>
        <w:t xml:space="preserve">4.1 Application mobile Chauffeur / Transporteur (mode Agent inclus)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6480"/>
        <w:gridCol w:w="2520"/>
      </w:tblGrid>
      <w:tr>
        <w:trPr>
          <w:tblHeader/>
        </w:trPr>
        <w:tc>
          <w:tcPr>
            <w:tcW w:type="pct" w:w="72%"/>
            <w:shd w:fill="2B2B2B" w:val="clear"/>
            <w:tcMar>
              <w:top w:type="dxa" w:w="80"/>
              <w:left w:type="dxa" w:w="100"/>
              <w:bottom w:type="dxa" w:w="80"/>
              <w:right w:type="dxa" w:w="100"/>
            </w:tcMar>
            <w:vAlign w:val="center"/>
          </w:tcPr>
          <w:p>
            <w:r>
              <w:rPr>
                <w:b/>
                <w:bCs/>
                <w:color w:val="FFFFFF"/>
                <w:sz w:val="18"/>
                <w:szCs w:val="18"/>
              </w:rPr>
              <w:t xml:space="preserve">Écran</w:t>
            </w:r>
          </w:p>
        </w:tc>
        <w:tc>
          <w:tcPr>
            <w:tcW w:type="pct" w:w="28%"/>
            <w:shd w:fill="2B2B2B" w:val="clear"/>
            <w:tcMar>
              <w:top w:type="dxa" w:w="80"/>
              <w:left w:type="dxa" w:w="100"/>
              <w:bottom w:type="dxa" w:w="80"/>
              <w:right w:type="dxa" w:w="100"/>
            </w:tcMar>
            <w:vAlign w:val="center"/>
          </w:tcPr>
          <w:p>
            <w:r>
              <w:rPr>
                <w:b/>
                <w:bCs/>
                <w:color w:val="FFFFFF"/>
                <w:sz w:val="18"/>
                <w:szCs w:val="18"/>
              </w:rPr>
              <w:t xml:space="preserve">Module lié</w:t>
            </w:r>
          </w:p>
        </w:tc>
      </w:tr>
      <w:tr>
        <w:tc>
          <w:tcPr>
            <w:tcW w:type="pct" w:w="72%"/>
            <w:tcMar>
              <w:top w:type="dxa" w:w="80"/>
              <w:left w:type="dxa" w:w="100"/>
              <w:bottom w:type="dxa" w:w="80"/>
              <w:right w:type="dxa" w:w="100"/>
            </w:tcMar>
            <w:vAlign w:val="center"/>
          </w:tcPr>
          <w:p>
            <w:r>
              <w:rPr>
                <w:b w:val="false"/>
                <w:bCs w:val="false"/>
                <w:sz w:val="18"/>
                <w:szCs w:val="18"/>
              </w:rPr>
              <w:t xml:space="preserve">Connexion / choix du rôle (chauffeur, transporteur, chauffeur-propriétaire)</w:t>
            </w:r>
          </w:p>
        </w:tc>
        <w:tc>
          <w:tcPr>
            <w:tcW w:type="pct" w:w="28%"/>
            <w:tcMar>
              <w:top w:type="dxa" w:w="80"/>
              <w:left w:type="dxa" w:w="100"/>
              <w:bottom w:type="dxa" w:w="80"/>
              <w:right w:type="dxa" w:w="100"/>
            </w:tcMar>
            <w:vAlign w:val="center"/>
          </w:tcPr>
          <w:p>
            <w:r>
              <w:rPr>
                <w:b w:val="false"/>
                <w:bCs w:val="false"/>
                <w:sz w:val="18"/>
                <w:szCs w:val="18"/>
              </w:rPr>
              <w:t xml:space="preserve">IDA</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Inscription / KYC gradué (niveaux 1 à 3)</w:t>
            </w:r>
          </w:p>
        </w:tc>
        <w:tc>
          <w:tcPr>
            <w:tcW w:type="pct" w:w="28%"/>
            <w:shd w:fill="F5F5F5" w:val="clear"/>
            <w:tcMar>
              <w:top w:type="dxa" w:w="80"/>
              <w:left w:type="dxa" w:w="100"/>
              <w:bottom w:type="dxa" w:w="80"/>
              <w:right w:type="dxa" w:w="100"/>
            </w:tcMar>
            <w:vAlign w:val="center"/>
          </w:tcPr>
          <w:p>
            <w:r>
              <w:rPr>
                <w:b w:val="false"/>
                <w:bCs w:val="false"/>
                <w:sz w:val="18"/>
                <w:szCs w:val="18"/>
              </w:rPr>
              <w:t xml:space="preserve">IDA</w:t>
            </w:r>
          </w:p>
        </w:tc>
      </w:tr>
      <w:tr>
        <w:tc>
          <w:tcPr>
            <w:tcW w:type="pct" w:w="72%"/>
            <w:tcMar>
              <w:top w:type="dxa" w:w="80"/>
              <w:left w:type="dxa" w:w="100"/>
              <w:bottom w:type="dxa" w:w="80"/>
              <w:right w:type="dxa" w:w="100"/>
            </w:tcMar>
            <w:vAlign w:val="center"/>
          </w:tcPr>
          <w:p>
            <w:r>
              <w:rPr>
                <w:b w:val="false"/>
                <w:bCs w:val="false"/>
                <w:sz w:val="18"/>
                <w:szCs w:val="18"/>
              </w:rPr>
              <w:t xml:space="preserve">Enrôlement assisté (mode Agent)</w:t>
            </w:r>
          </w:p>
        </w:tc>
        <w:tc>
          <w:tcPr>
            <w:tcW w:type="pct" w:w="28%"/>
            <w:tcMar>
              <w:top w:type="dxa" w:w="80"/>
              <w:left w:type="dxa" w:w="100"/>
              <w:bottom w:type="dxa" w:w="80"/>
              <w:right w:type="dxa" w:w="100"/>
            </w:tcMar>
            <w:vAlign w:val="center"/>
          </w:tcPr>
          <w:p>
            <w:r>
              <w:rPr>
                <w:b w:val="false"/>
                <w:bCs w:val="false"/>
                <w:sz w:val="18"/>
                <w:szCs w:val="18"/>
              </w:rPr>
              <w:t xml:space="preserve">IDA</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Déclaration de capacité (totale, fractionnaire, précise) + poids taxable</w:t>
            </w:r>
          </w:p>
        </w:tc>
        <w:tc>
          <w:tcPr>
            <w:tcW w:type="pct" w:w="28%"/>
            <w:shd w:fill="F5F5F5" w:val="clear"/>
            <w:tcMar>
              <w:top w:type="dxa" w:w="80"/>
              <w:left w:type="dxa" w:w="100"/>
              <w:bottom w:type="dxa" w:w="80"/>
              <w:right w:type="dxa" w:w="100"/>
            </w:tcMar>
            <w:vAlign w:val="center"/>
          </w:tcPr>
          <w:p>
            <w:r>
              <w:rPr>
                <w:b w:val="false"/>
                <w:bCs w:val="false"/>
                <w:sz w:val="18"/>
                <w:szCs w:val="18"/>
              </w:rPr>
              <w:t xml:space="preserve">CAP</w:t>
            </w:r>
          </w:p>
        </w:tc>
      </w:tr>
      <w:tr>
        <w:tc>
          <w:tcPr>
            <w:tcW w:type="pct" w:w="72%"/>
            <w:tcMar>
              <w:top w:type="dxa" w:w="80"/>
              <w:left w:type="dxa" w:w="100"/>
              <w:bottom w:type="dxa" w:w="80"/>
              <w:right w:type="dxa" w:w="100"/>
            </w:tcMar>
            <w:vAlign w:val="center"/>
          </w:tcPr>
          <w:p>
            <w:r>
              <w:rPr>
                <w:b w:val="false"/>
                <w:bCs w:val="false"/>
                <w:sz w:val="18"/>
                <w:szCs w:val="18"/>
              </w:rPr>
              <w:t xml:space="preserve">Console de flotte (véhicules, essieux, disponibilités)</w:t>
            </w:r>
          </w:p>
        </w:tc>
        <w:tc>
          <w:tcPr>
            <w:tcW w:type="pct" w:w="28%"/>
            <w:tcMar>
              <w:top w:type="dxa" w:w="80"/>
              <w:left w:type="dxa" w:w="100"/>
              <w:bottom w:type="dxa" w:w="80"/>
              <w:right w:type="dxa" w:w="100"/>
            </w:tcMar>
            <w:vAlign w:val="center"/>
          </w:tcPr>
          <w:p>
            <w:r>
              <w:rPr>
                <w:b w:val="false"/>
                <w:bCs w:val="false"/>
                <w:sz w:val="18"/>
                <w:szCs w:val="18"/>
              </w:rPr>
              <w:t xml:space="preserve">FLT</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Propositions de matching + consolidation (jusqu'à 3, motif de classement)</w:t>
            </w:r>
          </w:p>
        </w:tc>
        <w:tc>
          <w:tcPr>
            <w:tcW w:type="pct" w:w="28%"/>
            <w:shd w:fill="F5F5F5" w:val="clear"/>
            <w:tcMar>
              <w:top w:type="dxa" w:w="80"/>
              <w:left w:type="dxa" w:w="100"/>
              <w:bottom w:type="dxa" w:w="80"/>
              <w:right w:type="dxa" w:w="100"/>
            </w:tcMar>
            <w:vAlign w:val="center"/>
          </w:tcPr>
          <w:p>
            <w:r>
              <w:rPr>
                <w:b w:val="false"/>
                <w:bCs w:val="false"/>
                <w:sz w:val="18"/>
                <w:szCs w:val="18"/>
              </w:rPr>
              <w:t xml:space="preserve">MAT / OPT</w:t>
            </w:r>
          </w:p>
        </w:tc>
      </w:tr>
      <w:tr>
        <w:tc>
          <w:tcPr>
            <w:tcW w:type="pct" w:w="72%"/>
            <w:tcMar>
              <w:top w:type="dxa" w:w="80"/>
              <w:left w:type="dxa" w:w="100"/>
              <w:bottom w:type="dxa" w:w="80"/>
              <w:right w:type="dxa" w:w="100"/>
            </w:tcMar>
            <w:vAlign w:val="center"/>
          </w:tcPr>
          <w:p>
            <w:r>
              <w:rPr>
                <w:b w:val="false"/>
                <w:bCs w:val="false"/>
                <w:sz w:val="18"/>
                <w:szCs w:val="18"/>
              </w:rPr>
              <w:t xml:space="preserve">Détail mission multi-étapes + carte de suivi + plan de chargement (si oracle 3D actif)</w:t>
            </w:r>
          </w:p>
        </w:tc>
        <w:tc>
          <w:tcPr>
            <w:tcW w:type="pct" w:w="28%"/>
            <w:tcMar>
              <w:top w:type="dxa" w:w="80"/>
              <w:left w:type="dxa" w:w="100"/>
              <w:bottom w:type="dxa" w:w="80"/>
              <w:right w:type="dxa" w:w="100"/>
            </w:tcMar>
            <w:vAlign w:val="center"/>
          </w:tcPr>
          <w:p>
            <w:r>
              <w:rPr>
                <w:b w:val="false"/>
                <w:bCs w:val="false"/>
                <w:sz w:val="18"/>
                <w:szCs w:val="18"/>
              </w:rPr>
              <w:t xml:space="preserve">TRK / EXE / OPT</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Capture de preuve (photo + validation tiers) à chaque enlèvement/livraison</w:t>
            </w:r>
          </w:p>
        </w:tc>
        <w:tc>
          <w:tcPr>
            <w:tcW w:type="pct" w:w="28%"/>
            <w:shd w:fill="F5F5F5" w:val="clear"/>
            <w:tcMar>
              <w:top w:type="dxa" w:w="80"/>
              <w:left w:type="dxa" w:w="100"/>
              <w:bottom w:type="dxa" w:w="80"/>
              <w:right w:type="dxa" w:w="100"/>
            </w:tcMar>
            <w:vAlign w:val="center"/>
          </w:tcPr>
          <w:p>
            <w:r>
              <w:rPr>
                <w:b w:val="false"/>
                <w:bCs w:val="false"/>
                <w:sz w:val="18"/>
                <w:szCs w:val="18"/>
              </w:rPr>
              <w:t xml:space="preserve">EXE</w:t>
            </w:r>
          </w:p>
        </w:tc>
      </w:tr>
      <w:tr>
        <w:tc>
          <w:tcPr>
            <w:tcW w:type="pct" w:w="72%"/>
            <w:tcMar>
              <w:top w:type="dxa" w:w="80"/>
              <w:left w:type="dxa" w:w="100"/>
              <w:bottom w:type="dxa" w:w="80"/>
              <w:right w:type="dxa" w:w="100"/>
            </w:tcMar>
            <w:vAlign w:val="center"/>
          </w:tcPr>
          <w:p>
            <w:r>
              <w:rPr>
                <w:b w:val="false"/>
                <w:bCs w:val="false"/>
                <w:sz w:val="18"/>
                <w:szCs w:val="18"/>
              </w:rPr>
              <w:t xml:space="preserve">Solde et historique de paiement</w:t>
            </w:r>
          </w:p>
        </w:tc>
        <w:tc>
          <w:tcPr>
            <w:tcW w:type="pct" w:w="28%"/>
            <w:tcMar>
              <w:top w:type="dxa" w:w="80"/>
              <w:left w:type="dxa" w:w="100"/>
              <w:bottom w:type="dxa" w:w="80"/>
              <w:right w:type="dxa" w:w="100"/>
            </w:tcMar>
            <w:vAlign w:val="center"/>
          </w:tcPr>
          <w:p>
            <w:r>
              <w:rPr>
                <w:b w:val="false"/>
                <w:bCs w:val="false"/>
                <w:sz w:val="18"/>
                <w:szCs w:val="18"/>
              </w:rPr>
              <w:t xml:space="preserve">PAY</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Notifications</w:t>
            </w:r>
          </w:p>
        </w:tc>
        <w:tc>
          <w:tcPr>
            <w:tcW w:type="pct" w:w="28%"/>
            <w:shd w:fill="F5F5F5" w:val="clear"/>
            <w:tcMar>
              <w:top w:type="dxa" w:w="80"/>
              <w:left w:type="dxa" w:w="100"/>
              <w:bottom w:type="dxa" w:w="80"/>
              <w:right w:type="dxa" w:w="100"/>
            </w:tcMar>
            <w:vAlign w:val="center"/>
          </w:tcPr>
          <w:p>
            <w:r>
              <w:rPr>
                <w:b w:val="false"/>
                <w:bCs w:val="false"/>
                <w:sz w:val="18"/>
                <w:szCs w:val="18"/>
              </w:rPr>
              <w:t xml:space="preserve">NOT</w:t>
            </w:r>
          </w:p>
        </w:tc>
      </w:tr>
      <w:tr>
        <w:tc>
          <w:tcPr>
            <w:tcW w:type="pct" w:w="72%"/>
            <w:tcMar>
              <w:top w:type="dxa" w:w="80"/>
              <w:left w:type="dxa" w:w="100"/>
              <w:bottom w:type="dxa" w:w="80"/>
              <w:right w:type="dxa" w:w="100"/>
            </w:tcMar>
            <w:vAlign w:val="center"/>
          </w:tcPr>
          <w:p>
            <w:r>
              <w:rPr>
                <w:b w:val="false"/>
                <w:bCs w:val="false"/>
                <w:sz w:val="18"/>
                <w:szCs w:val="18"/>
              </w:rPr>
              <w:t xml:space="preserve">Alerte zone verrouillée / segment sensible</w:t>
            </w:r>
          </w:p>
        </w:tc>
        <w:tc>
          <w:tcPr>
            <w:tcW w:type="pct" w:w="28%"/>
            <w:tcMar>
              <w:top w:type="dxa" w:w="80"/>
              <w:left w:type="dxa" w:w="100"/>
              <w:bottom w:type="dxa" w:w="80"/>
              <w:right w:type="dxa" w:w="100"/>
            </w:tcMar>
            <w:vAlign w:val="center"/>
          </w:tcPr>
          <w:p>
            <w:r>
              <w:rPr>
                <w:b w:val="false"/>
                <w:bCs w:val="false"/>
                <w:sz w:val="18"/>
                <w:szCs w:val="18"/>
              </w:rPr>
              <w:t xml:space="preserve">GEO</w:t>
            </w:r>
          </w:p>
        </w:tc>
      </w:tr>
    </w:tbl>
    <w:p>
      <w:pPr>
        <w:pStyle w:val="Heading2"/>
        <w:spacing w:after="140" w:before="260"/>
      </w:pPr>
      <w:r>
        <w:rPr>
          <w:b/>
          <w:bCs/>
          <w:color w:val="8A0F13"/>
          <w:sz w:val="24"/>
          <w:szCs w:val="24"/>
        </w:rPr>
        <w:t xml:space="preserve">4.2 Application mobile Client (chargeur particulier / entreprise)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6480"/>
        <w:gridCol w:w="2520"/>
      </w:tblGrid>
      <w:tr>
        <w:trPr>
          <w:tblHeader/>
        </w:trPr>
        <w:tc>
          <w:tcPr>
            <w:tcW w:type="pct" w:w="72%"/>
            <w:shd w:fill="2B2B2B" w:val="clear"/>
            <w:tcMar>
              <w:top w:type="dxa" w:w="80"/>
              <w:left w:type="dxa" w:w="100"/>
              <w:bottom w:type="dxa" w:w="80"/>
              <w:right w:type="dxa" w:w="100"/>
            </w:tcMar>
            <w:vAlign w:val="center"/>
          </w:tcPr>
          <w:p>
            <w:r>
              <w:rPr>
                <w:b/>
                <w:bCs/>
                <w:color w:val="FFFFFF"/>
                <w:sz w:val="18"/>
                <w:szCs w:val="18"/>
              </w:rPr>
              <w:t xml:space="preserve">Écran</w:t>
            </w:r>
          </w:p>
        </w:tc>
        <w:tc>
          <w:tcPr>
            <w:tcW w:type="pct" w:w="28%"/>
            <w:shd w:fill="2B2B2B" w:val="clear"/>
            <w:tcMar>
              <w:top w:type="dxa" w:w="80"/>
              <w:left w:type="dxa" w:w="100"/>
              <w:bottom w:type="dxa" w:w="80"/>
              <w:right w:type="dxa" w:w="100"/>
            </w:tcMar>
            <w:vAlign w:val="center"/>
          </w:tcPr>
          <w:p>
            <w:r>
              <w:rPr>
                <w:b/>
                <w:bCs/>
                <w:color w:val="FFFFFF"/>
                <w:sz w:val="18"/>
                <w:szCs w:val="18"/>
              </w:rPr>
              <w:t xml:space="preserve">Module lié</w:t>
            </w:r>
          </w:p>
        </w:tc>
      </w:tr>
      <w:tr>
        <w:tc>
          <w:tcPr>
            <w:tcW w:type="pct" w:w="72%"/>
            <w:tcMar>
              <w:top w:type="dxa" w:w="80"/>
              <w:left w:type="dxa" w:w="100"/>
              <w:bottom w:type="dxa" w:w="80"/>
              <w:right w:type="dxa" w:w="100"/>
            </w:tcMar>
            <w:vAlign w:val="center"/>
          </w:tcPr>
          <w:p>
            <w:r>
              <w:rPr>
                <w:b w:val="false"/>
                <w:bCs w:val="false"/>
                <w:sz w:val="18"/>
                <w:szCs w:val="18"/>
              </w:rPr>
              <w:t xml:space="preserve">Connexion / inscription légère</w:t>
            </w:r>
          </w:p>
        </w:tc>
        <w:tc>
          <w:tcPr>
            <w:tcW w:type="pct" w:w="28%"/>
            <w:tcMar>
              <w:top w:type="dxa" w:w="80"/>
              <w:left w:type="dxa" w:w="100"/>
              <w:bottom w:type="dxa" w:w="80"/>
              <w:right w:type="dxa" w:w="100"/>
            </w:tcMar>
            <w:vAlign w:val="center"/>
          </w:tcPr>
          <w:p>
            <w:r>
              <w:rPr>
                <w:b w:val="false"/>
                <w:bCs w:val="false"/>
                <w:sz w:val="18"/>
                <w:szCs w:val="18"/>
              </w:rPr>
              <w:t xml:space="preserve">IDA</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Publication d'une demande via catalogue d'emballages (&lt; 90 s, niveau N1-N2)</w:t>
            </w:r>
          </w:p>
        </w:tc>
        <w:tc>
          <w:tcPr>
            <w:tcW w:type="pct" w:w="28%"/>
            <w:shd w:fill="F5F5F5" w:val="clear"/>
            <w:tcMar>
              <w:top w:type="dxa" w:w="80"/>
              <w:left w:type="dxa" w:w="100"/>
              <w:bottom w:type="dxa" w:w="80"/>
              <w:right w:type="dxa" w:w="100"/>
            </w:tcMar>
            <w:vAlign w:val="center"/>
          </w:tcPr>
          <w:p>
            <w:r>
              <w:rPr>
                <w:b w:val="false"/>
                <w:bCs w:val="false"/>
                <w:sz w:val="18"/>
                <w:szCs w:val="18"/>
              </w:rPr>
              <w:t xml:space="preserve">MKT</w:t>
            </w:r>
          </w:p>
        </w:tc>
      </w:tr>
      <w:tr>
        <w:tc>
          <w:tcPr>
            <w:tcW w:type="pct" w:w="72%"/>
            <w:tcMar>
              <w:top w:type="dxa" w:w="80"/>
              <w:left w:type="dxa" w:w="100"/>
              <w:bottom w:type="dxa" w:w="80"/>
              <w:right w:type="dxa" w:w="100"/>
            </w:tcMar>
            <w:vAlign w:val="center"/>
          </w:tcPr>
          <w:p>
            <w:r>
              <w:rPr>
                <w:b w:val="false"/>
                <w:bCs w:val="false"/>
                <w:sz w:val="18"/>
                <w:szCs w:val="18"/>
              </w:rPr>
              <w:t xml:space="preserve">Estimation de prix en fourchette avant engagement</w:t>
            </w:r>
          </w:p>
        </w:tc>
        <w:tc>
          <w:tcPr>
            <w:tcW w:type="pct" w:w="28%"/>
            <w:tcMar>
              <w:top w:type="dxa" w:w="80"/>
              <w:left w:type="dxa" w:w="100"/>
              <w:bottom w:type="dxa" w:w="80"/>
              <w:right w:type="dxa" w:w="100"/>
            </w:tcMar>
            <w:vAlign w:val="center"/>
          </w:tcPr>
          <w:p>
            <w:r>
              <w:rPr>
                <w:b w:val="false"/>
                <w:bCs w:val="false"/>
                <w:sz w:val="18"/>
                <w:szCs w:val="18"/>
              </w:rPr>
              <w:t xml:space="preserve">MKT</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Choix parmi 3 propositions maximum, motif de classement lisible</w:t>
            </w:r>
          </w:p>
        </w:tc>
        <w:tc>
          <w:tcPr>
            <w:tcW w:type="pct" w:w="28%"/>
            <w:shd w:fill="F5F5F5" w:val="clear"/>
            <w:tcMar>
              <w:top w:type="dxa" w:w="80"/>
              <w:left w:type="dxa" w:w="100"/>
              <w:bottom w:type="dxa" w:w="80"/>
              <w:right w:type="dxa" w:w="100"/>
            </w:tcMar>
            <w:vAlign w:val="center"/>
          </w:tcPr>
          <w:p>
            <w:r>
              <w:rPr>
                <w:b w:val="false"/>
                <w:bCs w:val="false"/>
                <w:sz w:val="18"/>
                <w:szCs w:val="18"/>
              </w:rPr>
              <w:t xml:space="preserve">MAT</w:t>
            </w:r>
          </w:p>
        </w:tc>
      </w:tr>
      <w:tr>
        <w:tc>
          <w:tcPr>
            <w:tcW w:type="pct" w:w="72%"/>
            <w:tcMar>
              <w:top w:type="dxa" w:w="80"/>
              <w:left w:type="dxa" w:w="100"/>
              <w:bottom w:type="dxa" w:w="80"/>
              <w:right w:type="dxa" w:w="100"/>
            </w:tcMar>
            <w:vAlign w:val="center"/>
          </w:tcPr>
          <w:p>
            <w:r>
              <w:rPr>
                <w:b w:val="false"/>
                <w:bCs w:val="false"/>
                <w:sz w:val="18"/>
                <w:szCs w:val="18"/>
              </w:rPr>
              <w:t xml:space="preserve">Paiement orchestré + confirmation de réservation atomique</w:t>
            </w:r>
          </w:p>
        </w:tc>
        <w:tc>
          <w:tcPr>
            <w:tcW w:type="pct" w:w="28%"/>
            <w:tcMar>
              <w:top w:type="dxa" w:w="80"/>
              <w:left w:type="dxa" w:w="100"/>
              <w:bottom w:type="dxa" w:w="80"/>
              <w:right w:type="dxa" w:w="100"/>
            </w:tcMar>
            <w:vAlign w:val="center"/>
          </w:tcPr>
          <w:p>
            <w:r>
              <w:rPr>
                <w:b w:val="false"/>
                <w:bCs w:val="false"/>
                <w:sz w:val="18"/>
                <w:szCs w:val="18"/>
              </w:rPr>
              <w:t xml:space="preserve">PAY / MKT</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Suivi temps réel + chronologie d'état + lien de partage lecture seule</w:t>
            </w:r>
          </w:p>
        </w:tc>
        <w:tc>
          <w:tcPr>
            <w:tcW w:type="pct" w:w="28%"/>
            <w:shd w:fill="F5F5F5" w:val="clear"/>
            <w:tcMar>
              <w:top w:type="dxa" w:w="80"/>
              <w:left w:type="dxa" w:w="100"/>
              <w:bottom w:type="dxa" w:w="80"/>
              <w:right w:type="dxa" w:w="100"/>
            </w:tcMar>
            <w:vAlign w:val="center"/>
          </w:tcPr>
          <w:p>
            <w:r>
              <w:rPr>
                <w:b w:val="false"/>
                <w:bCs w:val="false"/>
                <w:sz w:val="18"/>
                <w:szCs w:val="18"/>
              </w:rPr>
              <w:t xml:space="preserve">TRK</w:t>
            </w:r>
          </w:p>
        </w:tc>
      </w:tr>
      <w:tr>
        <w:tc>
          <w:tcPr>
            <w:tcW w:type="pct" w:w="72%"/>
            <w:tcMar>
              <w:top w:type="dxa" w:w="80"/>
              <w:left w:type="dxa" w:w="100"/>
              <w:bottom w:type="dxa" w:w="80"/>
              <w:right w:type="dxa" w:w="100"/>
            </w:tcMar>
            <w:vAlign w:val="center"/>
          </w:tcPr>
          <w:p>
            <w:r>
              <w:rPr>
                <w:b w:val="false"/>
                <w:bCs w:val="false"/>
                <w:sz w:val="18"/>
                <w:szCs w:val="18"/>
              </w:rPr>
              <w:t xml:space="preserve">Publication en lot (import tabulaire) — chargeur entreprise</w:t>
            </w:r>
          </w:p>
        </w:tc>
        <w:tc>
          <w:tcPr>
            <w:tcW w:type="pct" w:w="28%"/>
            <w:tcMar>
              <w:top w:type="dxa" w:w="80"/>
              <w:left w:type="dxa" w:w="100"/>
              <w:bottom w:type="dxa" w:w="80"/>
              <w:right w:type="dxa" w:w="100"/>
            </w:tcMar>
            <w:vAlign w:val="center"/>
          </w:tcPr>
          <w:p>
            <w:r>
              <w:rPr>
                <w:b w:val="false"/>
                <w:bCs w:val="false"/>
                <w:sz w:val="18"/>
                <w:szCs w:val="18"/>
              </w:rPr>
              <w:t xml:space="preserve">MKT</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Republication en une interaction d'un envoi passé</w:t>
            </w:r>
          </w:p>
        </w:tc>
        <w:tc>
          <w:tcPr>
            <w:tcW w:type="pct" w:w="28%"/>
            <w:shd w:fill="F5F5F5" w:val="clear"/>
            <w:tcMar>
              <w:top w:type="dxa" w:w="80"/>
              <w:left w:type="dxa" w:w="100"/>
              <w:bottom w:type="dxa" w:w="80"/>
              <w:right w:type="dxa" w:w="100"/>
            </w:tcMar>
            <w:vAlign w:val="center"/>
          </w:tcPr>
          <w:p>
            <w:r>
              <w:rPr>
                <w:b w:val="false"/>
                <w:bCs w:val="false"/>
                <w:sz w:val="18"/>
                <w:szCs w:val="18"/>
              </w:rPr>
              <w:t xml:space="preserve">MKT</w:t>
            </w:r>
          </w:p>
        </w:tc>
      </w:tr>
      <w:tr>
        <w:tc>
          <w:tcPr>
            <w:tcW w:type="pct" w:w="72%"/>
            <w:tcMar>
              <w:top w:type="dxa" w:w="80"/>
              <w:left w:type="dxa" w:w="100"/>
              <w:bottom w:type="dxa" w:w="80"/>
              <w:right w:type="dxa" w:w="100"/>
            </w:tcMar>
            <w:vAlign w:val="center"/>
          </w:tcPr>
          <w:p>
            <w:r>
              <w:rPr>
                <w:b w:val="false"/>
                <w:bCs w:val="false"/>
                <w:sz w:val="18"/>
                <w:szCs w:val="18"/>
              </w:rPr>
              <w:t xml:space="preserve">Réception : lien à usage unique / code SMS pour le destinataire (sans compte)</w:t>
            </w:r>
          </w:p>
        </w:tc>
        <w:tc>
          <w:tcPr>
            <w:tcW w:type="pct" w:w="28%"/>
            <w:tcMar>
              <w:top w:type="dxa" w:w="80"/>
              <w:left w:type="dxa" w:w="100"/>
              <w:bottom w:type="dxa" w:w="80"/>
              <w:right w:type="dxa" w:w="100"/>
            </w:tcMar>
            <w:vAlign w:val="center"/>
          </w:tcPr>
          <w:p>
            <w:r>
              <w:rPr>
                <w:b w:val="false"/>
                <w:bCs w:val="false"/>
                <w:sz w:val="18"/>
                <w:szCs w:val="18"/>
              </w:rPr>
              <w:t xml:space="preserve">EXE</w:t>
            </w:r>
          </w:p>
        </w:tc>
      </w:tr>
    </w:tbl>
    <w:p>
      <w:pPr>
        <w:pStyle w:val="Heading2"/>
        <w:spacing w:after="140" w:before="260"/>
      </w:pPr>
      <w:r>
        <w:rPr>
          <w:b/>
          <w:bCs/>
          <w:color w:val="8A0F13"/>
          <w:sz w:val="24"/>
          <w:szCs w:val="24"/>
        </w:rPr>
        <w:t xml:space="preserve">4.3 Portail web (app unique) — rôle Bureau de fret</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6480"/>
        <w:gridCol w:w="2520"/>
      </w:tblGrid>
      <w:tr>
        <w:trPr>
          <w:tblHeader/>
        </w:trPr>
        <w:tc>
          <w:tcPr>
            <w:tcW w:type="pct" w:w="72%"/>
            <w:shd w:fill="2B2B2B" w:val="clear"/>
            <w:tcMar>
              <w:top w:type="dxa" w:w="80"/>
              <w:left w:type="dxa" w:w="100"/>
              <w:bottom w:type="dxa" w:w="80"/>
              <w:right w:type="dxa" w:w="100"/>
            </w:tcMar>
            <w:vAlign w:val="center"/>
          </w:tcPr>
          <w:p>
            <w:r>
              <w:rPr>
                <w:b/>
                <w:bCs/>
                <w:color w:val="FFFFFF"/>
                <w:sz w:val="18"/>
                <w:szCs w:val="18"/>
              </w:rPr>
              <w:t xml:space="preserve">Écran</w:t>
            </w:r>
          </w:p>
        </w:tc>
        <w:tc>
          <w:tcPr>
            <w:tcW w:type="pct" w:w="28%"/>
            <w:shd w:fill="2B2B2B" w:val="clear"/>
            <w:tcMar>
              <w:top w:type="dxa" w:w="80"/>
              <w:left w:type="dxa" w:w="100"/>
              <w:bottom w:type="dxa" w:w="80"/>
              <w:right w:type="dxa" w:w="100"/>
            </w:tcMar>
            <w:vAlign w:val="center"/>
          </w:tcPr>
          <w:p>
            <w:r>
              <w:rPr>
                <w:b/>
                <w:bCs/>
                <w:color w:val="FFFFFF"/>
                <w:sz w:val="18"/>
                <w:szCs w:val="18"/>
              </w:rPr>
              <w:t xml:space="preserve">Module lié</w:t>
            </w:r>
          </w:p>
        </w:tc>
      </w:tr>
      <w:tr>
        <w:tc>
          <w:tcPr>
            <w:tcW w:type="pct" w:w="72%"/>
            <w:tcMar>
              <w:top w:type="dxa" w:w="80"/>
              <w:left w:type="dxa" w:w="100"/>
              <w:bottom w:type="dxa" w:w="80"/>
              <w:right w:type="dxa" w:w="100"/>
            </w:tcMar>
            <w:vAlign w:val="center"/>
          </w:tcPr>
          <w:p>
            <w:r>
              <w:rPr>
                <w:b w:val="false"/>
                <w:bCs w:val="false"/>
                <w:sz w:val="18"/>
                <w:szCs w:val="18"/>
              </w:rPr>
              <w:t xml:space="preserve">Connexion portail partenaire (multi-tenant)</w:t>
            </w:r>
          </w:p>
        </w:tc>
        <w:tc>
          <w:tcPr>
            <w:tcW w:type="pct" w:w="28%"/>
            <w:tcMar>
              <w:top w:type="dxa" w:w="80"/>
              <w:left w:type="dxa" w:w="100"/>
              <w:bottom w:type="dxa" w:w="80"/>
              <w:right w:type="dxa" w:w="100"/>
            </w:tcMar>
            <w:vAlign w:val="center"/>
          </w:tcPr>
          <w:p>
            <w:r>
              <w:rPr>
                <w:b w:val="false"/>
                <w:bCs w:val="false"/>
                <w:sz w:val="18"/>
                <w:szCs w:val="18"/>
              </w:rPr>
              <w:t xml:space="preserve">IDA / INT</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Supervision cartographique et tabulaire des missions du territoire</w:t>
            </w:r>
          </w:p>
        </w:tc>
        <w:tc>
          <w:tcPr>
            <w:tcW w:type="pct" w:w="28%"/>
            <w:shd w:fill="F5F5F5" w:val="clear"/>
            <w:tcMar>
              <w:top w:type="dxa" w:w="80"/>
              <w:left w:type="dxa" w:w="100"/>
              <w:bottom w:type="dxa" w:w="80"/>
              <w:right w:type="dxa" w:w="100"/>
            </w:tcMar>
            <w:vAlign w:val="center"/>
          </w:tcPr>
          <w:p>
            <w:r>
              <w:rPr>
                <w:b w:val="false"/>
                <w:bCs w:val="false"/>
                <w:sz w:val="18"/>
                <w:szCs w:val="18"/>
              </w:rPr>
              <w:t xml:space="preserve">BUR / GEO</w:t>
            </w:r>
          </w:p>
        </w:tc>
      </w:tr>
      <w:tr>
        <w:tc>
          <w:tcPr>
            <w:tcW w:type="pct" w:w="72%"/>
            <w:tcMar>
              <w:top w:type="dxa" w:w="80"/>
              <w:left w:type="dxa" w:w="100"/>
              <w:bottom w:type="dxa" w:w="80"/>
              <w:right w:type="dxa" w:w="100"/>
            </w:tcMar>
            <w:vAlign w:val="center"/>
          </w:tcPr>
          <w:p>
            <w:r>
              <w:rPr>
                <w:b w:val="false"/>
                <w:bCs w:val="false"/>
                <w:sz w:val="18"/>
                <w:szCs w:val="18"/>
              </w:rPr>
              <w:t xml:space="preserve">Observatoire de marché (volumes, prix, saturation, retour à vide)</w:t>
            </w:r>
          </w:p>
        </w:tc>
        <w:tc>
          <w:tcPr>
            <w:tcW w:type="pct" w:w="28%"/>
            <w:tcMar>
              <w:top w:type="dxa" w:w="80"/>
              <w:left w:type="dxa" w:w="100"/>
              <w:bottom w:type="dxa" w:w="80"/>
              <w:right w:type="dxa" w:w="100"/>
            </w:tcMar>
            <w:vAlign w:val="center"/>
          </w:tcPr>
          <w:p>
            <w:r>
              <w:rPr>
                <w:b w:val="false"/>
                <w:bCs w:val="false"/>
                <w:sz w:val="18"/>
                <w:szCs w:val="18"/>
              </w:rPr>
              <w:t xml:space="preserve">BUR</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Filtrage, détail et export des flux supervisés</w:t>
            </w:r>
          </w:p>
        </w:tc>
        <w:tc>
          <w:tcPr>
            <w:tcW w:type="pct" w:w="28%"/>
            <w:shd w:fill="F5F5F5" w:val="clear"/>
            <w:tcMar>
              <w:top w:type="dxa" w:w="80"/>
              <w:left w:type="dxa" w:w="100"/>
              <w:bottom w:type="dxa" w:w="80"/>
              <w:right w:type="dxa" w:w="100"/>
            </w:tcMar>
            <w:vAlign w:val="center"/>
          </w:tcPr>
          <w:p>
            <w:r>
              <w:rPr>
                <w:b w:val="false"/>
                <w:bCs w:val="false"/>
                <w:sz w:val="18"/>
                <w:szCs w:val="18"/>
              </w:rPr>
              <w:t xml:space="preserve">BUR</w:t>
            </w:r>
          </w:p>
        </w:tc>
      </w:tr>
      <w:tr>
        <w:tc>
          <w:tcPr>
            <w:tcW w:type="pct" w:w="72%"/>
            <w:tcMar>
              <w:top w:type="dxa" w:w="80"/>
              <w:left w:type="dxa" w:w="100"/>
              <w:bottom w:type="dxa" w:w="80"/>
              <w:right w:type="dxa" w:w="100"/>
            </w:tcMar>
            <w:vAlign w:val="center"/>
          </w:tcPr>
          <w:p>
            <w:r>
              <w:rPr>
                <w:b w:val="false"/>
                <w:bCs w:val="false"/>
                <w:sz w:val="18"/>
                <w:szCs w:val="18"/>
              </w:rPr>
              <w:t xml:space="preserve">Configuration d'alertes sur seuils</w:t>
            </w:r>
          </w:p>
        </w:tc>
        <w:tc>
          <w:tcPr>
            <w:tcW w:type="pct" w:w="28%"/>
            <w:tcMar>
              <w:top w:type="dxa" w:w="80"/>
              <w:left w:type="dxa" w:w="100"/>
              <w:bottom w:type="dxa" w:w="80"/>
              <w:right w:type="dxa" w:w="100"/>
            </w:tcMar>
            <w:vAlign w:val="center"/>
          </w:tcPr>
          <w:p>
            <w:r>
              <w:rPr>
                <w:b w:val="false"/>
                <w:bCs w:val="false"/>
                <w:sz w:val="18"/>
                <w:szCs w:val="18"/>
              </w:rPr>
              <w:t xml:space="preserve">BUR</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Consultation de l'indice de conformité (agrégé)</w:t>
            </w:r>
          </w:p>
        </w:tc>
        <w:tc>
          <w:tcPr>
            <w:tcW w:type="pct" w:w="28%"/>
            <w:shd w:fill="F5F5F5" w:val="clear"/>
            <w:tcMar>
              <w:top w:type="dxa" w:w="80"/>
              <w:left w:type="dxa" w:w="100"/>
              <w:bottom w:type="dxa" w:w="80"/>
              <w:right w:type="dxa" w:w="100"/>
            </w:tcMar>
            <w:vAlign w:val="center"/>
          </w:tcPr>
          <w:p>
            <w:r>
              <w:rPr>
                <w:b w:val="false"/>
                <w:bCs w:val="false"/>
                <w:sz w:val="18"/>
                <w:szCs w:val="18"/>
              </w:rPr>
              <w:t xml:space="preserve">IDA</w:t>
            </w:r>
          </w:p>
        </w:tc>
      </w:tr>
    </w:tbl>
    <w:p>
      <w:pPr>
        <w:pStyle w:val="Heading2"/>
        <w:spacing w:after="140" w:before="260"/>
      </w:pPr>
      <w:r>
        <w:rPr>
          <w:b/>
          <w:bCs/>
          <w:color w:val="8A0F13"/>
          <w:sz w:val="24"/>
          <w:szCs w:val="24"/>
        </w:rPr>
        <w:t xml:space="preserve">4.4 Portail web (app unique) — rôle Transporteur</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6480"/>
        <w:gridCol w:w="2520"/>
      </w:tblGrid>
      <w:tr>
        <w:trPr>
          <w:tblHeader/>
        </w:trPr>
        <w:tc>
          <w:tcPr>
            <w:tcW w:type="pct" w:w="72%"/>
            <w:shd w:fill="2B2B2B" w:val="clear"/>
            <w:tcMar>
              <w:top w:type="dxa" w:w="80"/>
              <w:left w:type="dxa" w:w="100"/>
              <w:bottom w:type="dxa" w:w="80"/>
              <w:right w:type="dxa" w:w="100"/>
            </w:tcMar>
            <w:vAlign w:val="center"/>
          </w:tcPr>
          <w:p>
            <w:r>
              <w:rPr>
                <w:b/>
                <w:bCs/>
                <w:color w:val="FFFFFF"/>
                <w:sz w:val="18"/>
                <w:szCs w:val="18"/>
              </w:rPr>
              <w:t xml:space="preserve">Écran</w:t>
            </w:r>
          </w:p>
        </w:tc>
        <w:tc>
          <w:tcPr>
            <w:tcW w:type="pct" w:w="28%"/>
            <w:shd w:fill="2B2B2B" w:val="clear"/>
            <w:tcMar>
              <w:top w:type="dxa" w:w="80"/>
              <w:left w:type="dxa" w:w="100"/>
              <w:bottom w:type="dxa" w:w="80"/>
              <w:right w:type="dxa" w:w="100"/>
            </w:tcMar>
            <w:vAlign w:val="center"/>
          </w:tcPr>
          <w:p>
            <w:r>
              <w:rPr>
                <w:b/>
                <w:bCs/>
                <w:color w:val="FFFFFF"/>
                <w:sz w:val="18"/>
                <w:szCs w:val="18"/>
              </w:rPr>
              <w:t xml:space="preserve">Module lié</w:t>
            </w:r>
          </w:p>
        </w:tc>
      </w:tr>
      <w:tr>
        <w:tc>
          <w:tcPr>
            <w:tcW w:type="pct" w:w="72%"/>
            <w:tcMar>
              <w:top w:type="dxa" w:w="80"/>
              <w:left w:type="dxa" w:w="100"/>
              <w:bottom w:type="dxa" w:w="80"/>
              <w:right w:type="dxa" w:w="100"/>
            </w:tcMar>
            <w:vAlign w:val="center"/>
          </w:tcPr>
          <w:p>
            <w:r>
              <w:rPr>
                <w:b w:val="false"/>
                <w:bCs w:val="false"/>
                <w:sz w:val="18"/>
                <w:szCs w:val="18"/>
              </w:rPr>
              <w:t xml:space="preserve">Connexion portail transporteur</w:t>
            </w:r>
          </w:p>
        </w:tc>
        <w:tc>
          <w:tcPr>
            <w:tcW w:type="pct" w:w="28%"/>
            <w:tcMar>
              <w:top w:type="dxa" w:w="80"/>
              <w:left w:type="dxa" w:w="100"/>
              <w:bottom w:type="dxa" w:w="80"/>
              <w:right w:type="dxa" w:w="100"/>
            </w:tcMar>
            <w:vAlign w:val="center"/>
          </w:tcPr>
          <w:p>
            <w:r>
              <w:rPr>
                <w:b w:val="false"/>
                <w:bCs w:val="false"/>
                <w:sz w:val="18"/>
                <w:szCs w:val="18"/>
              </w:rPr>
              <w:t xml:space="preserve">IDA</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Console de flotte complète (véhicules, chauffeurs, disponibilités, essieux)</w:t>
            </w:r>
          </w:p>
        </w:tc>
        <w:tc>
          <w:tcPr>
            <w:tcW w:type="pct" w:w="28%"/>
            <w:shd w:fill="F5F5F5" w:val="clear"/>
            <w:tcMar>
              <w:top w:type="dxa" w:w="80"/>
              <w:left w:type="dxa" w:w="100"/>
              <w:bottom w:type="dxa" w:w="80"/>
              <w:right w:type="dxa" w:w="100"/>
            </w:tcMar>
            <w:vAlign w:val="center"/>
          </w:tcPr>
          <w:p>
            <w:r>
              <w:rPr>
                <w:b w:val="false"/>
                <w:bCs w:val="false"/>
                <w:sz w:val="18"/>
                <w:szCs w:val="18"/>
              </w:rPr>
              <w:t xml:space="preserve">FLT</w:t>
            </w:r>
          </w:p>
        </w:tc>
      </w:tr>
      <w:tr>
        <w:tc>
          <w:tcPr>
            <w:tcW w:type="pct" w:w="72%"/>
            <w:tcMar>
              <w:top w:type="dxa" w:w="80"/>
              <w:left w:type="dxa" w:w="100"/>
              <w:bottom w:type="dxa" w:w="80"/>
              <w:right w:type="dxa" w:w="100"/>
            </w:tcMar>
            <w:vAlign w:val="center"/>
          </w:tcPr>
          <w:p>
            <w:r>
              <w:rPr>
                <w:b w:val="false"/>
                <w:bCs w:val="false"/>
                <w:sz w:val="18"/>
                <w:szCs w:val="18"/>
              </w:rPr>
              <w:t xml:space="preserve">Connecteurs de systèmes de gestion de flotte tiers (3 niveaux d'intégration)</w:t>
            </w:r>
          </w:p>
        </w:tc>
        <w:tc>
          <w:tcPr>
            <w:tcW w:type="pct" w:w="28%"/>
            <w:tcMar>
              <w:top w:type="dxa" w:w="80"/>
              <w:left w:type="dxa" w:w="100"/>
              <w:bottom w:type="dxa" w:w="80"/>
              <w:right w:type="dxa" w:w="100"/>
            </w:tcMar>
            <w:vAlign w:val="center"/>
          </w:tcPr>
          <w:p>
            <w:r>
              <w:rPr>
                <w:b w:val="false"/>
                <w:bCs w:val="false"/>
                <w:sz w:val="18"/>
                <w:szCs w:val="18"/>
              </w:rPr>
              <w:t xml:space="preserve">FLT</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Vue des missions en cours / à venir, réattribution</w:t>
            </w:r>
          </w:p>
        </w:tc>
        <w:tc>
          <w:tcPr>
            <w:tcW w:type="pct" w:w="28%"/>
            <w:shd w:fill="F5F5F5" w:val="clear"/>
            <w:tcMar>
              <w:top w:type="dxa" w:w="80"/>
              <w:left w:type="dxa" w:w="100"/>
              <w:bottom w:type="dxa" w:w="80"/>
              <w:right w:type="dxa" w:w="100"/>
            </w:tcMar>
            <w:vAlign w:val="center"/>
          </w:tcPr>
          <w:p>
            <w:r>
              <w:rPr>
                <w:b w:val="false"/>
                <w:bCs w:val="false"/>
                <w:sz w:val="18"/>
                <w:szCs w:val="18"/>
              </w:rPr>
              <w:t xml:space="preserve">MKT / EXE</w:t>
            </w:r>
          </w:p>
        </w:tc>
      </w:tr>
      <w:tr>
        <w:tc>
          <w:tcPr>
            <w:tcW w:type="pct" w:w="72%"/>
            <w:tcMar>
              <w:top w:type="dxa" w:w="80"/>
              <w:left w:type="dxa" w:w="100"/>
              <w:bottom w:type="dxa" w:w="80"/>
              <w:right w:type="dxa" w:w="100"/>
            </w:tcMar>
            <w:vAlign w:val="center"/>
          </w:tcPr>
          <w:p>
            <w:r>
              <w:rPr>
                <w:b w:val="false"/>
                <w:bCs w:val="false"/>
                <w:sz w:val="18"/>
                <w:szCs w:val="18"/>
              </w:rPr>
              <w:t xml:space="preserve">Grand livre des paiements (ses écritures)</w:t>
            </w:r>
          </w:p>
        </w:tc>
        <w:tc>
          <w:tcPr>
            <w:tcW w:type="pct" w:w="28%"/>
            <w:tcMar>
              <w:top w:type="dxa" w:w="80"/>
              <w:left w:type="dxa" w:w="100"/>
              <w:bottom w:type="dxa" w:w="80"/>
              <w:right w:type="dxa" w:w="100"/>
            </w:tcMar>
            <w:vAlign w:val="center"/>
          </w:tcPr>
          <w:p>
            <w:r>
              <w:rPr>
                <w:b w:val="false"/>
                <w:bCs w:val="false"/>
                <w:sz w:val="18"/>
                <w:szCs w:val="18"/>
              </w:rPr>
              <w:t xml:space="preserve">PAY</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Indice de conformité de ses chauffeurs</w:t>
            </w:r>
          </w:p>
        </w:tc>
        <w:tc>
          <w:tcPr>
            <w:tcW w:type="pct" w:w="28%"/>
            <w:shd w:fill="F5F5F5" w:val="clear"/>
            <w:tcMar>
              <w:top w:type="dxa" w:w="80"/>
              <w:left w:type="dxa" w:w="100"/>
              <w:bottom w:type="dxa" w:w="80"/>
              <w:right w:type="dxa" w:w="100"/>
            </w:tcMar>
            <w:vAlign w:val="center"/>
          </w:tcPr>
          <w:p>
            <w:r>
              <w:rPr>
                <w:b w:val="false"/>
                <w:bCs w:val="false"/>
                <w:sz w:val="18"/>
                <w:szCs w:val="18"/>
              </w:rPr>
              <w:t xml:space="preserve">IDA</w:t>
            </w:r>
          </w:p>
        </w:tc>
      </w:tr>
    </w:tbl>
    <w:p>
      <w:pPr>
        <w:pStyle w:val="Heading2"/>
        <w:spacing w:after="140" w:before="260"/>
      </w:pPr>
      <w:r>
        <w:rPr>
          <w:b/>
          <w:bCs/>
          <w:color w:val="8A0F13"/>
          <w:sz w:val="24"/>
          <w:szCs w:val="24"/>
        </w:rPr>
        <w:t xml:space="preserve">4.5 Portail web (app unique) — rôle Administration (back-office Flysoft)</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6480"/>
        <w:gridCol w:w="2520"/>
      </w:tblGrid>
      <w:tr>
        <w:trPr>
          <w:tblHeader/>
        </w:trPr>
        <w:tc>
          <w:tcPr>
            <w:tcW w:type="pct" w:w="72%"/>
            <w:shd w:fill="2B2B2B" w:val="clear"/>
            <w:tcMar>
              <w:top w:type="dxa" w:w="80"/>
              <w:left w:type="dxa" w:w="100"/>
              <w:bottom w:type="dxa" w:w="80"/>
              <w:right w:type="dxa" w:w="100"/>
            </w:tcMar>
            <w:vAlign w:val="center"/>
          </w:tcPr>
          <w:p>
            <w:r>
              <w:rPr>
                <w:b/>
                <w:bCs/>
                <w:color w:val="FFFFFF"/>
                <w:sz w:val="18"/>
                <w:szCs w:val="18"/>
              </w:rPr>
              <w:t xml:space="preserve">Écran</w:t>
            </w:r>
          </w:p>
        </w:tc>
        <w:tc>
          <w:tcPr>
            <w:tcW w:type="pct" w:w="28%"/>
            <w:shd w:fill="2B2B2B" w:val="clear"/>
            <w:tcMar>
              <w:top w:type="dxa" w:w="80"/>
              <w:left w:type="dxa" w:w="100"/>
              <w:bottom w:type="dxa" w:w="80"/>
              <w:right w:type="dxa" w:w="100"/>
            </w:tcMar>
            <w:vAlign w:val="center"/>
          </w:tcPr>
          <w:p>
            <w:r>
              <w:rPr>
                <w:b/>
                <w:bCs/>
                <w:color w:val="FFFFFF"/>
                <w:sz w:val="18"/>
                <w:szCs w:val="18"/>
              </w:rPr>
              <w:t xml:space="preserve">Module lié</w:t>
            </w:r>
          </w:p>
        </w:tc>
      </w:tr>
      <w:tr>
        <w:tc>
          <w:tcPr>
            <w:tcW w:type="pct" w:w="72%"/>
            <w:tcMar>
              <w:top w:type="dxa" w:w="80"/>
              <w:left w:type="dxa" w:w="100"/>
              <w:bottom w:type="dxa" w:w="80"/>
              <w:right w:type="dxa" w:w="100"/>
            </w:tcMar>
            <w:vAlign w:val="center"/>
          </w:tcPr>
          <w:p>
            <w:r>
              <w:rPr>
                <w:b w:val="false"/>
                <w:bCs w:val="false"/>
                <w:sz w:val="18"/>
                <w:szCs w:val="18"/>
              </w:rPr>
              <w:t xml:space="preserve">File de travail priorisée (modération, incidents, litiges)</w:t>
            </w:r>
          </w:p>
        </w:tc>
        <w:tc>
          <w:tcPr>
            <w:tcW w:type="pct" w:w="28%"/>
            <w:tcMar>
              <w:top w:type="dxa" w:w="80"/>
              <w:left w:type="dxa" w:w="100"/>
              <w:bottom w:type="dxa" w:w="80"/>
              <w:right w:type="dxa" w:w="100"/>
            </w:tcMar>
            <w:vAlign w:val="center"/>
          </w:tcPr>
          <w:p>
            <w:r>
              <w:rPr>
                <w:b w:val="false"/>
                <w:bCs w:val="false"/>
                <w:sz w:val="18"/>
                <w:szCs w:val="18"/>
              </w:rPr>
              <w:t xml:space="preserve">ADM</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Dossier consolidé (mission, parties, chronologie, preuves, écritures)</w:t>
            </w:r>
          </w:p>
        </w:tc>
        <w:tc>
          <w:tcPr>
            <w:tcW w:type="pct" w:w="28%"/>
            <w:shd w:fill="F5F5F5" w:val="clear"/>
            <w:tcMar>
              <w:top w:type="dxa" w:w="80"/>
              <w:left w:type="dxa" w:w="100"/>
              <w:bottom w:type="dxa" w:w="80"/>
              <w:right w:type="dxa" w:w="100"/>
            </w:tcMar>
            <w:vAlign w:val="center"/>
          </w:tcPr>
          <w:p>
            <w:r>
              <w:rPr>
                <w:b w:val="false"/>
                <w:bCs w:val="false"/>
                <w:sz w:val="18"/>
                <w:szCs w:val="18"/>
              </w:rPr>
              <w:t xml:space="preserve">ADM</w:t>
            </w:r>
          </w:p>
        </w:tc>
      </w:tr>
      <w:tr>
        <w:tc>
          <w:tcPr>
            <w:tcW w:type="pct" w:w="72%"/>
            <w:tcMar>
              <w:top w:type="dxa" w:w="80"/>
              <w:left w:type="dxa" w:w="100"/>
              <w:bottom w:type="dxa" w:w="80"/>
              <w:right w:type="dxa" w:w="100"/>
            </w:tcMar>
            <w:vAlign w:val="center"/>
          </w:tcPr>
          <w:p>
            <w:r>
              <w:rPr>
                <w:b w:val="false"/>
                <w:bCs w:val="false"/>
                <w:sz w:val="18"/>
                <w:szCs w:val="18"/>
              </w:rPr>
              <w:t xml:space="preserve">Console de configuration versionnée et auditée</w:t>
            </w:r>
          </w:p>
        </w:tc>
        <w:tc>
          <w:tcPr>
            <w:tcW w:type="pct" w:w="28%"/>
            <w:tcMar>
              <w:top w:type="dxa" w:w="80"/>
              <w:left w:type="dxa" w:w="100"/>
              <w:bottom w:type="dxa" w:w="80"/>
              <w:right w:type="dxa" w:w="100"/>
            </w:tcMar>
            <w:vAlign w:val="center"/>
          </w:tcPr>
          <w:p>
            <w:r>
              <w:rPr>
                <w:b w:val="false"/>
                <w:bCs w:val="false"/>
                <w:sz w:val="18"/>
                <w:szCs w:val="18"/>
              </w:rPr>
              <w:t xml:space="preserve">ADM</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Référentiel documentaire KYC par pays / type d'acteur</w:t>
            </w:r>
          </w:p>
        </w:tc>
        <w:tc>
          <w:tcPr>
            <w:tcW w:type="pct" w:w="28%"/>
            <w:shd w:fill="F5F5F5" w:val="clear"/>
            <w:tcMar>
              <w:top w:type="dxa" w:w="80"/>
              <w:left w:type="dxa" w:w="100"/>
              <w:bottom w:type="dxa" w:w="80"/>
              <w:right w:type="dxa" w:w="100"/>
            </w:tcMar>
            <w:vAlign w:val="center"/>
          </w:tcPr>
          <w:p>
            <w:r>
              <w:rPr>
                <w:b w:val="false"/>
                <w:bCs w:val="false"/>
                <w:sz w:val="18"/>
                <w:szCs w:val="18"/>
              </w:rPr>
              <w:t xml:space="preserve">IDA</w:t>
            </w:r>
          </w:p>
        </w:tc>
      </w:tr>
      <w:tr>
        <w:tc>
          <w:tcPr>
            <w:tcW w:type="pct" w:w="72%"/>
            <w:tcMar>
              <w:top w:type="dxa" w:w="80"/>
              <w:left w:type="dxa" w:w="100"/>
              <w:bottom w:type="dxa" w:w="80"/>
              <w:right w:type="dxa" w:w="100"/>
            </w:tcMar>
            <w:vAlign w:val="center"/>
          </w:tcPr>
          <w:p>
            <w:r>
              <w:rPr>
                <w:b w:val="false"/>
                <w:bCs w:val="false"/>
                <w:sz w:val="18"/>
                <w:szCs w:val="18"/>
              </w:rPr>
              <w:t xml:space="preserve">Administration RBAC / utilisateurs / tenants</w:t>
            </w:r>
          </w:p>
        </w:tc>
        <w:tc>
          <w:tcPr>
            <w:tcW w:type="pct" w:w="28%"/>
            <w:tcMar>
              <w:top w:type="dxa" w:w="80"/>
              <w:left w:type="dxa" w:w="100"/>
              <w:bottom w:type="dxa" w:w="80"/>
              <w:right w:type="dxa" w:w="100"/>
            </w:tcMar>
            <w:vAlign w:val="center"/>
          </w:tcPr>
          <w:p>
            <w:r>
              <w:rPr>
                <w:b w:val="false"/>
                <w:bCs w:val="false"/>
                <w:sz w:val="18"/>
                <w:szCs w:val="18"/>
              </w:rPr>
              <w:t xml:space="preserve">IDA / INT</w:t>
            </w:r>
          </w:p>
        </w:tc>
      </w:tr>
      <w:tr>
        <w:tc>
          <w:tcPr>
            <w:tcW w:type="pct" w:w="72%"/>
            <w:shd w:fill="F5F5F5" w:val="clear"/>
            <w:tcMar>
              <w:top w:type="dxa" w:w="80"/>
              <w:left w:type="dxa" w:w="100"/>
              <w:bottom w:type="dxa" w:w="80"/>
              <w:right w:type="dxa" w:w="100"/>
            </w:tcMar>
            <w:vAlign w:val="center"/>
          </w:tcPr>
          <w:p>
            <w:r>
              <w:rPr>
                <w:b w:val="false"/>
                <w:bCs w:val="false"/>
                <w:sz w:val="18"/>
                <w:szCs w:val="18"/>
              </w:rPr>
              <w:t xml:space="preserve">Journal d'audit consultable et exportable</w:t>
            </w:r>
          </w:p>
        </w:tc>
        <w:tc>
          <w:tcPr>
            <w:tcW w:type="pct" w:w="28%"/>
            <w:shd w:fill="F5F5F5" w:val="clear"/>
            <w:tcMar>
              <w:top w:type="dxa" w:w="80"/>
              <w:left w:type="dxa" w:w="100"/>
              <w:bottom w:type="dxa" w:w="80"/>
              <w:right w:type="dxa" w:w="100"/>
            </w:tcMar>
            <w:vAlign w:val="center"/>
          </w:tcPr>
          <w:p>
            <w:r>
              <w:rPr>
                <w:b w:val="false"/>
                <w:bCs w:val="false"/>
                <w:sz w:val="18"/>
                <w:szCs w:val="18"/>
              </w:rPr>
              <w:t xml:space="preserve">ADM</w:t>
            </w:r>
          </w:p>
        </w:tc>
      </w:tr>
    </w:tbl>
    <w:p>
      <w:pPr>
        <w:spacing w:after="120"/>
      </w:pPr>
    </w:p>
    <w:p>
      <w:pPr>
        <w:spacing w:after="160"/>
      </w:pPr>
      <w:r>
        <w:rPr>
          <w:i/>
          <w:iCs/>
          <w:sz w:val="20"/>
          <w:szCs w:val="20"/>
        </w:rPr>
        <w:t xml:space="preserve">Le mobile couvre le périmètre MVP demande/offre (IDA, CAP, MKT, EXE, NOT, FLT). Le moteur couvre l'appariement et le référentiel géospatial (MAT, OPT, TRK, GEO), consommés en API par les deux autres volets. Le portail web couvre la supervision et l'exploitation (BUR, PAY, ADM) et s'enrichit en Phase 2-3 avec l'observatoire complet, l'analytique et les exports de conformité.</w:t>
      </w:r>
    </w:p>
    <w:p>
      <w:r>
        <w:br w:type="page"/>
      </w:r>
    </w:p>
    <w:p>
      <w:pPr>
        <w:pStyle w:val="Heading1"/>
        <w:spacing w:after="180" w:before="360"/>
      </w:pPr>
      <w:r>
        <w:rPr>
          <w:b/>
          <w:bCs/>
          <w:color w:val="D40F16"/>
          <w:sz w:val="30"/>
          <w:szCs w:val="30"/>
        </w:rPr>
        <w:t xml:space="preserve">5. Méthode de travail : apprendre → réaliser → présenter</w:t>
      </w:r>
    </w:p>
    <w:p>
      <w:pPr>
        <w:spacing w:after="160"/>
      </w:pPr>
      <w:r>
        <w:rPr>
          <w:sz w:val="20"/>
          <w:szCs w:val="20"/>
        </w:rPr>
        <w:t xml:space="preserve">Pour chaque notion des tableaux du §3 (mobile, backend &amp; moteur, web), on suit la même boucle en trois temps. Avec trois personnes en parallèle, un point de synchronisation hebdomadaire s'ajoute pour vérifier que les contrats d'API (OpenAPI/AsyncAPI) entre volets restent alignés.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980"/>
        <w:gridCol w:w="7020"/>
      </w:tblGrid>
      <w:tr>
        <w:trPr>
          <w:tblHeader/>
        </w:trPr>
        <w:tc>
          <w:tcPr>
            <w:tcW w:type="pct" w:w="22%"/>
            <w:shd w:fill="2B2B2B" w:val="clear"/>
            <w:tcMar>
              <w:top w:type="dxa" w:w="80"/>
              <w:left w:type="dxa" w:w="100"/>
              <w:bottom w:type="dxa" w:w="80"/>
              <w:right w:type="dxa" w:w="100"/>
            </w:tcMar>
            <w:vAlign w:val="center"/>
          </w:tcPr>
          <w:p>
            <w:r>
              <w:rPr>
                <w:b/>
                <w:bCs/>
                <w:color w:val="FFFFFF"/>
                <w:sz w:val="18"/>
                <w:szCs w:val="18"/>
              </w:rPr>
              <w:t xml:space="preserve">Étape</w:t>
            </w:r>
          </w:p>
        </w:tc>
        <w:tc>
          <w:tcPr>
            <w:tcW w:type="pct" w:w="78%"/>
            <w:shd w:fill="2B2B2B" w:val="clear"/>
            <w:tcMar>
              <w:top w:type="dxa" w:w="80"/>
              <w:left w:type="dxa" w:w="100"/>
              <w:bottom w:type="dxa" w:w="80"/>
              <w:right w:type="dxa" w:w="100"/>
            </w:tcMar>
            <w:vAlign w:val="center"/>
          </w:tcPr>
          <w:p>
            <w:r>
              <w:rPr>
                <w:b/>
                <w:bCs/>
                <w:color w:val="FFFFFF"/>
                <w:sz w:val="18"/>
                <w:szCs w:val="18"/>
              </w:rPr>
              <w:t xml:space="preserve">Contenu</w:t>
            </w:r>
          </w:p>
        </w:tc>
      </w:tr>
      <w:tr>
        <w:tc>
          <w:tcPr>
            <w:tcW w:type="pct" w:w="22%"/>
            <w:tcMar>
              <w:top w:type="dxa" w:w="80"/>
              <w:left w:type="dxa" w:w="100"/>
              <w:bottom w:type="dxa" w:w="80"/>
              <w:right w:type="dxa" w:w="100"/>
            </w:tcMar>
            <w:vAlign w:val="center"/>
          </w:tcPr>
          <w:p>
            <w:r>
              <w:rPr>
                <w:b w:val="false"/>
                <w:bCs w:val="false"/>
                <w:sz w:val="18"/>
                <w:szCs w:val="18"/>
              </w:rPr>
              <w:t xml:space="preserve">1. Apprendre</w:t>
            </w:r>
          </w:p>
        </w:tc>
        <w:tc>
          <w:tcPr>
            <w:tcW w:type="pct" w:w="78%"/>
            <w:tcMar>
              <w:top w:type="dxa" w:w="80"/>
              <w:left w:type="dxa" w:w="100"/>
              <w:bottom w:type="dxa" w:w="80"/>
              <w:right w:type="dxa" w:w="100"/>
            </w:tcMar>
            <w:vAlign w:val="center"/>
          </w:tcPr>
          <w:p>
            <w:r>
              <w:rPr>
                <w:b w:val="false"/>
                <w:bCs w:val="false"/>
                <w:sz w:val="18"/>
                <w:szCs w:val="18"/>
              </w:rPr>
              <w:t xml:space="preserve">Explication de la notion, exemples simples, points de vigilance propres à FretCorridor V4.</w:t>
            </w:r>
          </w:p>
        </w:tc>
      </w:tr>
      <w:tr>
        <w:tc>
          <w:tcPr>
            <w:tcW w:type="pct" w:w="22%"/>
            <w:shd w:fill="F5F5F5" w:val="clear"/>
            <w:tcMar>
              <w:top w:type="dxa" w:w="80"/>
              <w:left w:type="dxa" w:w="100"/>
              <w:bottom w:type="dxa" w:w="80"/>
              <w:right w:type="dxa" w:w="100"/>
            </w:tcMar>
            <w:vAlign w:val="center"/>
          </w:tcPr>
          <w:p>
            <w:r>
              <w:rPr>
                <w:b w:val="false"/>
                <w:bCs w:val="false"/>
                <w:sz w:val="18"/>
                <w:szCs w:val="18"/>
              </w:rPr>
              <w:t xml:space="preserve">2. Réaliser</w:t>
            </w:r>
          </w:p>
        </w:tc>
        <w:tc>
          <w:tcPr>
            <w:tcW w:type="pct" w:w="78%"/>
            <w:shd w:fill="F5F5F5" w:val="clear"/>
            <w:tcMar>
              <w:top w:type="dxa" w:w="80"/>
              <w:left w:type="dxa" w:w="100"/>
              <w:bottom w:type="dxa" w:w="80"/>
              <w:right w:type="dxa" w:w="100"/>
            </w:tcMar>
            <w:vAlign w:val="center"/>
          </w:tcPr>
          <w:p>
            <w:r>
              <w:rPr>
                <w:b w:val="false"/>
                <w:bCs w:val="false"/>
                <w:sz w:val="18"/>
                <w:szCs w:val="18"/>
              </w:rPr>
              <w:t xml:space="preserve">Mise en pratique sur un petit bout du volet concerné (écran mobile, service back-end, page web…).</w:t>
            </w:r>
          </w:p>
        </w:tc>
      </w:tr>
      <w:tr>
        <w:tc>
          <w:tcPr>
            <w:tcW w:type="pct" w:w="22%"/>
            <w:tcMar>
              <w:top w:type="dxa" w:w="80"/>
              <w:left w:type="dxa" w:w="100"/>
              <w:bottom w:type="dxa" w:w="80"/>
              <w:right w:type="dxa" w:w="100"/>
            </w:tcMar>
            <w:vAlign w:val="center"/>
          </w:tcPr>
          <w:p>
            <w:r>
              <w:rPr>
                <w:b w:val="false"/>
                <w:bCs w:val="false"/>
                <w:sz w:val="18"/>
                <w:szCs w:val="18"/>
              </w:rPr>
              <w:t xml:space="preserve">3. Présenter</w:t>
            </w:r>
          </w:p>
        </w:tc>
        <w:tc>
          <w:tcPr>
            <w:tcW w:type="pct" w:w="78%"/>
            <w:tcMar>
              <w:top w:type="dxa" w:w="80"/>
              <w:left w:type="dxa" w:w="100"/>
              <w:bottom w:type="dxa" w:w="80"/>
              <w:right w:type="dxa" w:w="100"/>
            </w:tcMar>
            <w:vAlign w:val="center"/>
          </w:tcPr>
          <w:p>
            <w:r>
              <w:rPr>
                <w:b w:val="false"/>
                <w:bCs w:val="false"/>
                <w:sz w:val="18"/>
                <w:szCs w:val="18"/>
              </w:rPr>
              <w:t xml:space="preserve">Un support PowerPoint est préparé pour expliquer la notion : définition, schéma, exemple de code, lien avec FretCorridor.</w:t>
            </w:r>
          </w:p>
        </w:tc>
      </w:tr>
    </w:tbl>
    <w:p>
      <w:pPr>
        <w:spacing w:after="120"/>
      </w:pPr>
    </w:p>
    <w:p>
      <w:pPr>
        <w:pStyle w:val="Heading2"/>
        <w:spacing w:after="140" w:before="260"/>
      </w:pPr>
      <w:r>
        <w:rPr>
          <w:b/>
          <w:bCs/>
          <w:color w:val="8A0F13"/>
          <w:sz w:val="24"/>
          <w:szCs w:val="24"/>
        </w:rPr>
        <w:t xml:space="preserve">5.1 Rythme de coordination à trois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2700"/>
        <w:gridCol w:w="1980"/>
        <w:gridCol w:w="4320"/>
      </w:tblGrid>
      <w:tr>
        <w:trPr>
          <w:tblHeader/>
        </w:trPr>
        <w:tc>
          <w:tcPr>
            <w:tcW w:type="pct" w:w="30%"/>
            <w:shd w:fill="2B2B2B" w:val="clear"/>
            <w:tcMar>
              <w:top w:type="dxa" w:w="80"/>
              <w:left w:type="dxa" w:w="100"/>
              <w:bottom w:type="dxa" w:w="80"/>
              <w:right w:type="dxa" w:w="100"/>
            </w:tcMar>
            <w:vAlign w:val="center"/>
          </w:tcPr>
          <w:p>
            <w:r>
              <w:rPr>
                <w:b/>
                <w:bCs/>
                <w:color w:val="FFFFFF"/>
                <w:sz w:val="18"/>
                <w:szCs w:val="18"/>
              </w:rPr>
              <w:t xml:space="preserve">Rituel</w:t>
            </w:r>
          </w:p>
        </w:tc>
        <w:tc>
          <w:tcPr>
            <w:tcW w:type="pct" w:w="22%"/>
            <w:shd w:fill="2B2B2B" w:val="clear"/>
            <w:tcMar>
              <w:top w:type="dxa" w:w="80"/>
              <w:left w:type="dxa" w:w="100"/>
              <w:bottom w:type="dxa" w:w="80"/>
              <w:right w:type="dxa" w:w="100"/>
            </w:tcMar>
            <w:vAlign w:val="center"/>
          </w:tcPr>
          <w:p>
            <w:r>
              <w:rPr>
                <w:b/>
                <w:bCs/>
                <w:color w:val="FFFFFF"/>
                <w:sz w:val="18"/>
                <w:szCs w:val="18"/>
              </w:rPr>
              <w:t xml:space="preserve">Fréquence</w:t>
            </w:r>
          </w:p>
        </w:tc>
        <w:tc>
          <w:tcPr>
            <w:tcW w:type="pct" w:w="48%"/>
            <w:shd w:fill="2B2B2B" w:val="clear"/>
            <w:tcMar>
              <w:top w:type="dxa" w:w="80"/>
              <w:left w:type="dxa" w:w="100"/>
              <w:bottom w:type="dxa" w:w="80"/>
              <w:right w:type="dxa" w:w="100"/>
            </w:tcMar>
            <w:vAlign w:val="center"/>
          </w:tcPr>
          <w:p>
            <w:r>
              <w:rPr>
                <w:b/>
                <w:bCs/>
                <w:color w:val="FFFFFF"/>
                <w:sz w:val="18"/>
                <w:szCs w:val="18"/>
              </w:rPr>
              <w:t xml:space="preserve">Objet</w:t>
            </w:r>
          </w:p>
        </w:tc>
      </w:tr>
      <w:tr>
        <w:tc>
          <w:tcPr>
            <w:tcW w:type="pct" w:w="30%"/>
            <w:tcMar>
              <w:top w:type="dxa" w:w="80"/>
              <w:left w:type="dxa" w:w="100"/>
              <w:bottom w:type="dxa" w:w="80"/>
              <w:right w:type="dxa" w:w="100"/>
            </w:tcMar>
            <w:vAlign w:val="center"/>
          </w:tcPr>
          <w:p>
            <w:r>
              <w:rPr>
                <w:b w:val="false"/>
                <w:bCs w:val="false"/>
                <w:sz w:val="18"/>
                <w:szCs w:val="18"/>
              </w:rPr>
              <w:t xml:space="preserve">Point de synchronisation des contrats d'API</w:t>
            </w:r>
          </w:p>
        </w:tc>
        <w:tc>
          <w:tcPr>
            <w:tcW w:type="pct" w:w="22%"/>
            <w:tcMar>
              <w:top w:type="dxa" w:w="80"/>
              <w:left w:type="dxa" w:w="100"/>
              <w:bottom w:type="dxa" w:w="80"/>
              <w:right w:type="dxa" w:w="100"/>
            </w:tcMar>
            <w:vAlign w:val="center"/>
          </w:tcPr>
          <w:p>
            <w:r>
              <w:rPr>
                <w:b w:val="false"/>
                <w:bCs w:val="false"/>
                <w:sz w:val="18"/>
                <w:szCs w:val="18"/>
              </w:rPr>
              <w:t xml:space="preserve">Hebdomadaire</w:t>
            </w:r>
          </w:p>
        </w:tc>
        <w:tc>
          <w:tcPr>
            <w:tcW w:type="pct" w:w="48%"/>
            <w:tcMar>
              <w:top w:type="dxa" w:w="80"/>
              <w:left w:type="dxa" w:w="100"/>
              <w:bottom w:type="dxa" w:w="80"/>
              <w:right w:type="dxa" w:w="100"/>
            </w:tcMar>
            <w:vAlign w:val="center"/>
          </w:tcPr>
          <w:p>
            <w:r>
              <w:rPr>
                <w:b w:val="false"/>
                <w:bCs w:val="false"/>
                <w:sz w:val="18"/>
                <w:szCs w:val="18"/>
              </w:rPr>
              <w:t xml:space="preserve">Vérifier que les DTO/événements Kafka publiés par le backend correspondent à ce que mobile et web consomment ; geler les changements cassants.</w:t>
            </w:r>
          </w:p>
        </w:tc>
      </w:tr>
      <w:tr>
        <w:tc>
          <w:tcPr>
            <w:tcW w:type="pct" w:w="30%"/>
            <w:shd w:fill="F5F5F5" w:val="clear"/>
            <w:tcMar>
              <w:top w:type="dxa" w:w="80"/>
              <w:left w:type="dxa" w:w="100"/>
              <w:bottom w:type="dxa" w:w="80"/>
              <w:right w:type="dxa" w:w="100"/>
            </w:tcMar>
            <w:vAlign w:val="center"/>
          </w:tcPr>
          <w:p>
            <w:r>
              <w:rPr>
                <w:b w:val="false"/>
                <w:bCs w:val="false"/>
                <w:sz w:val="18"/>
                <w:szCs w:val="18"/>
              </w:rPr>
              <w:t xml:space="preserve">Revue de sprint (démo bout en bout)</w:t>
            </w:r>
          </w:p>
        </w:tc>
        <w:tc>
          <w:tcPr>
            <w:tcW w:type="pct" w:w="22%"/>
            <w:shd w:fill="F5F5F5" w:val="clear"/>
            <w:tcMar>
              <w:top w:type="dxa" w:w="80"/>
              <w:left w:type="dxa" w:w="100"/>
              <w:bottom w:type="dxa" w:w="80"/>
              <w:right w:type="dxa" w:w="100"/>
            </w:tcMar>
            <w:vAlign w:val="center"/>
          </w:tcPr>
          <w:p>
            <w:r>
              <w:rPr>
                <w:b w:val="false"/>
                <w:bCs w:val="false"/>
                <w:sz w:val="18"/>
                <w:szCs w:val="18"/>
              </w:rPr>
              <w:t xml:space="preserve">Fin de chaque sprint (cf. Plan d'exécution §7)</w:t>
            </w:r>
          </w:p>
        </w:tc>
        <w:tc>
          <w:tcPr>
            <w:tcW w:type="pct" w:w="48%"/>
            <w:shd w:fill="F5F5F5" w:val="clear"/>
            <w:tcMar>
              <w:top w:type="dxa" w:w="80"/>
              <w:left w:type="dxa" w:w="100"/>
              <w:bottom w:type="dxa" w:w="80"/>
              <w:right w:type="dxa" w:w="100"/>
            </w:tcMar>
            <w:vAlign w:val="center"/>
          </w:tcPr>
          <w:p>
            <w:r>
              <w:rPr>
                <w:b w:val="false"/>
                <w:bCs w:val="false"/>
                <w:sz w:val="18"/>
                <w:szCs w:val="18"/>
              </w:rPr>
              <w:t xml:space="preserve">Démonstration mobile + web + backend sur la même fonctionnalité, jamais un volet isolé.</w:t>
            </w:r>
          </w:p>
        </w:tc>
      </w:tr>
      <w:tr>
        <w:tc>
          <w:tcPr>
            <w:tcW w:type="pct" w:w="30%"/>
            <w:tcMar>
              <w:top w:type="dxa" w:w="80"/>
              <w:left w:type="dxa" w:w="100"/>
              <w:bottom w:type="dxa" w:w="80"/>
              <w:right w:type="dxa" w:w="100"/>
            </w:tcMar>
            <w:vAlign w:val="center"/>
          </w:tcPr>
          <w:p>
            <w:r>
              <w:rPr>
                <w:b w:val="false"/>
                <w:bCs w:val="false"/>
                <w:sz w:val="18"/>
                <w:szCs w:val="18"/>
              </w:rPr>
              <w:t xml:space="preserve">Point moteur MAT/OPT</w:t>
            </w:r>
          </w:p>
        </w:tc>
        <w:tc>
          <w:tcPr>
            <w:tcW w:type="pct" w:w="22%"/>
            <w:tcMar>
              <w:top w:type="dxa" w:w="80"/>
              <w:left w:type="dxa" w:w="100"/>
              <w:bottom w:type="dxa" w:w="80"/>
              <w:right w:type="dxa" w:w="100"/>
            </w:tcMar>
            <w:vAlign w:val="center"/>
          </w:tcPr>
          <w:p>
            <w:r>
              <w:rPr>
                <w:b w:val="false"/>
                <w:bCs w:val="false"/>
                <w:sz w:val="18"/>
                <w:szCs w:val="18"/>
              </w:rPr>
              <w:t xml:space="preserve">Bimensuel</w:t>
            </w:r>
          </w:p>
        </w:tc>
        <w:tc>
          <w:tcPr>
            <w:tcW w:type="pct" w:w="48%"/>
            <w:tcMar>
              <w:top w:type="dxa" w:w="80"/>
              <w:left w:type="dxa" w:w="100"/>
              <w:bottom w:type="dxa" w:w="80"/>
              <w:right w:type="dxa" w:w="100"/>
            </w:tcMar>
            <w:vAlign w:val="center"/>
          </w:tcPr>
          <w:p>
            <w:r>
              <w:rPr>
                <w:b w:val="false"/>
                <w:bCs w:val="false"/>
                <w:sz w:val="18"/>
                <w:szCs w:val="18"/>
              </w:rPr>
              <w:t xml:space="preserve">Suivi spécifique du poste le plus incertain du projet : prototype isolé avant intégration, jalons de faisabilité intermédiaires (cf. CDC §17).</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2026-08-03T10:10:07.099Z</dcterms:created>
  <dcterms:modified xsi:type="dcterms:W3CDTF">2026-08-03T10:10:07.100Z</dcterms:modified>
</cp:coreProperties>
</file>

<file path=docProps/custom.xml><?xml version="1.0" encoding="utf-8"?>
<Properties xmlns="http://schemas.openxmlformats.org/officeDocument/2006/custom-properties" xmlns:vt="http://schemas.openxmlformats.org/officeDocument/2006/docPropsVTypes"/>
</file>