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D40F16"/>
          <w:sz w:val="56"/>
          <w:szCs w:val="56"/>
        </w:rPr>
        <w:t xml:space="preserve">FRETCORRIDOR</w:t>
      </w:r>
    </w:p>
    <w:p>
      <w:pPr>
        <w:spacing w:after="400"/>
        <w:jc w:val="center"/>
      </w:pPr>
      <w:r>
        <w:rPr>
          <w:i/>
          <w:iCs/>
          <w:color w:val="2B2B2B"/>
          <w:sz w:val="24"/>
          <w:szCs w:val="24"/>
        </w:rPr>
        <w:t xml:space="preserve">Marketplace · Mobile · Web · Back-end microservices</w:t>
      </w:r>
    </w:p>
    <w:p>
      <w:pPr>
        <w:spacing w:after="100"/>
        <w:jc w:val="center"/>
      </w:pPr>
      <w:r>
        <w:rPr>
          <w:b/>
          <w:bCs/>
          <w:sz w:val="32"/>
          <w:szCs w:val="32"/>
        </w:rPr>
        <w:t xml:space="preserve">Plan d'exécution du projet — V4.0</w:t>
      </w:r>
    </w:p>
    <w:p>
      <w:pPr>
        <w:spacing w:after="500"/>
        <w:jc w:val="center"/>
      </w:pPr>
      <w:r>
        <w:rPr>
          <w:color w:val="2B2B2B"/>
          <w:sz w:val="20"/>
          <w:szCs w:val="20"/>
        </w:rPr>
        <w:t xml:space="preserve">Réorientation marketplace · Moteur de matching et d'optimisation de charge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2700"/>
        <w:gridCol w:w="6300"/>
      </w:tblGrid>
      <w:tr>
        <w:trPr>
          <w:tblHeader/>
        </w:trPr>
        <w:tc>
          <w:tcPr>
            <w:tcW w:type="pct" w:w="30%"/>
            <w:shd w:fill="2B2B2B" w:val="clear"/>
            <w:tcMar>
              <w:top w:type="dxa" w:w="80"/>
              <w:left w:type="dxa" w:w="100"/>
              <w:bottom w:type="dxa" w:w="80"/>
              <w:right w:type="dxa" w:w="100"/>
            </w:tcMar>
            <w:vAlign w:val="center"/>
          </w:tcPr>
          <w:p>
            <w:r>
              <w:rPr>
                <w:b/>
                <w:bCs/>
                <w:color w:val="FFFFFF"/>
                <w:sz w:val="18"/>
                <w:szCs w:val="18"/>
              </w:rPr>
              <w:t xml:space="preserve">Champ</w:t>
            </w:r>
          </w:p>
        </w:tc>
        <w:tc>
          <w:tcPr>
            <w:tcW w:type="pct" w:w="70%"/>
            <w:shd w:fill="2B2B2B" w:val="clear"/>
            <w:tcMar>
              <w:top w:type="dxa" w:w="80"/>
              <w:left w:type="dxa" w:w="100"/>
              <w:bottom w:type="dxa" w:w="80"/>
              <w:right w:type="dxa" w:w="100"/>
            </w:tcMar>
            <w:vAlign w:val="center"/>
          </w:tcPr>
          <w:p>
            <w:r>
              <w:rPr>
                <w:b/>
                <w:bCs/>
                <w:color w:val="FFFFFF"/>
                <w:sz w:val="18"/>
                <w:szCs w:val="18"/>
              </w:rPr>
              <w:t xml:space="preserve">Valeur</w:t>
            </w:r>
          </w:p>
        </w:tc>
      </w:tr>
      <w:tr>
        <w:tc>
          <w:tcPr>
            <w:tcW w:type="pct" w:w="30%"/>
            <w:tcMar>
              <w:top w:type="dxa" w:w="80"/>
              <w:left w:type="dxa" w:w="100"/>
              <w:bottom w:type="dxa" w:w="80"/>
              <w:right w:type="dxa" w:w="100"/>
            </w:tcMar>
            <w:vAlign w:val="center"/>
          </w:tcPr>
          <w:p>
            <w:r>
              <w:rPr>
                <w:b w:val="false"/>
                <w:bCs w:val="false"/>
                <w:sz w:val="18"/>
                <w:szCs w:val="18"/>
              </w:rPr>
              <w:t xml:space="preserve">Référence CDC</w:t>
            </w:r>
          </w:p>
        </w:tc>
        <w:tc>
          <w:tcPr>
            <w:tcW w:type="pct" w:w="70%"/>
            <w:tcMar>
              <w:top w:type="dxa" w:w="80"/>
              <w:left w:type="dxa" w:w="100"/>
              <w:bottom w:type="dxa" w:w="80"/>
              <w:right w:type="dxa" w:w="100"/>
            </w:tcMar>
            <w:vAlign w:val="center"/>
          </w:tcPr>
          <w:p>
            <w:r>
              <w:rPr>
                <w:b w:val="false"/>
                <w:bCs w:val="false"/>
                <w:sz w:val="18"/>
                <w:szCs w:val="18"/>
              </w:rPr>
              <w:t xml:space="preserve">FSE-CDC-FRETCORRIDOR-2026-004 (v4.0, remplace v3.0 — FSE-CDC-FRETCORRIDOR-2026-003)</w:t>
            </w:r>
          </w:p>
        </w:tc>
      </w:tr>
      <w:tr>
        <w:tc>
          <w:tcPr>
            <w:tcW w:type="pct" w:w="30%"/>
            <w:shd w:fill="F5F5F5" w:val="clear"/>
            <w:tcMar>
              <w:top w:type="dxa" w:w="80"/>
              <w:left w:type="dxa" w:w="100"/>
              <w:bottom w:type="dxa" w:w="80"/>
              <w:right w:type="dxa" w:w="100"/>
            </w:tcMar>
            <w:vAlign w:val="center"/>
          </w:tcPr>
          <w:p>
            <w:r>
              <w:rPr>
                <w:b w:val="false"/>
                <w:bCs w:val="false"/>
                <w:sz w:val="18"/>
                <w:szCs w:val="18"/>
              </w:rPr>
              <w:t xml:space="preserve">Projet</w:t>
            </w:r>
          </w:p>
        </w:tc>
        <w:tc>
          <w:tcPr>
            <w:tcW w:type="pct" w:w="70%"/>
            <w:shd w:fill="F5F5F5" w:val="clear"/>
            <w:tcMar>
              <w:top w:type="dxa" w:w="80"/>
              <w:left w:type="dxa" w:w="100"/>
              <w:bottom w:type="dxa" w:w="80"/>
              <w:right w:type="dxa" w:w="100"/>
            </w:tcMar>
            <w:vAlign w:val="center"/>
          </w:tcPr>
          <w:p>
            <w:r>
              <w:rPr>
                <w:b w:val="false"/>
                <w:bCs w:val="false"/>
                <w:sz w:val="18"/>
                <w:szCs w:val="18"/>
              </w:rPr>
              <w:t xml:space="preserve">FretCorridor v4.0 — Marketplace du fret et du colis, Cameroun (architecture multi-pays)</w:t>
            </w:r>
          </w:p>
        </w:tc>
      </w:tr>
      <w:tr>
        <w:tc>
          <w:tcPr>
            <w:tcW w:type="pct" w:w="30%"/>
            <w:tcMar>
              <w:top w:type="dxa" w:w="80"/>
              <w:left w:type="dxa" w:w="100"/>
              <w:bottom w:type="dxa" w:w="80"/>
              <w:right w:type="dxa" w:w="100"/>
            </w:tcMar>
            <w:vAlign w:val="center"/>
          </w:tcPr>
          <w:p>
            <w:r>
              <w:rPr>
                <w:b w:val="false"/>
                <w:bCs w:val="false"/>
                <w:sz w:val="18"/>
                <w:szCs w:val="18"/>
              </w:rPr>
              <w:t xml:space="preserve">Stack technique</w:t>
            </w:r>
          </w:p>
        </w:tc>
        <w:tc>
          <w:tcPr>
            <w:tcW w:type="pct" w:w="70%"/>
            <w:tcMar>
              <w:top w:type="dxa" w:w="80"/>
              <w:left w:type="dxa" w:w="100"/>
              <w:bottom w:type="dxa" w:w="80"/>
              <w:right w:type="dxa" w:w="100"/>
            </w:tcMar>
            <w:vAlign w:val="center"/>
          </w:tcPr>
          <w:p>
            <w:r>
              <w:rPr>
                <w:b w:val="false"/>
                <w:bCs w:val="false"/>
                <w:sz w:val="18"/>
                <w:szCs w:val="18"/>
              </w:rPr>
              <w:t xml:space="preserve">Spring Boot (microservices) · Flutter · Angular · PostgreSQL/PostGIS · Kafka · Redis · MinIO</w:t>
            </w:r>
          </w:p>
        </w:tc>
      </w:tr>
      <w:tr>
        <w:tc>
          <w:tcPr>
            <w:tcW w:type="pct" w:w="30%"/>
            <w:shd w:fill="F5F5F5" w:val="clear"/>
            <w:tcMar>
              <w:top w:type="dxa" w:w="80"/>
              <w:left w:type="dxa" w:w="100"/>
              <w:bottom w:type="dxa" w:w="80"/>
              <w:right w:type="dxa" w:w="100"/>
            </w:tcMar>
            <w:vAlign w:val="center"/>
          </w:tcPr>
          <w:p>
            <w:r>
              <w:rPr>
                <w:b w:val="false"/>
                <w:bCs w:val="false"/>
                <w:sz w:val="18"/>
                <w:szCs w:val="18"/>
              </w:rPr>
              <w:t xml:space="preserve">Équipe</w:t>
            </w:r>
          </w:p>
        </w:tc>
        <w:tc>
          <w:tcPr>
            <w:tcW w:type="pct" w:w="70%"/>
            <w:shd w:fill="F5F5F5" w:val="clear"/>
            <w:tcMar>
              <w:top w:type="dxa" w:w="80"/>
              <w:left w:type="dxa" w:w="100"/>
              <w:bottom w:type="dxa" w:w="80"/>
              <w:right w:type="dxa" w:w="100"/>
            </w:tcMar>
            <w:vAlign w:val="center"/>
          </w:tcPr>
          <w:p>
            <w:r>
              <w:rPr>
                <w:b w:val="false"/>
                <w:bCs w:val="false"/>
                <w:sz w:val="18"/>
                <w:szCs w:val="18"/>
              </w:rPr>
              <w:t xml:space="preserve">3 personnes — Mobile (2 apps + API associées) · Web (app unique 3 rôles + API associées) · Moteur (MAT, OPT, TRK, GEO)</w:t>
            </w:r>
          </w:p>
        </w:tc>
      </w:tr>
      <w:tr>
        <w:tc>
          <w:tcPr>
            <w:tcW w:type="pct" w:w="30%"/>
            <w:tcMar>
              <w:top w:type="dxa" w:w="80"/>
              <w:left w:type="dxa" w:w="100"/>
              <w:bottom w:type="dxa" w:w="80"/>
              <w:right w:type="dxa" w:w="100"/>
            </w:tcMar>
            <w:vAlign w:val="center"/>
          </w:tcPr>
          <w:p>
            <w:r>
              <w:rPr>
                <w:b w:val="false"/>
                <w:bCs w:val="false"/>
                <w:sz w:val="18"/>
                <w:szCs w:val="18"/>
              </w:rPr>
              <w:t xml:space="preserve">Date</w:t>
            </w:r>
          </w:p>
        </w:tc>
        <w:tc>
          <w:tcPr>
            <w:tcW w:type="pct" w:w="70%"/>
            <w:tcMar>
              <w:top w:type="dxa" w:w="80"/>
              <w:left w:type="dxa" w:w="100"/>
              <w:bottom w:type="dxa" w:w="80"/>
              <w:right w:type="dxa" w:w="100"/>
            </w:tcMar>
            <w:vAlign w:val="center"/>
          </w:tcPr>
          <w:p>
            <w:r>
              <w:rPr>
                <w:b w:val="false"/>
                <w:bCs w:val="false"/>
                <w:sz w:val="18"/>
                <w:szCs w:val="18"/>
              </w:rPr>
              <w:t xml:space="preserve">Août 2026</w:t>
            </w:r>
          </w:p>
        </w:tc>
      </w:tr>
    </w:tbl>
    <w:p>
      <w:r>
        <w:br w:type="page"/>
      </w:r>
    </w:p>
    <w:p>
      <w:pPr>
        <w:pStyle w:val="Heading1"/>
        <w:spacing w:after="180" w:before="360"/>
      </w:pPr>
      <w:r>
        <w:rPr>
          <w:b/>
          <w:bCs/>
          <w:color w:val="D40F16"/>
          <w:sz w:val="30"/>
          <w:szCs w:val="30"/>
        </w:rPr>
        <w:t xml:space="preserve">1. Stack technique retenue</w:t>
      </w:r>
    </w:p>
    <w:p>
      <w:pPr>
        <w:spacing w:after="160"/>
      </w:pPr>
      <w:r>
        <w:rPr>
          <w:sz w:val="20"/>
          <w:szCs w:val="20"/>
        </w:rPr>
        <w:t xml:space="preserve">La stack s'aligne sur le CDC v4.0, avec une adaptation assumée de l'architecture back-end : le CDC recommande des services Go, pour la performance et la concurrence native sur l'ingestion de positions (§12.3). L'équipe retient Spring Boot en microservices — cohérent avec les compétences déjà maîtrisées (Spring Boot/JPA) et avec le choix fait dès la v3.0 — en conservant à l'identique les deux principes structurants du CDC : services découplés par le bus d'événements (jamais de monolithe), et moteur d'optimisation en service autonome mis à l'échelle indépendamment.</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620"/>
        <w:gridCol w:w="2880"/>
        <w:gridCol w:w="4500"/>
      </w:tblGrid>
      <w:tr>
        <w:trPr>
          <w:tblHeader/>
        </w:trPr>
        <w:tc>
          <w:tcPr>
            <w:tcW w:type="pct" w:w="18%"/>
            <w:shd w:fill="2B2B2B" w:val="clear"/>
            <w:tcMar>
              <w:top w:type="dxa" w:w="80"/>
              <w:left w:type="dxa" w:w="100"/>
              <w:bottom w:type="dxa" w:w="80"/>
              <w:right w:type="dxa" w:w="100"/>
            </w:tcMar>
            <w:vAlign w:val="center"/>
          </w:tcPr>
          <w:p>
            <w:r>
              <w:rPr>
                <w:b/>
                <w:bCs/>
                <w:color w:val="FFFFFF"/>
                <w:sz w:val="18"/>
                <w:szCs w:val="18"/>
              </w:rPr>
              <w:t xml:space="preserve">Couche</w:t>
            </w:r>
          </w:p>
        </w:tc>
        <w:tc>
          <w:tcPr>
            <w:tcW w:type="pct" w:w="32%"/>
            <w:shd w:fill="2B2B2B" w:val="clear"/>
            <w:tcMar>
              <w:top w:type="dxa" w:w="80"/>
              <w:left w:type="dxa" w:w="100"/>
              <w:bottom w:type="dxa" w:w="80"/>
              <w:right w:type="dxa" w:w="100"/>
            </w:tcMar>
            <w:vAlign w:val="center"/>
          </w:tcPr>
          <w:p>
            <w:r>
              <w:rPr>
                <w:b/>
                <w:bCs/>
                <w:color w:val="FFFFFF"/>
                <w:sz w:val="18"/>
                <w:szCs w:val="18"/>
              </w:rPr>
              <w:t xml:space="preserve">Technologie</w:t>
            </w:r>
          </w:p>
        </w:tc>
        <w:tc>
          <w:tcPr>
            <w:tcW w:type="pct" w:w="50%"/>
            <w:shd w:fill="2B2B2B" w:val="clear"/>
            <w:tcMar>
              <w:top w:type="dxa" w:w="80"/>
              <w:left w:type="dxa" w:w="100"/>
              <w:bottom w:type="dxa" w:w="80"/>
              <w:right w:type="dxa" w:w="100"/>
            </w:tcMar>
            <w:vAlign w:val="center"/>
          </w:tcPr>
          <w:p>
            <w:r>
              <w:rPr>
                <w:b/>
                <w:bCs/>
                <w:color w:val="FFFFFF"/>
                <w:sz w:val="18"/>
                <w:szCs w:val="18"/>
              </w:rPr>
              <w:t xml:space="preserve">Rôle</w:t>
            </w:r>
          </w:p>
        </w:tc>
      </w:tr>
      <w:tr>
        <w:tc>
          <w:tcPr>
            <w:tcW w:type="pct" w:w="18%"/>
            <w:tcMar>
              <w:top w:type="dxa" w:w="80"/>
              <w:left w:type="dxa" w:w="100"/>
              <w:bottom w:type="dxa" w:w="80"/>
              <w:right w:type="dxa" w:w="100"/>
            </w:tcMar>
            <w:vAlign w:val="center"/>
          </w:tcPr>
          <w:p>
            <w:r>
              <w:rPr>
                <w:b w:val="false"/>
                <w:bCs w:val="false"/>
                <w:sz w:val="18"/>
                <w:szCs w:val="18"/>
              </w:rPr>
              <w:t xml:space="preserve">Back-end</w:t>
            </w:r>
          </w:p>
        </w:tc>
        <w:tc>
          <w:tcPr>
            <w:tcW w:type="pct" w:w="32%"/>
            <w:tcMar>
              <w:top w:type="dxa" w:w="80"/>
              <w:left w:type="dxa" w:w="100"/>
              <w:bottom w:type="dxa" w:w="80"/>
              <w:right w:type="dxa" w:w="100"/>
            </w:tcMar>
            <w:vAlign w:val="center"/>
          </w:tcPr>
          <w:p>
            <w:r>
              <w:rPr>
                <w:b w:val="false"/>
                <w:bCs w:val="false"/>
                <w:sz w:val="18"/>
                <w:szCs w:val="18"/>
              </w:rPr>
              <w:t xml:space="preserve">Spring Boot (Java 21), microservices</w:t>
            </w:r>
          </w:p>
        </w:tc>
        <w:tc>
          <w:tcPr>
            <w:tcW w:type="pct" w:w="50%"/>
            <w:tcMar>
              <w:top w:type="dxa" w:w="80"/>
              <w:left w:type="dxa" w:w="100"/>
              <w:bottom w:type="dxa" w:w="80"/>
              <w:right w:type="dxa" w:w="100"/>
            </w:tcMar>
            <w:vAlign w:val="center"/>
          </w:tcPr>
          <w:p>
            <w:r>
              <w:rPr>
                <w:b w:val="false"/>
                <w:bCs w:val="false"/>
                <w:sz w:val="18"/>
                <w:szCs w:val="18"/>
              </w:rPr>
              <w:t xml:space="preserve">Services métier découplés, API REST, logique business, architecture hexagonale par service</w:t>
            </w:r>
          </w:p>
        </w:tc>
      </w:tr>
      <w:tr>
        <w:tc>
          <w:tcPr>
            <w:tcW w:type="pct" w:w="18%"/>
            <w:shd w:fill="F5F5F5" w:val="clear"/>
            <w:tcMar>
              <w:top w:type="dxa" w:w="80"/>
              <w:left w:type="dxa" w:w="100"/>
              <w:bottom w:type="dxa" w:w="80"/>
              <w:right w:type="dxa" w:w="100"/>
            </w:tcMar>
            <w:vAlign w:val="center"/>
          </w:tcPr>
          <w:p>
            <w:r>
              <w:rPr>
                <w:b w:val="false"/>
                <w:bCs w:val="false"/>
                <w:sz w:val="18"/>
                <w:szCs w:val="18"/>
              </w:rPr>
              <w:t xml:space="preserve">Passerelle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Spring Cloud Gateway</w:t>
            </w:r>
          </w:p>
        </w:tc>
        <w:tc>
          <w:tcPr>
            <w:tcW w:type="pct" w:w="50%"/>
            <w:shd w:fill="F5F5F5" w:val="clear"/>
            <w:tcMar>
              <w:top w:type="dxa" w:w="80"/>
              <w:left w:type="dxa" w:w="100"/>
              <w:bottom w:type="dxa" w:w="80"/>
              <w:right w:type="dxa" w:w="100"/>
            </w:tcMar>
            <w:vAlign w:val="center"/>
          </w:tcPr>
          <w:p>
            <w:r>
              <w:rPr>
                <w:b w:val="false"/>
                <w:bCs w:val="false"/>
                <w:sz w:val="18"/>
                <w:szCs w:val="18"/>
              </w:rPr>
              <w:t xml:space="preserve">Point d'entrée unique, JWT, résolution multi-tenant, limitation de débit</w:t>
            </w:r>
          </w:p>
        </w:tc>
      </w:tr>
      <w:tr>
        <w:tc>
          <w:tcPr>
            <w:tcW w:type="pct" w:w="18%"/>
            <w:tcMar>
              <w:top w:type="dxa" w:w="80"/>
              <w:left w:type="dxa" w:w="100"/>
              <w:bottom w:type="dxa" w:w="80"/>
              <w:right w:type="dxa" w:w="100"/>
            </w:tcMar>
            <w:vAlign w:val="center"/>
          </w:tcPr>
          <w:p>
            <w:r>
              <w:rPr>
                <w:b w:val="false"/>
                <w:bCs w:val="false"/>
                <w:sz w:val="18"/>
                <w:szCs w:val="18"/>
              </w:rPr>
              <w:t xml:space="preserve">Base de données</w:t>
            </w:r>
          </w:p>
        </w:tc>
        <w:tc>
          <w:tcPr>
            <w:tcW w:type="pct" w:w="32%"/>
            <w:tcMar>
              <w:top w:type="dxa" w:w="80"/>
              <w:left w:type="dxa" w:w="100"/>
              <w:bottom w:type="dxa" w:w="80"/>
              <w:right w:type="dxa" w:w="100"/>
            </w:tcMar>
            <w:vAlign w:val="center"/>
          </w:tcPr>
          <w:p>
            <w:r>
              <w:rPr>
                <w:b w:val="false"/>
                <w:bCs w:val="false"/>
                <w:sz w:val="18"/>
                <w:szCs w:val="18"/>
              </w:rPr>
              <w:t xml:space="preserve">PostgreSQL 16 + PostGIS</w:t>
            </w:r>
          </w:p>
        </w:tc>
        <w:tc>
          <w:tcPr>
            <w:tcW w:type="pct" w:w="50%"/>
            <w:tcMar>
              <w:top w:type="dxa" w:w="80"/>
              <w:left w:type="dxa" w:w="100"/>
              <w:bottom w:type="dxa" w:w="80"/>
              <w:right w:type="dxa" w:w="100"/>
            </w:tcMar>
            <w:vAlign w:val="center"/>
          </w:tcPr>
          <w:p>
            <w:r>
              <w:rPr>
                <w:b w:val="false"/>
                <w:bCs w:val="false"/>
                <w:sz w:val="18"/>
                <w:szCs w:val="18"/>
              </w:rPr>
              <w:t xml:space="preserve">Données relationnelles + géospatiales ; transactions fortes pour le grand livre et la réservation atomique</w:t>
            </w:r>
          </w:p>
        </w:tc>
      </w:tr>
      <w:tr>
        <w:tc>
          <w:tcPr>
            <w:tcW w:type="pct" w:w="18%"/>
            <w:shd w:fill="F5F5F5" w:val="clear"/>
            <w:tcMar>
              <w:top w:type="dxa" w:w="80"/>
              <w:left w:type="dxa" w:w="100"/>
              <w:bottom w:type="dxa" w:w="80"/>
              <w:right w:type="dxa" w:w="100"/>
            </w:tcMar>
            <w:vAlign w:val="center"/>
          </w:tcPr>
          <w:p>
            <w:r>
              <w:rPr>
                <w:b w:val="false"/>
                <w:bCs w:val="false"/>
                <w:sz w:val="18"/>
                <w:szCs w:val="18"/>
              </w:rPr>
              <w:t xml:space="preserve">Cache &amp; verrous</w:t>
            </w:r>
          </w:p>
        </w:tc>
        <w:tc>
          <w:tcPr>
            <w:tcW w:type="pct" w:w="32%"/>
            <w:shd w:fill="F5F5F5" w:val="clear"/>
            <w:tcMar>
              <w:top w:type="dxa" w:w="80"/>
              <w:left w:type="dxa" w:w="100"/>
              <w:bottom w:type="dxa" w:w="80"/>
              <w:right w:type="dxa" w:w="100"/>
            </w:tcMar>
            <w:vAlign w:val="center"/>
          </w:tcPr>
          <w:p>
            <w:r>
              <w:rPr>
                <w:b w:val="false"/>
                <w:bCs w:val="false"/>
                <w:sz w:val="18"/>
                <w:szCs w:val="18"/>
              </w:rPr>
              <w:t xml:space="preserve">Redis 7</w:t>
            </w:r>
          </w:p>
        </w:tc>
        <w:tc>
          <w:tcPr>
            <w:tcW w:type="pct" w:w="50%"/>
            <w:shd w:fill="F5F5F5" w:val="clear"/>
            <w:tcMar>
              <w:top w:type="dxa" w:w="80"/>
              <w:left w:type="dxa" w:w="100"/>
              <w:bottom w:type="dxa" w:w="80"/>
              <w:right w:type="dxa" w:w="100"/>
            </w:tcMar>
            <w:vAlign w:val="center"/>
          </w:tcPr>
          <w:p>
            <w:r>
              <w:rPr>
                <w:b w:val="false"/>
                <w:bCs w:val="false"/>
                <w:sz w:val="18"/>
                <w:szCs w:val="18"/>
              </w:rPr>
              <w:t xml:space="preserve">Cache, files de synchronisation, verrous distribués</w:t>
            </w:r>
          </w:p>
        </w:tc>
      </w:tr>
      <w:tr>
        <w:tc>
          <w:tcPr>
            <w:tcW w:type="pct" w:w="18%"/>
            <w:tcMar>
              <w:top w:type="dxa" w:w="80"/>
              <w:left w:type="dxa" w:w="100"/>
              <w:bottom w:type="dxa" w:w="80"/>
              <w:right w:type="dxa" w:w="100"/>
            </w:tcMar>
            <w:vAlign w:val="center"/>
          </w:tcPr>
          <w:p>
            <w:r>
              <w:rPr>
                <w:b w:val="false"/>
                <w:bCs w:val="false"/>
                <w:sz w:val="18"/>
                <w:szCs w:val="18"/>
              </w:rPr>
              <w:t xml:space="preserve">Bus d'événements</w:t>
            </w:r>
          </w:p>
        </w:tc>
        <w:tc>
          <w:tcPr>
            <w:tcW w:type="pct" w:w="32%"/>
            <w:tcMar>
              <w:top w:type="dxa" w:w="80"/>
              <w:left w:type="dxa" w:w="100"/>
              <w:bottom w:type="dxa" w:w="80"/>
              <w:right w:type="dxa" w:w="100"/>
            </w:tcMar>
            <w:vAlign w:val="center"/>
          </w:tcPr>
          <w:p>
            <w:r>
              <w:rPr>
                <w:b w:val="false"/>
                <w:bCs w:val="false"/>
                <w:sz w:val="18"/>
                <w:szCs w:val="18"/>
              </w:rPr>
              <w:t xml:space="preserve">Kafka (+ Zookeeper)</w:t>
            </w:r>
          </w:p>
        </w:tc>
        <w:tc>
          <w:tcPr>
            <w:tcW w:type="pct" w:w="50%"/>
            <w:tcMar>
              <w:top w:type="dxa" w:w="80"/>
              <w:left w:type="dxa" w:w="100"/>
              <w:bottom w:type="dxa" w:w="80"/>
              <w:right w:type="dxa" w:w="100"/>
            </w:tcMar>
            <w:vAlign w:val="center"/>
          </w:tcPr>
          <w:p>
            <w:r>
              <w:rPr>
                <w:b w:val="false"/>
                <w:bCs w:val="false"/>
                <w:sz w:val="18"/>
                <w:szCs w:val="18"/>
              </w:rPr>
              <w:t xml:space="preserve">Découplage et rejouabilité entre microservices ; construction du journal d'audit</w:t>
            </w:r>
          </w:p>
        </w:tc>
      </w:tr>
      <w:tr>
        <w:tc>
          <w:tcPr>
            <w:tcW w:type="pct" w:w="18%"/>
            <w:shd w:fill="F5F5F5" w:val="clear"/>
            <w:tcMar>
              <w:top w:type="dxa" w:w="80"/>
              <w:left w:type="dxa" w:w="100"/>
              <w:bottom w:type="dxa" w:w="80"/>
              <w:right w:type="dxa" w:w="100"/>
            </w:tcMar>
            <w:vAlign w:val="center"/>
          </w:tcPr>
          <w:p>
            <w:r>
              <w:rPr>
                <w:b w:val="false"/>
                <w:bCs w:val="false"/>
                <w:sz w:val="18"/>
                <w:szCs w:val="18"/>
              </w:rPr>
              <w:t xml:space="preserve">Mobile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Flutter (Dart)</w:t>
            </w:r>
          </w:p>
        </w:tc>
        <w:tc>
          <w:tcPr>
            <w:tcW w:type="pct" w:w="50%"/>
            <w:shd w:fill="F5F5F5" w:val="clear"/>
            <w:tcMar>
              <w:top w:type="dxa" w:w="80"/>
              <w:left w:type="dxa" w:w="100"/>
              <w:bottom w:type="dxa" w:w="80"/>
              <w:right w:type="dxa" w:w="100"/>
            </w:tcMar>
            <w:vAlign w:val="center"/>
          </w:tcPr>
          <w:p>
            <w:r>
              <w:rPr>
                <w:b w:val="false"/>
                <w:bCs w:val="false"/>
                <w:sz w:val="18"/>
                <w:szCs w:val="18"/>
              </w:rPr>
              <w:t xml:space="preserve">Deux applications : Chauffeur/Transporteur (mode Agent inclus) et Client — offline-first</w:t>
            </w:r>
          </w:p>
        </w:tc>
      </w:tr>
      <w:tr>
        <w:tc>
          <w:tcPr>
            <w:tcW w:type="pct" w:w="18%"/>
            <w:tcMar>
              <w:top w:type="dxa" w:w="80"/>
              <w:left w:type="dxa" w:w="100"/>
              <w:bottom w:type="dxa" w:w="80"/>
              <w:right w:type="dxa" w:w="100"/>
            </w:tcMar>
            <w:vAlign w:val="center"/>
          </w:tcPr>
          <w:p>
            <w:r>
              <w:rPr>
                <w:b w:val="false"/>
                <w:bCs w:val="false"/>
                <w:sz w:val="18"/>
                <w:szCs w:val="18"/>
              </w:rPr>
              <w:t xml:space="preserve">Web</w:t>
            </w:r>
          </w:p>
        </w:tc>
        <w:tc>
          <w:tcPr>
            <w:tcW w:type="pct" w:w="32%"/>
            <w:tcMar>
              <w:top w:type="dxa" w:w="80"/>
              <w:left w:type="dxa" w:w="100"/>
              <w:bottom w:type="dxa" w:w="80"/>
              <w:right w:type="dxa" w:w="100"/>
            </w:tcMar>
            <w:vAlign w:val="center"/>
          </w:tcPr>
          <w:p>
            <w:r>
              <w:rPr>
                <w:b w:val="false"/>
                <w:bCs w:val="false"/>
                <w:sz w:val="18"/>
                <w:szCs w:val="18"/>
              </w:rPr>
              <w:t xml:space="preserve">Angular (PWA)</w:t>
            </w:r>
          </w:p>
        </w:tc>
        <w:tc>
          <w:tcPr>
            <w:tcW w:type="pct" w:w="50%"/>
            <w:tcMar>
              <w:top w:type="dxa" w:w="80"/>
              <w:left w:type="dxa" w:w="100"/>
              <w:bottom w:type="dxa" w:w="80"/>
              <w:right w:type="dxa" w:w="100"/>
            </w:tcMar>
            <w:vAlign w:val="center"/>
          </w:tcPr>
          <w:p>
            <w:r>
              <w:rPr>
                <w:b w:val="false"/>
                <w:bCs w:val="false"/>
                <w:sz w:val="18"/>
                <w:szCs w:val="18"/>
              </w:rPr>
              <w:t xml:space="preserve">Une application unique, à trois rôles distincts : Bureau de fret, Transporteur, Administration (feature modules + garde de routes RBAC)</w:t>
            </w:r>
          </w:p>
        </w:tc>
      </w:tr>
      <w:tr>
        <w:tc>
          <w:tcPr>
            <w:tcW w:type="pct" w:w="18%"/>
            <w:shd w:fill="F5F5F5" w:val="clear"/>
            <w:tcMar>
              <w:top w:type="dxa" w:w="80"/>
              <w:left w:type="dxa" w:w="100"/>
              <w:bottom w:type="dxa" w:w="80"/>
              <w:right w:type="dxa" w:w="100"/>
            </w:tcMar>
            <w:vAlign w:val="center"/>
          </w:tcPr>
          <w:p>
            <w:r>
              <w:rPr>
                <w:b w:val="false"/>
                <w:bCs w:val="false"/>
                <w:sz w:val="18"/>
                <w:szCs w:val="18"/>
              </w:rPr>
              <w:t xml:space="preserve">Stockage fichiers</w:t>
            </w:r>
          </w:p>
        </w:tc>
        <w:tc>
          <w:tcPr>
            <w:tcW w:type="pct" w:w="32%"/>
            <w:shd w:fill="F5F5F5" w:val="clear"/>
            <w:tcMar>
              <w:top w:type="dxa" w:w="80"/>
              <w:left w:type="dxa" w:w="100"/>
              <w:bottom w:type="dxa" w:w="80"/>
              <w:right w:type="dxa" w:w="100"/>
            </w:tcMar>
            <w:vAlign w:val="center"/>
          </w:tcPr>
          <w:p>
            <w:r>
              <w:rPr>
                <w:b w:val="false"/>
                <w:bCs w:val="false"/>
                <w:sz w:val="18"/>
                <w:szCs w:val="18"/>
              </w:rPr>
              <w:t xml:space="preserve">MinIO</w:t>
            </w:r>
          </w:p>
        </w:tc>
        <w:tc>
          <w:tcPr>
            <w:tcW w:type="pct" w:w="50%"/>
            <w:shd w:fill="F5F5F5" w:val="clear"/>
            <w:tcMar>
              <w:top w:type="dxa" w:w="80"/>
              <w:left w:type="dxa" w:w="100"/>
              <w:bottom w:type="dxa" w:w="80"/>
              <w:right w:type="dxa" w:w="100"/>
            </w:tcMar>
            <w:vAlign w:val="center"/>
          </w:tcPr>
          <w:p>
            <w:r>
              <w:rPr>
                <w:b w:val="false"/>
                <w:bCs w:val="false"/>
                <w:sz w:val="18"/>
                <w:szCs w:val="18"/>
              </w:rPr>
              <w:t xml:space="preserve">Justificatifs KYC, preuves de livraison (POD), chiffrés au repos</w:t>
            </w:r>
          </w:p>
        </w:tc>
      </w:tr>
      <w:tr>
        <w:tc>
          <w:tcPr>
            <w:tcW w:type="pct" w:w="18%"/>
            <w:tcMar>
              <w:top w:type="dxa" w:w="80"/>
              <w:left w:type="dxa" w:w="100"/>
              <w:bottom w:type="dxa" w:w="80"/>
              <w:right w:type="dxa" w:w="100"/>
            </w:tcMar>
            <w:vAlign w:val="center"/>
          </w:tcPr>
          <w:p>
            <w:r>
              <w:rPr>
                <w:b w:val="false"/>
                <w:bCs w:val="false"/>
                <w:sz w:val="18"/>
                <w:szCs w:val="18"/>
              </w:rPr>
              <w:t xml:space="preserve">Paiements</w:t>
            </w:r>
          </w:p>
        </w:tc>
        <w:tc>
          <w:tcPr>
            <w:tcW w:type="pct" w:w="32%"/>
            <w:tcMar>
              <w:top w:type="dxa" w:w="80"/>
              <w:left w:type="dxa" w:w="100"/>
              <w:bottom w:type="dxa" w:w="80"/>
              <w:right w:type="dxa" w:w="100"/>
            </w:tcMar>
            <w:vAlign w:val="center"/>
          </w:tcPr>
          <w:p>
            <w:r>
              <w:rPr>
                <w:b w:val="false"/>
                <w:bCs w:val="false"/>
                <w:sz w:val="18"/>
                <w:szCs w:val="18"/>
              </w:rPr>
              <w:t xml:space="preserve">Prestataire agréé CEMAC (à sélectionner, verrou V2) + MTN MoMo / Orange Money</w:t>
            </w:r>
          </w:p>
        </w:tc>
        <w:tc>
          <w:tcPr>
            <w:tcW w:type="pct" w:w="50%"/>
            <w:tcMar>
              <w:top w:type="dxa" w:w="80"/>
              <w:left w:type="dxa" w:w="100"/>
              <w:bottom w:type="dxa" w:w="80"/>
              <w:right w:type="dxa" w:w="100"/>
            </w:tcMar>
            <w:vAlign w:val="center"/>
          </w:tcPr>
          <w:p>
            <w:r>
              <w:rPr>
                <w:b w:val="false"/>
                <w:bCs w:val="false"/>
                <w:sz w:val="18"/>
                <w:szCs w:val="18"/>
              </w:rPr>
              <w:t xml:space="preserve">Encaissement et reversement orchestrés ; FretCorridor ne détient jamais les fonds</w:t>
            </w:r>
          </w:p>
        </w:tc>
      </w:tr>
      <w:tr>
        <w:tc>
          <w:tcPr>
            <w:tcW w:type="pct" w:w="18%"/>
            <w:shd w:fill="F5F5F5" w:val="clear"/>
            <w:tcMar>
              <w:top w:type="dxa" w:w="80"/>
              <w:left w:type="dxa" w:w="100"/>
              <w:bottom w:type="dxa" w:w="80"/>
              <w:right w:type="dxa" w:w="100"/>
            </w:tcMar>
            <w:vAlign w:val="center"/>
          </w:tcPr>
          <w:p>
            <w:r>
              <w:rPr>
                <w:b w:val="false"/>
                <w:bCs w:val="false"/>
                <w:sz w:val="18"/>
                <w:szCs w:val="18"/>
              </w:rPr>
              <w:t xml:space="preserve">Cartographie</w:t>
            </w:r>
          </w:p>
        </w:tc>
        <w:tc>
          <w:tcPr>
            <w:tcW w:type="pct" w:w="32%"/>
            <w:shd w:fill="F5F5F5" w:val="clear"/>
            <w:tcMar>
              <w:top w:type="dxa" w:w="80"/>
              <w:left w:type="dxa" w:w="100"/>
              <w:bottom w:type="dxa" w:w="80"/>
              <w:right w:type="dxa" w:w="100"/>
            </w:tcMar>
            <w:vAlign w:val="center"/>
          </w:tcPr>
          <w:p>
            <w:r>
              <w:rPr>
                <w:b w:val="false"/>
                <w:bCs w:val="false"/>
                <w:sz w:val="18"/>
                <w:szCs w:val="18"/>
              </w:rPr>
              <w:t xml:space="preserve">OSRM / OpenStreetMap</w:t>
            </w:r>
          </w:p>
        </w:tc>
        <w:tc>
          <w:tcPr>
            <w:tcW w:type="pct" w:w="50%"/>
            <w:shd w:fill="F5F5F5" w:val="clear"/>
            <w:tcMar>
              <w:top w:type="dxa" w:w="80"/>
              <w:left w:type="dxa" w:w="100"/>
              <w:bottom w:type="dxa" w:w="80"/>
              <w:right w:type="dxa" w:w="100"/>
            </w:tcMar>
            <w:vAlign w:val="center"/>
          </w:tcPr>
          <w:p>
            <w:r>
              <w:rPr>
                <w:b w:val="false"/>
                <w:bCs w:val="false"/>
                <w:sz w:val="18"/>
                <w:szCs w:val="18"/>
              </w:rPr>
              <w:t xml:space="preserve">Calcul de routes, ETA dynamique, service d'itinéraires du moteur</w:t>
            </w:r>
          </w:p>
        </w:tc>
      </w:tr>
      <w:tr>
        <w:tc>
          <w:tcPr>
            <w:tcW w:type="pct" w:w="18%"/>
            <w:tcMar>
              <w:top w:type="dxa" w:w="80"/>
              <w:left w:type="dxa" w:w="100"/>
              <w:bottom w:type="dxa" w:w="80"/>
              <w:right w:type="dxa" w:w="100"/>
            </w:tcMar>
            <w:vAlign w:val="center"/>
          </w:tcPr>
          <w:p>
            <w:r>
              <w:rPr>
                <w:b w:val="false"/>
                <w:bCs w:val="false"/>
                <w:sz w:val="18"/>
                <w:szCs w:val="18"/>
              </w:rPr>
              <w:t xml:space="preserve">Notifications</w:t>
            </w:r>
          </w:p>
        </w:tc>
        <w:tc>
          <w:tcPr>
            <w:tcW w:type="pct" w:w="32%"/>
            <w:tcMar>
              <w:top w:type="dxa" w:w="80"/>
              <w:left w:type="dxa" w:w="100"/>
              <w:bottom w:type="dxa" w:w="80"/>
              <w:right w:type="dxa" w:w="100"/>
            </w:tcMar>
            <w:vAlign w:val="center"/>
          </w:tcPr>
          <w:p>
            <w:r>
              <w:rPr>
                <w:b w:val="false"/>
                <w:bCs w:val="false"/>
                <w:sz w:val="18"/>
                <w:szCs w:val="18"/>
              </w:rPr>
              <w:t xml:space="preserve">Firebase FCM + WhatsApp BSP + SMS + USSD</w:t>
            </w:r>
          </w:p>
        </w:tc>
        <w:tc>
          <w:tcPr>
            <w:tcW w:type="pct" w:w="50%"/>
            <w:tcMar>
              <w:top w:type="dxa" w:w="80"/>
              <w:left w:type="dxa" w:w="100"/>
              <w:bottom w:type="dxa" w:w="80"/>
              <w:right w:type="dxa" w:w="100"/>
            </w:tcMar>
            <w:vAlign w:val="center"/>
          </w:tcPr>
          <w:p>
            <w:r>
              <w:rPr>
                <w:b w:val="false"/>
                <w:bCs w:val="false"/>
                <w:sz w:val="18"/>
                <w:szCs w:val="18"/>
              </w:rPr>
              <w:t xml:space="preserve">Alertes multicanal, discipline de coût, repli automatique</w:t>
            </w:r>
          </w:p>
        </w:tc>
      </w:tr>
      <w:tr>
        <w:tc>
          <w:tcPr>
            <w:tcW w:type="pct" w:w="18%"/>
            <w:shd w:fill="F5F5F5" w:val="clear"/>
            <w:tcMar>
              <w:top w:type="dxa" w:w="80"/>
              <w:left w:type="dxa" w:w="100"/>
              <w:bottom w:type="dxa" w:w="80"/>
              <w:right w:type="dxa" w:w="100"/>
            </w:tcMar>
            <w:vAlign w:val="center"/>
          </w:tcPr>
          <w:p>
            <w:r>
              <w:rPr>
                <w:b w:val="false"/>
                <w:bCs w:val="false"/>
                <w:sz w:val="18"/>
                <w:szCs w:val="18"/>
              </w:rPr>
              <w:t xml:space="preserve">Moteur (MAT/OPT/TRK/GEO)</w:t>
            </w:r>
          </w:p>
        </w:tc>
        <w:tc>
          <w:tcPr>
            <w:tcW w:type="pct" w:w="32%"/>
            <w:shd w:fill="F5F5F5" w:val="clear"/>
            <w:tcMar>
              <w:top w:type="dxa" w:w="80"/>
              <w:left w:type="dxa" w:w="100"/>
              <w:bottom w:type="dxa" w:w="80"/>
              <w:right w:type="dxa" w:w="100"/>
            </w:tcMar>
            <w:vAlign w:val="center"/>
          </w:tcPr>
          <w:p>
            <w:r>
              <w:rPr>
                <w:b w:val="false"/>
                <w:bCs w:val="false"/>
                <w:sz w:val="18"/>
                <w:szCs w:val="18"/>
              </w:rPr>
              <w:t xml:space="preserve">4 services Spring Boot dédiés, colocés (+ OR-Tools ou équivalent, à valider)</w:t>
            </w:r>
          </w:p>
        </w:tc>
        <w:tc>
          <w:tcPr>
            <w:tcW w:type="pct" w:w="50%"/>
            <w:shd w:fill="F5F5F5" w:val="clear"/>
            <w:tcMar>
              <w:top w:type="dxa" w:w="80"/>
              <w:left w:type="dxa" w:w="100"/>
              <w:bottom w:type="dxa" w:w="80"/>
              <w:right w:type="dxa" w:w="100"/>
            </w:tcMar>
            <w:vAlign w:val="center"/>
          </w:tcPr>
          <w:p>
            <w:r>
              <w:rPr>
                <w:b w:val="false"/>
                <w:bCs w:val="false"/>
                <w:sz w:val="18"/>
                <w:szCs w:val="18"/>
              </w:rPr>
              <w:t xml:space="preserve">MAT+OPT : L0 filtrage → L1 affectation → L2 séquencement → L3 oracle 3D → L4 tarification ; TRK : suivi/ETA ; GEO : référentiel géospatial</w:t>
            </w:r>
          </w:p>
        </w:tc>
      </w:tr>
    </w:tbl>
    <w:p>
      <w:pPr>
        <w:spacing w:after="120"/>
      </w:pPr>
    </w:p>
    <w:tbl>
      <w:tblPr>
        <w:tblW w:type="pct" w:w="100%"/>
        <w:tblBorders>
          <w:top w:val="single" w:color="D40F16" w:sz="4"/>
          <w:left w:val="single" w:color="D40F16" w:sz="4"/>
          <w:bottom w:val="single" w:color="D40F16" w:sz="4"/>
          <w:right w:val="single" w:color="D40F16"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D40F16"/>
                <w:sz w:val="20"/>
                <w:szCs w:val="20"/>
              </w:rPr>
              <w:t xml:space="preserve">Écart assumé par rapport au CDC</w:t>
            </w:r>
          </w:p>
          <w:p>
            <w:r>
              <w:rPr>
                <w:sz w:val="19"/>
                <w:szCs w:val="19"/>
              </w:rPr>
              <w:t xml:space="preserve">Le CDC v4 (§12.3) écarte le monolithe et recommande Go pour la performance. L'équipe retient Spring Boot en microservices : le langage change, les deux exigences structurantes du CDC sont conservées à l'identique — services découplés, jamais de monolithe ; moteur d'optimisation en service séparé, mis à l'échelle indépendamment, dont l'indisponibilité dégrade sans interrompre (ENF-DIS-04).</w:t>
            </w:r>
          </w:p>
        </w:tc>
      </w:tr>
    </w:tbl>
    <w:p>
      <w:r>
        <w:br w:type="page"/>
      </w:r>
    </w:p>
    <w:p>
      <w:pPr>
        <w:pStyle w:val="Heading1"/>
        <w:spacing w:after="180" w:before="360"/>
      </w:pPr>
      <w:r>
        <w:rPr>
          <w:b/>
          <w:bCs/>
          <w:color w:val="D40F16"/>
          <w:sz w:val="30"/>
          <w:szCs w:val="30"/>
        </w:rPr>
        <w:t xml:space="preserve">2. Mise en place de l'environnement de travail</w:t>
      </w:r>
    </w:p>
    <w:p>
      <w:pPr>
        <w:pStyle w:val="Heading2"/>
        <w:spacing w:after="140" w:before="260"/>
      </w:pPr>
      <w:r>
        <w:rPr>
          <w:b/>
          <w:bCs/>
          <w:color w:val="8A0F13"/>
          <w:sz w:val="24"/>
          <w:szCs w:val="24"/>
        </w:rPr>
        <w:t xml:space="preserve">2.1 Outils de développement</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620"/>
        <w:gridCol w:w="5400"/>
        <w:gridCol w:w="1980"/>
      </w:tblGrid>
      <w:tr>
        <w:trPr>
          <w:tblHeader/>
        </w:trPr>
        <w:tc>
          <w:tcPr>
            <w:tcW w:type="pct" w:w="18%"/>
            <w:shd w:fill="2B2B2B" w:val="clear"/>
            <w:tcMar>
              <w:top w:type="dxa" w:w="80"/>
              <w:left w:type="dxa" w:w="100"/>
              <w:bottom w:type="dxa" w:w="80"/>
              <w:right w:type="dxa" w:w="100"/>
            </w:tcMar>
            <w:vAlign w:val="center"/>
          </w:tcPr>
          <w:p>
            <w:r>
              <w:rPr>
                <w:b/>
                <w:bCs/>
                <w:color w:val="FFFFFF"/>
                <w:sz w:val="18"/>
                <w:szCs w:val="18"/>
              </w:rPr>
              <w:t xml:space="preserve">Outil</w:t>
            </w:r>
          </w:p>
        </w:tc>
        <w:tc>
          <w:tcPr>
            <w:tcW w:type="pct" w:w="60%"/>
            <w:shd w:fill="2B2B2B" w:val="clear"/>
            <w:tcMar>
              <w:top w:type="dxa" w:w="80"/>
              <w:left w:type="dxa" w:w="100"/>
              <w:bottom w:type="dxa" w:w="80"/>
              <w:right w:type="dxa" w:w="100"/>
            </w:tcMar>
            <w:vAlign w:val="center"/>
          </w:tcPr>
          <w:p>
            <w:r>
              <w:rPr>
                <w:b/>
                <w:bCs/>
                <w:color w:val="FFFFFF"/>
                <w:sz w:val="18"/>
                <w:szCs w:val="18"/>
              </w:rPr>
              <w:t xml:space="preserve">Usage</w:t>
            </w:r>
          </w:p>
        </w:tc>
        <w:tc>
          <w:tcPr>
            <w:tcW w:type="pct" w:w="22%"/>
            <w:shd w:fill="2B2B2B" w:val="clear"/>
            <w:tcMar>
              <w:top w:type="dxa" w:w="80"/>
              <w:left w:type="dxa" w:w="100"/>
              <w:bottom w:type="dxa" w:w="80"/>
              <w:right w:type="dxa" w:w="100"/>
            </w:tcMar>
            <w:vAlign w:val="center"/>
          </w:tcPr>
          <w:p>
            <w:r>
              <w:rPr>
                <w:b/>
                <w:bCs/>
                <w:color w:val="FFFFFF"/>
                <w:sz w:val="18"/>
                <w:szCs w:val="18"/>
              </w:rPr>
              <w:t xml:space="preserve">Version recommandée</w:t>
            </w:r>
          </w:p>
        </w:tc>
      </w:tr>
      <w:tr>
        <w:tc>
          <w:tcPr>
            <w:tcW w:type="pct" w:w="18%"/>
            <w:tcMar>
              <w:top w:type="dxa" w:w="80"/>
              <w:left w:type="dxa" w:w="100"/>
              <w:bottom w:type="dxa" w:w="80"/>
              <w:right w:type="dxa" w:w="100"/>
            </w:tcMar>
            <w:vAlign w:val="center"/>
          </w:tcPr>
          <w:p>
            <w:r>
              <w:rPr>
                <w:b w:val="false"/>
                <w:bCs w:val="false"/>
                <w:sz w:val="18"/>
                <w:szCs w:val="18"/>
              </w:rPr>
              <w:t xml:space="preserve">IntelliJ IDEA</w:t>
            </w:r>
          </w:p>
        </w:tc>
        <w:tc>
          <w:tcPr>
            <w:tcW w:type="pct" w:w="60%"/>
            <w:tcMar>
              <w:top w:type="dxa" w:w="80"/>
              <w:left w:type="dxa" w:w="100"/>
              <w:bottom w:type="dxa" w:w="80"/>
              <w:right w:type="dxa" w:w="100"/>
            </w:tcMar>
            <w:vAlign w:val="center"/>
          </w:tcPr>
          <w:p>
            <w:r>
              <w:rPr>
                <w:b w:val="false"/>
                <w:bCs w:val="false"/>
                <w:sz w:val="18"/>
                <w:szCs w:val="18"/>
              </w:rPr>
              <w:t xml:space="preserve">Développement Spring Boot (chaque microservice comme module Maven)</w:t>
            </w:r>
          </w:p>
        </w:tc>
        <w:tc>
          <w:tcPr>
            <w:tcW w:type="pct" w:w="22%"/>
            <w:tcMar>
              <w:top w:type="dxa" w:w="80"/>
              <w:left w:type="dxa" w:w="100"/>
              <w:bottom w:type="dxa" w:w="80"/>
              <w:right w:type="dxa" w:w="100"/>
            </w:tcMar>
            <w:vAlign w:val="center"/>
          </w:tcPr>
          <w:p>
            <w:r>
              <w:rPr>
                <w:b w:val="false"/>
                <w:bCs w:val="false"/>
                <w:sz w:val="18"/>
                <w:szCs w:val="18"/>
              </w:rPr>
              <w:t xml:space="preserve">2024+</w:t>
            </w:r>
          </w:p>
        </w:tc>
      </w:tr>
      <w:tr>
        <w:tc>
          <w:tcPr>
            <w:tcW w:type="pct" w:w="18%"/>
            <w:shd w:fill="F5F5F5" w:val="clear"/>
            <w:tcMar>
              <w:top w:type="dxa" w:w="80"/>
              <w:left w:type="dxa" w:w="100"/>
              <w:bottom w:type="dxa" w:w="80"/>
              <w:right w:type="dxa" w:w="100"/>
            </w:tcMar>
            <w:vAlign w:val="center"/>
          </w:tcPr>
          <w:p>
            <w:r>
              <w:rPr>
                <w:b w:val="false"/>
                <w:bCs w:val="false"/>
                <w:sz w:val="18"/>
                <w:szCs w:val="18"/>
              </w:rPr>
              <w:t xml:space="preserve">VS Code</w:t>
            </w:r>
          </w:p>
        </w:tc>
        <w:tc>
          <w:tcPr>
            <w:tcW w:type="pct" w:w="60%"/>
            <w:shd w:fill="F5F5F5" w:val="clear"/>
            <w:tcMar>
              <w:top w:type="dxa" w:w="80"/>
              <w:left w:type="dxa" w:w="100"/>
              <w:bottom w:type="dxa" w:w="80"/>
              <w:right w:type="dxa" w:w="100"/>
            </w:tcMar>
            <w:vAlign w:val="center"/>
          </w:tcPr>
          <w:p>
            <w:r>
              <w:rPr>
                <w:b w:val="false"/>
                <w:bCs w:val="false"/>
                <w:sz w:val="18"/>
                <w:szCs w:val="18"/>
              </w:rPr>
              <w:t xml:space="preserve">Angular + Flutter (ou Android Studio pour Flutter)</w:t>
            </w:r>
          </w:p>
        </w:tc>
        <w:tc>
          <w:tcPr>
            <w:tcW w:type="pct" w:w="22%"/>
            <w:shd w:fill="F5F5F5" w:val="clear"/>
            <w:tcMar>
              <w:top w:type="dxa" w:w="80"/>
              <w:left w:type="dxa" w:w="100"/>
              <w:bottom w:type="dxa" w:w="80"/>
              <w:right w:type="dxa" w:w="100"/>
            </w:tcMar>
            <w:vAlign w:val="center"/>
          </w:tcPr>
          <w:p>
            <w:r>
              <w:rPr>
                <w:b w:val="false"/>
                <w:bCs w:val="false"/>
                <w:sz w:val="18"/>
                <w:szCs w:val="18"/>
              </w:rPr>
              <w:t xml:space="preserve">Dernière stable</w:t>
            </w:r>
          </w:p>
        </w:tc>
      </w:tr>
      <w:tr>
        <w:tc>
          <w:tcPr>
            <w:tcW w:type="pct" w:w="18%"/>
            <w:tcMar>
              <w:top w:type="dxa" w:w="80"/>
              <w:left w:type="dxa" w:w="100"/>
              <w:bottom w:type="dxa" w:w="80"/>
              <w:right w:type="dxa" w:w="100"/>
            </w:tcMar>
            <w:vAlign w:val="center"/>
          </w:tcPr>
          <w:p>
            <w:r>
              <w:rPr>
                <w:b w:val="false"/>
                <w:bCs w:val="false"/>
                <w:sz w:val="18"/>
                <w:szCs w:val="18"/>
              </w:rPr>
              <w:t xml:space="preserve">Android Studio</w:t>
            </w:r>
          </w:p>
        </w:tc>
        <w:tc>
          <w:tcPr>
            <w:tcW w:type="pct" w:w="60%"/>
            <w:tcMar>
              <w:top w:type="dxa" w:w="80"/>
              <w:left w:type="dxa" w:w="100"/>
              <w:bottom w:type="dxa" w:w="80"/>
              <w:right w:type="dxa" w:w="100"/>
            </w:tcMar>
            <w:vAlign w:val="center"/>
          </w:tcPr>
          <w:p>
            <w:r>
              <w:rPr>
                <w:b w:val="false"/>
                <w:bCs w:val="false"/>
                <w:sz w:val="18"/>
                <w:szCs w:val="18"/>
              </w:rPr>
              <w:t xml:space="preserve">Développement et émulation Flutter</w:t>
            </w:r>
          </w:p>
        </w:tc>
        <w:tc>
          <w:tcPr>
            <w:tcW w:type="pct" w:w="22%"/>
            <w:tcMar>
              <w:top w:type="dxa" w:w="80"/>
              <w:left w:type="dxa" w:w="100"/>
              <w:bottom w:type="dxa" w:w="80"/>
              <w:right w:type="dxa" w:w="100"/>
            </w:tcMar>
            <w:vAlign w:val="center"/>
          </w:tcPr>
          <w:p>
            <w:r>
              <w:rPr>
                <w:b w:val="false"/>
                <w:bCs w:val="false"/>
                <w:sz w:val="18"/>
                <w:szCs w:val="18"/>
              </w:rPr>
              <w:t xml:space="preserve">Hedgehog+</w:t>
            </w:r>
          </w:p>
        </w:tc>
      </w:tr>
      <w:tr>
        <w:tc>
          <w:tcPr>
            <w:tcW w:type="pct" w:w="18%"/>
            <w:shd w:fill="F5F5F5" w:val="clear"/>
            <w:tcMar>
              <w:top w:type="dxa" w:w="80"/>
              <w:left w:type="dxa" w:w="100"/>
              <w:bottom w:type="dxa" w:w="80"/>
              <w:right w:type="dxa" w:w="100"/>
            </w:tcMar>
            <w:vAlign w:val="center"/>
          </w:tcPr>
          <w:p>
            <w:r>
              <w:rPr>
                <w:b w:val="false"/>
                <w:bCs w:val="false"/>
                <w:sz w:val="18"/>
                <w:szCs w:val="18"/>
              </w:rPr>
              <w:t xml:space="preserve">Docker Desktop</w:t>
            </w:r>
          </w:p>
        </w:tc>
        <w:tc>
          <w:tcPr>
            <w:tcW w:type="pct" w:w="60%"/>
            <w:shd w:fill="F5F5F5" w:val="clear"/>
            <w:tcMar>
              <w:top w:type="dxa" w:w="80"/>
              <w:left w:type="dxa" w:w="100"/>
              <w:bottom w:type="dxa" w:w="80"/>
              <w:right w:type="dxa" w:w="100"/>
            </w:tcMar>
            <w:vAlign w:val="center"/>
          </w:tcPr>
          <w:p>
            <w:r>
              <w:rPr>
                <w:b w:val="false"/>
                <w:bCs w:val="false"/>
                <w:sz w:val="18"/>
                <w:szCs w:val="18"/>
              </w:rPr>
              <w:t xml:space="preserve">Lancer PostgreSQL, Redis, Kafka, MinIO en local</w:t>
            </w:r>
          </w:p>
        </w:tc>
        <w:tc>
          <w:tcPr>
            <w:tcW w:type="pct" w:w="22%"/>
            <w:shd w:fill="F5F5F5" w:val="clear"/>
            <w:tcMar>
              <w:top w:type="dxa" w:w="80"/>
              <w:left w:type="dxa" w:w="100"/>
              <w:bottom w:type="dxa" w:w="80"/>
              <w:right w:type="dxa" w:w="100"/>
            </w:tcMar>
            <w:vAlign w:val="center"/>
          </w:tcPr>
          <w:p>
            <w:r>
              <w:rPr>
                <w:b w:val="false"/>
                <w:bCs w:val="false"/>
                <w:sz w:val="18"/>
                <w:szCs w:val="18"/>
              </w:rPr>
              <w:t xml:space="preserve">Dernière stable</w:t>
            </w:r>
          </w:p>
        </w:tc>
      </w:tr>
      <w:tr>
        <w:tc>
          <w:tcPr>
            <w:tcW w:type="pct" w:w="18%"/>
            <w:tcMar>
              <w:top w:type="dxa" w:w="80"/>
              <w:left w:type="dxa" w:w="100"/>
              <w:bottom w:type="dxa" w:w="80"/>
              <w:right w:type="dxa" w:w="100"/>
            </w:tcMar>
            <w:vAlign w:val="center"/>
          </w:tcPr>
          <w:p>
            <w:r>
              <w:rPr>
                <w:b w:val="false"/>
                <w:bCs w:val="false"/>
                <w:sz w:val="18"/>
                <w:szCs w:val="18"/>
              </w:rPr>
              <w:t xml:space="preserve">Postman / Bruno</w:t>
            </w:r>
          </w:p>
        </w:tc>
        <w:tc>
          <w:tcPr>
            <w:tcW w:type="pct" w:w="60%"/>
            <w:tcMar>
              <w:top w:type="dxa" w:w="80"/>
              <w:left w:type="dxa" w:w="100"/>
              <w:bottom w:type="dxa" w:w="80"/>
              <w:right w:type="dxa" w:w="100"/>
            </w:tcMar>
            <w:vAlign w:val="center"/>
          </w:tcPr>
          <w:p>
            <w:r>
              <w:rPr>
                <w:b w:val="false"/>
                <w:bCs w:val="false"/>
                <w:sz w:val="18"/>
                <w:szCs w:val="18"/>
              </w:rPr>
              <w:t xml:space="preserve">Tester les APIs REST — une collection par microservice, partagée dans shared-contracts/</w:t>
            </w:r>
          </w:p>
        </w:tc>
        <w:tc>
          <w:tcPr>
            <w:tcW w:type="pct" w:w="22%"/>
            <w:tcMar>
              <w:top w:type="dxa" w:w="80"/>
              <w:left w:type="dxa" w:w="100"/>
              <w:bottom w:type="dxa" w:w="80"/>
              <w:right w:type="dxa" w:w="100"/>
            </w:tcMar>
            <w:vAlign w:val="center"/>
          </w:tcPr>
          <w:p>
            <w:r>
              <w:rPr>
                <w:b w:val="false"/>
                <w:bCs w:val="false"/>
                <w:sz w:val="18"/>
                <w:szCs w:val="18"/>
              </w:rPr>
              <w:t xml:space="preserve">Dernière stable</w:t>
            </w:r>
          </w:p>
        </w:tc>
      </w:tr>
      <w:tr>
        <w:tc>
          <w:tcPr>
            <w:tcW w:type="pct" w:w="18%"/>
            <w:shd w:fill="F5F5F5" w:val="clear"/>
            <w:tcMar>
              <w:top w:type="dxa" w:w="80"/>
              <w:left w:type="dxa" w:w="100"/>
              <w:bottom w:type="dxa" w:w="80"/>
              <w:right w:type="dxa" w:w="100"/>
            </w:tcMar>
            <w:vAlign w:val="center"/>
          </w:tcPr>
          <w:p>
            <w:r>
              <w:rPr>
                <w:b w:val="false"/>
                <w:bCs w:val="false"/>
                <w:sz w:val="18"/>
                <w:szCs w:val="18"/>
              </w:rPr>
              <w:t xml:space="preserve">Git + GitHub</w:t>
            </w:r>
          </w:p>
        </w:tc>
        <w:tc>
          <w:tcPr>
            <w:tcW w:type="pct" w:w="60%"/>
            <w:shd w:fill="F5F5F5" w:val="clear"/>
            <w:tcMar>
              <w:top w:type="dxa" w:w="80"/>
              <w:left w:type="dxa" w:w="100"/>
              <w:bottom w:type="dxa" w:w="80"/>
              <w:right w:type="dxa" w:w="100"/>
            </w:tcMar>
            <w:vAlign w:val="center"/>
          </w:tcPr>
          <w:p>
            <w:r>
              <w:rPr>
                <w:b w:val="false"/>
                <w:bCs w:val="false"/>
                <w:sz w:val="18"/>
                <w:szCs w:val="18"/>
              </w:rPr>
              <w:t xml:space="preserve">Versionnement du code — monorepo unique</w:t>
            </w:r>
          </w:p>
        </w:tc>
        <w:tc>
          <w:tcPr>
            <w:tcW w:type="pct" w:w="22%"/>
            <w:shd w:fill="F5F5F5" w:val="clear"/>
            <w:tcMar>
              <w:top w:type="dxa" w:w="80"/>
              <w:left w:type="dxa" w:w="100"/>
              <w:bottom w:type="dxa" w:w="80"/>
              <w:right w:type="dxa" w:w="100"/>
            </w:tcMar>
            <w:vAlign w:val="center"/>
          </w:tcPr>
          <w:p>
            <w:r>
              <w:rPr>
                <w:b w:val="false"/>
                <w:bCs w:val="false"/>
                <w:sz w:val="18"/>
                <w:szCs w:val="18"/>
              </w:rPr>
              <w:t xml:space="preserve">—</w:t>
            </w:r>
          </w:p>
        </w:tc>
      </w:tr>
      <w:tr>
        <w:tc>
          <w:tcPr>
            <w:tcW w:type="pct" w:w="18%"/>
            <w:tcMar>
              <w:top w:type="dxa" w:w="80"/>
              <w:left w:type="dxa" w:w="100"/>
              <w:bottom w:type="dxa" w:w="80"/>
              <w:right w:type="dxa" w:w="100"/>
            </w:tcMar>
            <w:vAlign w:val="center"/>
          </w:tcPr>
          <w:p>
            <w:r>
              <w:rPr>
                <w:b w:val="false"/>
                <w:bCs w:val="false"/>
                <w:sz w:val="18"/>
                <w:szCs w:val="18"/>
              </w:rPr>
              <w:t xml:space="preserve">DBeaver</w:t>
            </w:r>
          </w:p>
        </w:tc>
        <w:tc>
          <w:tcPr>
            <w:tcW w:type="pct" w:w="60%"/>
            <w:tcMar>
              <w:top w:type="dxa" w:w="80"/>
              <w:left w:type="dxa" w:w="100"/>
              <w:bottom w:type="dxa" w:w="80"/>
              <w:right w:type="dxa" w:w="100"/>
            </w:tcMar>
            <w:vAlign w:val="center"/>
          </w:tcPr>
          <w:p>
            <w:r>
              <w:rPr>
                <w:b w:val="false"/>
                <w:bCs w:val="false"/>
                <w:sz w:val="18"/>
                <w:szCs w:val="18"/>
              </w:rPr>
              <w:t xml:space="preserve">Visualiser la base de données PostgreSQL/PostGIS</w:t>
            </w:r>
          </w:p>
        </w:tc>
        <w:tc>
          <w:tcPr>
            <w:tcW w:type="pct" w:w="22%"/>
            <w:tcMar>
              <w:top w:type="dxa" w:w="80"/>
              <w:left w:type="dxa" w:w="100"/>
              <w:bottom w:type="dxa" w:w="80"/>
              <w:right w:type="dxa" w:w="100"/>
            </w:tcMar>
            <w:vAlign w:val="center"/>
          </w:tcPr>
          <w:p>
            <w:r>
              <w:rPr>
                <w:b w:val="false"/>
                <w:bCs w:val="false"/>
                <w:sz w:val="18"/>
                <w:szCs w:val="18"/>
              </w:rPr>
              <w:t xml:space="preserve">Dernière stable</w:t>
            </w:r>
          </w:p>
        </w:tc>
      </w:tr>
      <w:tr>
        <w:tc>
          <w:tcPr>
            <w:tcW w:type="pct" w:w="18%"/>
            <w:shd w:fill="F5F5F5" w:val="clear"/>
            <w:tcMar>
              <w:top w:type="dxa" w:w="80"/>
              <w:left w:type="dxa" w:w="100"/>
              <w:bottom w:type="dxa" w:w="80"/>
              <w:right w:type="dxa" w:w="100"/>
            </w:tcMar>
            <w:vAlign w:val="center"/>
          </w:tcPr>
          <w:p>
            <w:r>
              <w:rPr>
                <w:b w:val="false"/>
                <w:bCs w:val="false"/>
                <w:sz w:val="18"/>
                <w:szCs w:val="18"/>
              </w:rPr>
              <w:t xml:space="preserve">k6 ou JMeter</w:t>
            </w:r>
          </w:p>
        </w:tc>
        <w:tc>
          <w:tcPr>
            <w:tcW w:type="pct" w:w="60%"/>
            <w:shd w:fill="F5F5F5" w:val="clear"/>
            <w:tcMar>
              <w:top w:type="dxa" w:w="80"/>
              <w:left w:type="dxa" w:w="100"/>
              <w:bottom w:type="dxa" w:w="80"/>
              <w:right w:type="dxa" w:w="100"/>
            </w:tcMar>
            <w:vAlign w:val="center"/>
          </w:tcPr>
          <w:p>
            <w:r>
              <w:rPr>
                <w:b w:val="false"/>
                <w:bCs w:val="false"/>
                <w:sz w:val="18"/>
                <w:szCs w:val="18"/>
              </w:rPr>
              <w:t xml:space="preserve">Vérifier les budgets de latence du moteur (ENF-PRF-03) avant chaque livraison</w:t>
            </w:r>
          </w:p>
        </w:tc>
        <w:tc>
          <w:tcPr>
            <w:tcW w:type="pct" w:w="22%"/>
            <w:shd w:fill="F5F5F5" w:val="clear"/>
            <w:tcMar>
              <w:top w:type="dxa" w:w="80"/>
              <w:left w:type="dxa" w:w="100"/>
              <w:bottom w:type="dxa" w:w="80"/>
              <w:right w:type="dxa" w:w="100"/>
            </w:tcMar>
            <w:vAlign w:val="center"/>
          </w:tcPr>
          <w:p>
            <w:r>
              <w:rPr>
                <w:b w:val="false"/>
                <w:bCs w:val="false"/>
                <w:sz w:val="18"/>
                <w:szCs w:val="18"/>
              </w:rPr>
              <w:t xml:space="preserve">Dernière stable</w:t>
            </w:r>
          </w:p>
        </w:tc>
      </w:tr>
    </w:tbl>
    <w:p>
      <w:pPr>
        <w:pStyle w:val="Heading2"/>
        <w:spacing w:after="140" w:before="260"/>
      </w:pPr>
      <w:r>
        <w:rPr>
          <w:b/>
          <w:bCs/>
          <w:color w:val="8A0F13"/>
          <w:sz w:val="24"/>
          <w:szCs w:val="24"/>
        </w:rPr>
        <w:t xml:space="preserve">2.2 Configuration Docker locale</w:t>
      </w:r>
    </w:p>
    <w:p>
      <w:pPr>
        <w:spacing w:after="160"/>
      </w:pPr>
      <w:r>
        <w:rPr>
          <w:sz w:val="20"/>
          <w:szCs w:val="20"/>
        </w:rPr>
        <w:t xml:space="preserve">L'environnement local complet se lance via Docker Compose, à la racine du monorepo. Il comprend PostgreSQL avec PostGIS, Redis, Kafka (+ Zookeeper), et MinIO — un seul fichier docker-compose.yml démarre tout l'environnement en une commande.</w:t>
      </w:r>
    </w:p>
    <w:tbl>
      <w:tblPr>
        <w:tblW w:type="pct" w:w="100%"/>
        <w:tblBorders>
          <w:top w:val="single" w:color="8A0F13" w:sz="4"/>
          <w:left w:val="single" w:color="8A0F13" w:sz="4"/>
          <w:bottom w:val="single" w:color="8A0F13" w:sz="4"/>
          <w:right w:val="single" w:color="8A0F13"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8A0F13"/>
                <w:sz w:val="20"/>
                <w:szCs w:val="20"/>
              </w:rPr>
              <w:t xml:space="preserve">Services Docker à lancer</w:t>
            </w:r>
          </w:p>
          <w:p>
            <w:r>
              <w:rPr>
                <w:sz w:val="19"/>
                <w:szCs w:val="19"/>
              </w:rPr>
              <w:t xml:space="preserve">PostgreSQL 16 + PostGIS · Redis 7 · Kafka + Zookeeper · MinIO · (optionnel) un simulateur/sandbox du prestataire de paiement pour développer PAY sans dépendance externe réelle avant le verrou V2.</w:t>
            </w:r>
          </w:p>
        </w:tc>
      </w:tr>
    </w:tbl>
    <w:p>
      <w:pPr>
        <w:spacing w:after="120"/>
      </w:pPr>
    </w:p>
    <w:p>
      <w:pPr>
        <w:pStyle w:val="Heading2"/>
        <w:spacing w:after="140" w:before="260"/>
      </w:pPr>
      <w:r>
        <w:rPr>
          <w:b/>
          <w:bCs/>
          <w:color w:val="8A0F13"/>
          <w:sz w:val="24"/>
          <w:szCs w:val="24"/>
        </w:rPr>
        <w:t xml:space="preserve">2.3 Structure du dépôt Git — monorepo unique</w:t>
      </w:r>
    </w:p>
    <w:p>
      <w:pPr>
        <w:spacing w:after="160"/>
      </w:pPr>
      <w:r>
        <w:rPr>
          <w:sz w:val="20"/>
          <w:szCs w:val="20"/>
        </w:rPr>
        <w:t xml:space="preserve">Décision d'équipe : un monorepo unique regroupe le mobile, le web et l'ensemble des microservices back-end. C'est la même logique de partage de modèle de données et de contrats d'API qu'en v3.0, étendue à un back-end découpé en plusieurs services plutôt qu'un back-end unique.</w:t>
      </w:r>
    </w:p>
    <w:p>
      <w:pPr>
        <w:spacing w:after="160" w:before="160"/>
        <w:jc w:val="center"/>
      </w:pPr>
      <w:r>
        <w:drawing>
          <wp:inline distT="0" distB="0" distL="0" distR="0">
            <wp:extent cx="5715000" cy="769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7696200"/>
                    </a:xfrm>
                    <a:prstGeom prst="rect">
                      <a:avLst/>
                    </a:prstGeom>
                  </pic:spPr>
                </pic:pic>
              </a:graphicData>
            </a:graphic>
          </wp:inline>
        </w:drawing>
      </w:r>
    </w:p>
    <w:p>
      <w:pPr>
        <w:pStyle w:val="Heading3"/>
        <w:spacing w:after="100" w:before="200"/>
      </w:pPr>
      <w:r>
        <w:rPr>
          <w:b/>
          <w:bCs/>
          <w:color w:val="2B2B2B"/>
          <w:sz w:val="21"/>
          <w:szCs w:val="21"/>
        </w:rPr>
        <w:t xml:space="preserve">Conventions du monorepo</w:t>
      </w:r>
    </w:p>
    <w:p>
      <w:pPr>
        <w:pStyle w:val="ListParagraph"/>
        <w:numPr>
          <w:ilvl w:val="0"/>
          <w:numId w:val="1"/>
        </w:numPr>
        <w:spacing w:after="80"/>
      </w:pPr>
      <w:r>
        <w:rPr>
          <w:sz w:val="20"/>
          <w:szCs w:val="20"/>
        </w:rPr>
        <w:t xml:space="preserve">Un module = un dossier top-level (mobile/, web/, backend/, infra/, docs/, shared-contracts/) ; chaque microservice est un module Maven/Gradle indépendant sous backend/, avec son propre build et son propre déploiement.</w:t>
      </w:r>
    </w:p>
    <w:p>
      <w:pPr>
        <w:pStyle w:val="ListParagraph"/>
        <w:numPr>
          <w:ilvl w:val="0"/>
          <w:numId w:val="1"/>
        </w:numPr>
        <w:spacing w:after="80"/>
      </w:pPr>
      <w:r>
        <w:rPr>
          <w:sz w:val="20"/>
          <w:szCs w:val="20"/>
        </w:rPr>
        <w:t xml:space="preserve">shared-contracts/ porte les spécifications OpenAPI (REST) et AsyncAPI (événements Kafka), versionnées ; c'est la référence unique que mobile, web et chaque microservice implémentent — évite la dérive de contrat entre les trois volets.</w:t>
      </w:r>
    </w:p>
    <w:p>
      <w:pPr>
        <w:pStyle w:val="ListParagraph"/>
        <w:numPr>
          <w:ilvl w:val="0"/>
          <w:numId w:val="1"/>
        </w:numPr>
        <w:spacing w:after="80"/>
      </w:pPr>
      <w:r>
        <w:rPr>
          <w:sz w:val="20"/>
          <w:szCs w:val="20"/>
        </w:rPr>
        <w:t xml:space="preserve">CI/CD par filtre de chemin (path filters) : une pull request qui touche uniquement mobile/ ne redéclenche pas les pipelines web/ ou backend/ — indispensable dès que les trois volets vivent dans le même repo.</w:t>
      </w:r>
    </w:p>
    <w:p>
      <w:pPr>
        <w:pStyle w:val="ListParagraph"/>
        <w:numPr>
          <w:ilvl w:val="0"/>
          <w:numId w:val="1"/>
        </w:numPr>
        <w:spacing w:after="80"/>
      </w:pPr>
      <w:r>
        <w:rPr>
          <w:sz w:val="20"/>
          <w:szCs w:val="20"/>
        </w:rPr>
        <w:t xml:space="preserve">Convention de nommage des branches : feature/&lt;module&gt;/&lt;courte-description&gt; (ex. feature/service-mkt/publication-demande, feature/mobile-client/ecran-catalogue).</w:t>
      </w:r>
    </w:p>
    <w:p>
      <w:pPr>
        <w:pStyle w:val="ListParagraph"/>
        <w:numPr>
          <w:ilvl w:val="0"/>
          <w:numId w:val="1"/>
        </w:numPr>
        <w:spacing w:after="80"/>
      </w:pPr>
      <w:r>
        <w:rPr>
          <w:sz w:val="20"/>
          <w:szCs w:val="20"/>
        </w:rPr>
        <w:t xml:space="preserve">Commits conventionnels (Conventional Commits) avec le scope du module concerné, ex. feat(service-pay): implémente le séquestre logique.</w:t>
      </w:r>
    </w:p>
    <w:p>
      <w:pPr>
        <w:pStyle w:val="ListParagraph"/>
        <w:numPr>
          <w:ilvl w:val="0"/>
          <w:numId w:val="1"/>
        </w:numPr>
        <w:spacing w:after="80"/>
      </w:pPr>
      <w:r>
        <w:rPr>
          <w:sz w:val="20"/>
          <w:szCs w:val="20"/>
        </w:rPr>
        <w:t xml:space="preserve">Un ADR (Architecture Decision Record) dans docs/ pour toute décision structurante — dont celle de ce document sur Spring Boot vs Go.</w:t>
      </w:r>
    </w:p>
    <w:p>
      <w:r>
        <w:br w:type="page"/>
      </w:r>
    </w:p>
    <w:p>
      <w:pPr>
        <w:pStyle w:val="Heading1"/>
        <w:spacing w:after="180" w:before="360"/>
      </w:pPr>
      <w:r>
        <w:rPr>
          <w:b/>
          <w:bCs/>
          <w:color w:val="D40F16"/>
          <w:sz w:val="30"/>
          <w:szCs w:val="30"/>
        </w:rPr>
        <w:t xml:space="preserve">3. Modèle de données — entités clés (extrait du §13 du CDC)</w:t>
      </w:r>
    </w:p>
    <w:p>
      <w:pPr>
        <w:spacing w:after="160"/>
      </w:pPr>
      <w:r>
        <w:rPr>
          <w:sz w:val="20"/>
          <w:szCs w:val="20"/>
        </w:rPr>
        <w:t xml:space="preserve">Le modèle de données est extrait du §13 du CDC v4.0. Les entités marquées « nouveau » n'existaient pas dans le modèle v3.0 et sont indispensables au groupage et au moteur de matching.</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800"/>
        <w:gridCol w:w="4680"/>
        <w:gridCol w:w="2520"/>
      </w:tblGrid>
      <w:tr>
        <w:trPr>
          <w:tblHeader/>
        </w:trPr>
        <w:tc>
          <w:tcPr>
            <w:tcW w:type="pct" w:w="20%"/>
            <w:shd w:fill="2B2B2B" w:val="clear"/>
            <w:tcMar>
              <w:top w:type="dxa" w:w="80"/>
              <w:left w:type="dxa" w:w="100"/>
              <w:bottom w:type="dxa" w:w="80"/>
              <w:right w:type="dxa" w:w="100"/>
            </w:tcMar>
            <w:vAlign w:val="center"/>
          </w:tcPr>
          <w:p>
            <w:r>
              <w:rPr>
                <w:b/>
                <w:bCs/>
                <w:color w:val="FFFFFF"/>
                <w:sz w:val="18"/>
                <w:szCs w:val="18"/>
              </w:rPr>
              <w:t xml:space="preserve">Entité</w:t>
            </w:r>
          </w:p>
        </w:tc>
        <w:tc>
          <w:tcPr>
            <w:tcW w:type="pct" w:w="52%"/>
            <w:shd w:fill="2B2B2B" w:val="clear"/>
            <w:tcMar>
              <w:top w:type="dxa" w:w="80"/>
              <w:left w:type="dxa" w:w="100"/>
              <w:bottom w:type="dxa" w:w="80"/>
              <w:right w:type="dxa" w:w="100"/>
            </w:tcMar>
            <w:vAlign w:val="center"/>
          </w:tcPr>
          <w:p>
            <w:r>
              <w:rPr>
                <w:b/>
                <w:bCs/>
                <w:color w:val="FFFFFF"/>
                <w:sz w:val="18"/>
                <w:szCs w:val="18"/>
              </w:rPr>
              <w:t xml:space="preserve">Description</w:t>
            </w:r>
          </w:p>
        </w:tc>
        <w:tc>
          <w:tcPr>
            <w:tcW w:type="pct" w:w="28%"/>
            <w:shd w:fill="2B2B2B" w:val="clear"/>
            <w:tcMar>
              <w:top w:type="dxa" w:w="80"/>
              <w:left w:type="dxa" w:w="100"/>
              <w:bottom w:type="dxa" w:w="80"/>
              <w:right w:type="dxa" w:w="100"/>
            </w:tcMar>
            <w:vAlign w:val="center"/>
          </w:tcPr>
          <w:p>
            <w:r>
              <w:rPr>
                <w:b/>
                <w:bCs/>
                <w:color w:val="FFFFFF"/>
                <w:sz w:val="18"/>
                <w:szCs w:val="18"/>
              </w:rPr>
              <w:t xml:space="preserve">Relations clés</w:t>
            </w:r>
          </w:p>
        </w:tc>
      </w:tr>
      <w:tr>
        <w:tc>
          <w:tcPr>
            <w:tcW w:type="pct" w:w="20%"/>
            <w:tcMar>
              <w:top w:type="dxa" w:w="80"/>
              <w:left w:type="dxa" w:w="100"/>
              <w:bottom w:type="dxa" w:w="80"/>
              <w:right w:type="dxa" w:w="100"/>
            </w:tcMar>
            <w:vAlign w:val="center"/>
          </w:tcPr>
          <w:p>
            <w:r>
              <w:rPr>
                <w:b w:val="false"/>
                <w:bCs w:val="false"/>
                <w:sz w:val="18"/>
                <w:szCs w:val="18"/>
              </w:rPr>
              <w:t xml:space="preserve">Tenant</w:t>
            </w:r>
          </w:p>
        </w:tc>
        <w:tc>
          <w:tcPr>
            <w:tcW w:type="pct" w:w="52%"/>
            <w:tcMar>
              <w:top w:type="dxa" w:w="80"/>
              <w:left w:type="dxa" w:w="100"/>
              <w:bottom w:type="dxa" w:w="80"/>
              <w:right w:type="dxa" w:w="100"/>
            </w:tcMar>
            <w:vAlign w:val="center"/>
          </w:tcPr>
          <w:p>
            <w:r>
              <w:rPr>
                <w:b w:val="false"/>
                <w:bCs w:val="false"/>
                <w:sz w:val="18"/>
                <w:szCs w:val="18"/>
              </w:rPr>
              <w:t xml:space="preserve">Espace isolé : bureau institutionnel ou périmètre commercial</w:t>
            </w:r>
          </w:p>
        </w:tc>
        <w:tc>
          <w:tcPr>
            <w:tcW w:type="pct" w:w="28%"/>
            <w:tcMar>
              <w:top w:type="dxa" w:w="80"/>
              <w:left w:type="dxa" w:w="100"/>
              <w:bottom w:type="dxa" w:w="80"/>
              <w:right w:type="dxa" w:w="100"/>
            </w:tcMar>
            <w:vAlign w:val="center"/>
          </w:tcPr>
          <w:p>
            <w:r>
              <w:rPr>
                <w:b w:val="false"/>
                <w:bCs w:val="false"/>
                <w:sz w:val="18"/>
                <w:szCs w:val="18"/>
              </w:rPr>
              <w:t xml:space="preserve">1-n Acteur, 1-n Axe</w:t>
            </w:r>
          </w:p>
        </w:tc>
      </w:tr>
      <w:tr>
        <w:tc>
          <w:tcPr>
            <w:tcW w:type="pct" w:w="20%"/>
            <w:shd w:fill="F5F5F5" w:val="clear"/>
            <w:tcMar>
              <w:top w:type="dxa" w:w="80"/>
              <w:left w:type="dxa" w:w="100"/>
              <w:bottom w:type="dxa" w:w="80"/>
              <w:right w:type="dxa" w:w="100"/>
            </w:tcMar>
            <w:vAlign w:val="center"/>
          </w:tcPr>
          <w:p>
            <w:r>
              <w:rPr>
                <w:b w:val="false"/>
                <w:bCs w:val="false"/>
                <w:sz w:val="18"/>
                <w:szCs w:val="18"/>
              </w:rPr>
              <w:t xml:space="preserve">Axe</w:t>
            </w:r>
          </w:p>
        </w:tc>
        <w:tc>
          <w:tcPr>
            <w:tcW w:type="pct" w:w="52%"/>
            <w:shd w:fill="F5F5F5" w:val="clear"/>
            <w:tcMar>
              <w:top w:type="dxa" w:w="80"/>
              <w:left w:type="dxa" w:w="100"/>
              <w:bottom w:type="dxa" w:w="80"/>
              <w:right w:type="dxa" w:w="100"/>
            </w:tcMar>
            <w:vAlign w:val="center"/>
          </w:tcPr>
          <w:p>
            <w:r>
              <w:rPr>
                <w:b w:val="false"/>
                <w:bCs w:val="false"/>
                <w:sz w:val="18"/>
                <w:szCs w:val="18"/>
              </w:rPr>
              <w:t xml:space="preserve">Liaison entre deux hubs ; état d'activation, paramètres, surcouche sécuritaire</w:t>
            </w:r>
          </w:p>
        </w:tc>
        <w:tc>
          <w:tcPr>
            <w:tcW w:type="pct" w:w="28%"/>
            <w:shd w:fill="F5F5F5" w:val="clear"/>
            <w:tcMar>
              <w:top w:type="dxa" w:w="80"/>
              <w:left w:type="dxa" w:w="100"/>
              <w:bottom w:type="dxa" w:w="80"/>
              <w:right w:type="dxa" w:w="100"/>
            </w:tcMar>
            <w:vAlign w:val="center"/>
          </w:tcPr>
          <w:p>
            <w:r>
              <w:rPr>
                <w:b w:val="false"/>
                <w:bCs w:val="false"/>
                <w:sz w:val="18"/>
                <w:szCs w:val="18"/>
              </w:rPr>
              <w:t xml:space="preserve">1-n Hub, 1-n Mission</w:t>
            </w:r>
          </w:p>
        </w:tc>
      </w:tr>
      <w:tr>
        <w:tc>
          <w:tcPr>
            <w:tcW w:type="pct" w:w="20%"/>
            <w:tcMar>
              <w:top w:type="dxa" w:w="80"/>
              <w:left w:type="dxa" w:w="100"/>
              <w:bottom w:type="dxa" w:w="80"/>
              <w:right w:type="dxa" w:w="100"/>
            </w:tcMar>
            <w:vAlign w:val="center"/>
          </w:tcPr>
          <w:p>
            <w:r>
              <w:rPr>
                <w:b w:val="false"/>
                <w:bCs w:val="false"/>
                <w:sz w:val="18"/>
                <w:szCs w:val="18"/>
              </w:rPr>
              <w:t xml:space="preserve">Hub</w:t>
            </w:r>
          </w:p>
        </w:tc>
        <w:tc>
          <w:tcPr>
            <w:tcW w:type="pct" w:w="52%"/>
            <w:tcMar>
              <w:top w:type="dxa" w:w="80"/>
              <w:left w:type="dxa" w:w="100"/>
              <w:bottom w:type="dxa" w:w="80"/>
              <w:right w:type="dxa" w:w="100"/>
            </w:tcMar>
            <w:vAlign w:val="center"/>
          </w:tcPr>
          <w:p>
            <w:r>
              <w:rPr>
                <w:b w:val="false"/>
                <w:bCs w:val="false"/>
                <w:sz w:val="18"/>
                <w:szCs w:val="18"/>
              </w:rPr>
              <w:t xml:space="preserve">Nœud du réseau : ville, plateforme, point de consolidation</w:t>
            </w:r>
          </w:p>
        </w:tc>
        <w:tc>
          <w:tcPr>
            <w:tcW w:type="pct" w:w="28%"/>
            <w:tcMar>
              <w:top w:type="dxa" w:w="80"/>
              <w:left w:type="dxa" w:w="100"/>
              <w:bottom w:type="dxa" w:w="80"/>
              <w:right w:type="dxa" w:w="100"/>
            </w:tcMar>
            <w:vAlign w:val="center"/>
          </w:tcPr>
          <w:p>
            <w:r>
              <w:rPr>
                <w:b w:val="false"/>
                <w:bCs w:val="false"/>
                <w:sz w:val="18"/>
                <w:szCs w:val="18"/>
              </w:rPr>
              <w:t xml:space="preserve">n-n Axe</w:t>
            </w:r>
          </w:p>
        </w:tc>
      </w:tr>
      <w:tr>
        <w:tc>
          <w:tcPr>
            <w:tcW w:type="pct" w:w="20%"/>
            <w:shd w:fill="F5F5F5" w:val="clear"/>
            <w:tcMar>
              <w:top w:type="dxa" w:w="80"/>
              <w:left w:type="dxa" w:w="100"/>
              <w:bottom w:type="dxa" w:w="80"/>
              <w:right w:type="dxa" w:w="100"/>
            </w:tcMar>
            <w:vAlign w:val="center"/>
          </w:tcPr>
          <w:p>
            <w:r>
              <w:rPr>
                <w:b w:val="false"/>
                <w:bCs w:val="false"/>
                <w:sz w:val="18"/>
                <w:szCs w:val="18"/>
              </w:rPr>
              <w:t xml:space="preserve">Acteur</w:t>
            </w:r>
          </w:p>
        </w:tc>
        <w:tc>
          <w:tcPr>
            <w:tcW w:type="pct" w:w="52%"/>
            <w:shd w:fill="F5F5F5" w:val="clear"/>
            <w:tcMar>
              <w:top w:type="dxa" w:w="80"/>
              <w:left w:type="dxa" w:w="100"/>
              <w:bottom w:type="dxa" w:w="80"/>
              <w:right w:type="dxa" w:w="100"/>
            </w:tcMar>
            <w:vAlign w:val="center"/>
          </w:tcPr>
          <w:p>
            <w:r>
              <w:rPr>
                <w:b w:val="false"/>
                <w:bCs w:val="false"/>
                <w:sz w:val="18"/>
                <w:szCs w:val="18"/>
              </w:rPr>
              <w:t xml:space="preserve">Personne physique ou morale ; niveau KYC, rôles, préférences</w:t>
            </w:r>
          </w:p>
        </w:tc>
        <w:tc>
          <w:tcPr>
            <w:tcW w:type="pct" w:w="28%"/>
            <w:shd w:fill="F5F5F5" w:val="clear"/>
            <w:tcMar>
              <w:top w:type="dxa" w:w="80"/>
              <w:left w:type="dxa" w:w="100"/>
              <w:bottom w:type="dxa" w:w="80"/>
              <w:right w:type="dxa" w:w="100"/>
            </w:tcMar>
            <w:vAlign w:val="center"/>
          </w:tcPr>
          <w:p>
            <w:r>
              <w:rPr>
                <w:b w:val="false"/>
                <w:bCs w:val="false"/>
                <w:sz w:val="18"/>
                <w:szCs w:val="18"/>
              </w:rPr>
              <w:t xml:space="preserve">n-1 Tenant, n-n Rôle</w:t>
            </w:r>
          </w:p>
        </w:tc>
      </w:tr>
      <w:tr>
        <w:tc>
          <w:tcPr>
            <w:tcW w:type="pct" w:w="20%"/>
            <w:tcMar>
              <w:top w:type="dxa" w:w="80"/>
              <w:left w:type="dxa" w:w="100"/>
              <w:bottom w:type="dxa" w:w="80"/>
              <w:right w:type="dxa" w:w="100"/>
            </w:tcMar>
            <w:vAlign w:val="center"/>
          </w:tcPr>
          <w:p>
            <w:r>
              <w:rPr>
                <w:b w:val="false"/>
                <w:bCs w:val="false"/>
                <w:sz w:val="18"/>
                <w:szCs w:val="18"/>
              </w:rPr>
              <w:t xml:space="preserve">Organisation</w:t>
            </w:r>
          </w:p>
        </w:tc>
        <w:tc>
          <w:tcPr>
            <w:tcW w:type="pct" w:w="52%"/>
            <w:tcMar>
              <w:top w:type="dxa" w:w="80"/>
              <w:left w:type="dxa" w:w="100"/>
              <w:bottom w:type="dxa" w:w="80"/>
              <w:right w:type="dxa" w:w="100"/>
            </w:tcMar>
            <w:vAlign w:val="center"/>
          </w:tcPr>
          <w:p>
            <w:r>
              <w:rPr>
                <w:b w:val="false"/>
                <w:bCs w:val="false"/>
                <w:sz w:val="18"/>
                <w:szCs w:val="18"/>
              </w:rPr>
              <w:t xml:space="preserve">Personne morale ; pièces, échéances, collaborateurs</w:t>
            </w:r>
          </w:p>
        </w:tc>
        <w:tc>
          <w:tcPr>
            <w:tcW w:type="pct" w:w="28%"/>
            <w:tcMar>
              <w:top w:type="dxa" w:w="80"/>
              <w:left w:type="dxa" w:w="100"/>
              <w:bottom w:type="dxa" w:w="80"/>
              <w:right w:type="dxa" w:w="100"/>
            </w:tcMar>
            <w:vAlign w:val="center"/>
          </w:tcPr>
          <w:p>
            <w:r>
              <w:rPr>
                <w:b w:val="false"/>
                <w:bCs w:val="false"/>
                <w:sz w:val="18"/>
                <w:szCs w:val="18"/>
              </w:rPr>
              <w:t xml:space="preserve">1-n Acteur</w:t>
            </w:r>
          </w:p>
        </w:tc>
      </w:tr>
      <w:tr>
        <w:tc>
          <w:tcPr>
            <w:tcW w:type="pct" w:w="20%"/>
            <w:shd w:fill="F5F5F5" w:val="clear"/>
            <w:tcMar>
              <w:top w:type="dxa" w:w="80"/>
              <w:left w:type="dxa" w:w="100"/>
              <w:bottom w:type="dxa" w:w="80"/>
              <w:right w:type="dxa" w:w="100"/>
            </w:tcMar>
            <w:vAlign w:val="center"/>
          </w:tcPr>
          <w:p>
            <w:r>
              <w:rPr>
                <w:b w:val="false"/>
                <w:bCs w:val="false"/>
                <w:sz w:val="18"/>
                <w:szCs w:val="18"/>
              </w:rPr>
              <w:t xml:space="preserve">Véhicule</w:t>
            </w:r>
          </w:p>
        </w:tc>
        <w:tc>
          <w:tcPr>
            <w:tcW w:type="pct" w:w="52%"/>
            <w:shd w:fill="F5F5F5" w:val="clear"/>
            <w:tcMar>
              <w:top w:type="dxa" w:w="80"/>
              <w:left w:type="dxa" w:w="100"/>
              <w:bottom w:type="dxa" w:w="80"/>
              <w:right w:type="dxa" w:w="100"/>
            </w:tcMar>
            <w:vAlign w:val="center"/>
          </w:tcPr>
          <w:p>
            <w:r>
              <w:rPr>
                <w:b w:val="false"/>
                <w:bCs w:val="false"/>
                <w:sz w:val="18"/>
                <w:szCs w:val="18"/>
              </w:rPr>
              <w:t xml:space="preserve">Carrosserie, charge utile, volume utile, dimensions, configuration d'essieux</w:t>
            </w:r>
          </w:p>
        </w:tc>
        <w:tc>
          <w:tcPr>
            <w:tcW w:type="pct" w:w="28%"/>
            <w:shd w:fill="F5F5F5" w:val="clear"/>
            <w:tcMar>
              <w:top w:type="dxa" w:w="80"/>
              <w:left w:type="dxa" w:w="100"/>
              <w:bottom w:type="dxa" w:w="80"/>
              <w:right w:type="dxa" w:w="100"/>
            </w:tcMar>
            <w:vAlign w:val="center"/>
          </w:tcPr>
          <w:p>
            <w:r>
              <w:rPr>
                <w:b w:val="false"/>
                <w:bCs w:val="false"/>
                <w:sz w:val="18"/>
                <w:szCs w:val="18"/>
              </w:rPr>
              <w:t xml:space="preserve">n-1 Propriétaire, n-1 Exploitant</w:t>
            </w:r>
          </w:p>
        </w:tc>
      </w:tr>
      <w:tr>
        <w:tc>
          <w:tcPr>
            <w:tcW w:type="pct" w:w="20%"/>
            <w:tcMar>
              <w:top w:type="dxa" w:w="80"/>
              <w:left w:type="dxa" w:w="100"/>
              <w:bottom w:type="dxa" w:w="80"/>
              <w:right w:type="dxa" w:w="100"/>
            </w:tcMar>
            <w:vAlign w:val="center"/>
          </w:tcPr>
          <w:p>
            <w:r>
              <w:rPr>
                <w:b w:val="false"/>
                <w:bCs w:val="false"/>
                <w:sz w:val="18"/>
                <w:szCs w:val="18"/>
              </w:rPr>
              <w:t xml:space="preserve">Capacité (nouveau)</w:t>
            </w:r>
          </w:p>
        </w:tc>
        <w:tc>
          <w:tcPr>
            <w:tcW w:type="pct" w:w="52%"/>
            <w:tcMar>
              <w:top w:type="dxa" w:w="80"/>
              <w:left w:type="dxa" w:w="100"/>
              <w:bottom w:type="dxa" w:w="80"/>
              <w:right w:type="dxa" w:w="100"/>
            </w:tcMar>
            <w:vAlign w:val="center"/>
          </w:tcPr>
          <w:p>
            <w:r>
              <w:rPr>
                <w:b w:val="false"/>
                <w:bCs w:val="false"/>
                <w:sz w:val="18"/>
                <w:szCs w:val="18"/>
              </w:rPr>
              <w:t xml:space="preserve">Espace offert : origine, destination, fenêtre, poids taxable, mode de collecte, capacité résiduelle</w:t>
            </w:r>
          </w:p>
        </w:tc>
        <w:tc>
          <w:tcPr>
            <w:tcW w:type="pct" w:w="28%"/>
            <w:tcMar>
              <w:top w:type="dxa" w:w="80"/>
              <w:left w:type="dxa" w:w="100"/>
              <w:bottom w:type="dxa" w:w="80"/>
              <w:right w:type="dxa" w:w="100"/>
            </w:tcMar>
            <w:vAlign w:val="center"/>
          </w:tcPr>
          <w:p>
            <w:r>
              <w:rPr>
                <w:b w:val="false"/>
                <w:bCs w:val="false"/>
                <w:sz w:val="18"/>
                <w:szCs w:val="18"/>
              </w:rPr>
              <w:t xml:space="preserve">n-1 Véhicule, n-1 Axe</w:t>
            </w:r>
          </w:p>
        </w:tc>
      </w:tr>
      <w:tr>
        <w:tc>
          <w:tcPr>
            <w:tcW w:type="pct" w:w="20%"/>
            <w:shd w:fill="F5F5F5" w:val="clear"/>
            <w:tcMar>
              <w:top w:type="dxa" w:w="80"/>
              <w:left w:type="dxa" w:w="100"/>
              <w:bottom w:type="dxa" w:w="80"/>
              <w:right w:type="dxa" w:w="100"/>
            </w:tcMar>
            <w:vAlign w:val="center"/>
          </w:tcPr>
          <w:p>
            <w:r>
              <w:rPr>
                <w:b w:val="false"/>
                <w:bCs w:val="false"/>
                <w:sz w:val="18"/>
                <w:szCs w:val="18"/>
              </w:rPr>
              <w:t xml:space="preserve">Demande (nouveau)</w:t>
            </w:r>
          </w:p>
        </w:tc>
        <w:tc>
          <w:tcPr>
            <w:tcW w:type="pct" w:w="52%"/>
            <w:shd w:fill="F5F5F5" w:val="clear"/>
            <w:tcMar>
              <w:top w:type="dxa" w:w="80"/>
              <w:left w:type="dxa" w:w="100"/>
              <w:bottom w:type="dxa" w:w="80"/>
              <w:right w:type="dxa" w:w="100"/>
            </w:tcMar>
            <w:vAlign w:val="center"/>
          </w:tcPr>
          <w:p>
            <w:r>
              <w:rPr>
                <w:b w:val="false"/>
                <w:bCs w:val="false"/>
                <w:sz w:val="18"/>
                <w:szCs w:val="18"/>
              </w:rPr>
              <w:t xml:space="preserve">Besoin publié : origine, destination, fenêtre, lots, niveau de confiance dimensionnelle</w:t>
            </w:r>
          </w:p>
        </w:tc>
        <w:tc>
          <w:tcPr>
            <w:tcW w:type="pct" w:w="28%"/>
            <w:shd w:fill="F5F5F5" w:val="clear"/>
            <w:tcMar>
              <w:top w:type="dxa" w:w="80"/>
              <w:left w:type="dxa" w:w="100"/>
              <w:bottom w:type="dxa" w:w="80"/>
              <w:right w:type="dxa" w:w="100"/>
            </w:tcMar>
            <w:vAlign w:val="center"/>
          </w:tcPr>
          <w:p>
            <w:r>
              <w:rPr>
                <w:b w:val="false"/>
                <w:bCs w:val="false"/>
                <w:sz w:val="18"/>
                <w:szCs w:val="18"/>
              </w:rPr>
              <w:t xml:space="preserve">n-1 Chargeur, n-1 Axe</w:t>
            </w:r>
          </w:p>
        </w:tc>
      </w:tr>
      <w:tr>
        <w:tc>
          <w:tcPr>
            <w:tcW w:type="pct" w:w="20%"/>
            <w:tcMar>
              <w:top w:type="dxa" w:w="80"/>
              <w:left w:type="dxa" w:w="100"/>
              <w:bottom w:type="dxa" w:w="80"/>
              <w:right w:type="dxa" w:w="100"/>
            </w:tcMar>
            <w:vAlign w:val="center"/>
          </w:tcPr>
          <w:p>
            <w:r>
              <w:rPr>
                <w:b w:val="false"/>
                <w:bCs w:val="false"/>
                <w:sz w:val="18"/>
                <w:szCs w:val="18"/>
              </w:rPr>
              <w:t xml:space="preserve">Lot / Colis (nouveau)</w:t>
            </w:r>
          </w:p>
        </w:tc>
        <w:tc>
          <w:tcPr>
            <w:tcW w:type="pct" w:w="52%"/>
            <w:tcMar>
              <w:top w:type="dxa" w:w="80"/>
              <w:left w:type="dxa" w:w="100"/>
              <w:bottom w:type="dxa" w:w="80"/>
              <w:right w:type="dxa" w:w="100"/>
            </w:tcMar>
            <w:vAlign w:val="center"/>
          </w:tcPr>
          <w:p>
            <w:r>
              <w:rPr>
                <w:b w:val="false"/>
                <w:bCs w:val="false"/>
                <w:sz w:val="18"/>
                <w:szCs w:val="18"/>
              </w:rPr>
              <w:t xml:space="preserve">Unité physique : type catalogue, quantité, poids, dimensions, gerbabilité, fragilité, classe de danger</w:t>
            </w:r>
          </w:p>
        </w:tc>
        <w:tc>
          <w:tcPr>
            <w:tcW w:type="pct" w:w="28%"/>
            <w:tcMar>
              <w:top w:type="dxa" w:w="80"/>
              <w:left w:type="dxa" w:w="100"/>
              <w:bottom w:type="dxa" w:w="80"/>
              <w:right w:type="dxa" w:w="100"/>
            </w:tcMar>
            <w:vAlign w:val="center"/>
          </w:tcPr>
          <w:p>
            <w:r>
              <w:rPr>
                <w:b w:val="false"/>
                <w:bCs w:val="false"/>
                <w:sz w:val="18"/>
                <w:szCs w:val="18"/>
              </w:rPr>
              <w:t xml:space="preserve">n-1 Demande</w:t>
            </w:r>
          </w:p>
        </w:tc>
      </w:tr>
      <w:tr>
        <w:tc>
          <w:tcPr>
            <w:tcW w:type="pct" w:w="20%"/>
            <w:shd w:fill="F5F5F5" w:val="clear"/>
            <w:tcMar>
              <w:top w:type="dxa" w:w="80"/>
              <w:left w:type="dxa" w:w="100"/>
              <w:bottom w:type="dxa" w:w="80"/>
              <w:right w:type="dxa" w:w="100"/>
            </w:tcMar>
            <w:vAlign w:val="center"/>
          </w:tcPr>
          <w:p>
            <w:r>
              <w:rPr>
                <w:b w:val="false"/>
                <w:bCs w:val="false"/>
                <w:sz w:val="18"/>
                <w:szCs w:val="18"/>
              </w:rPr>
              <w:t xml:space="preserve">TypeEmballage (nouveau)</w:t>
            </w:r>
          </w:p>
        </w:tc>
        <w:tc>
          <w:tcPr>
            <w:tcW w:type="pct" w:w="52%"/>
            <w:shd w:fill="F5F5F5" w:val="clear"/>
            <w:tcMar>
              <w:top w:type="dxa" w:w="80"/>
              <w:left w:type="dxa" w:w="100"/>
              <w:bottom w:type="dxa" w:w="80"/>
              <w:right w:type="dxa" w:w="100"/>
            </w:tcMar>
            <w:vAlign w:val="center"/>
          </w:tcPr>
          <w:p>
            <w:r>
              <w:rPr>
                <w:b w:val="false"/>
                <w:bCs w:val="false"/>
                <w:sz w:val="18"/>
                <w:szCs w:val="18"/>
              </w:rPr>
              <w:t xml:space="preserve">Référentiel : libellé, illustration, caractéristiques par défaut</w:t>
            </w:r>
          </w:p>
        </w:tc>
        <w:tc>
          <w:tcPr>
            <w:tcW w:type="pct" w:w="28%"/>
            <w:shd w:fill="F5F5F5" w:val="clear"/>
            <w:tcMar>
              <w:top w:type="dxa" w:w="80"/>
              <w:left w:type="dxa" w:w="100"/>
              <w:bottom w:type="dxa" w:w="80"/>
              <w:right w:type="dxa" w:w="100"/>
            </w:tcMar>
            <w:vAlign w:val="center"/>
          </w:tcPr>
          <w:p>
            <w:r>
              <w:rPr>
                <w:b w:val="false"/>
                <w:bCs w:val="false"/>
                <w:sz w:val="18"/>
                <w:szCs w:val="18"/>
              </w:rPr>
              <w:t xml:space="preserve">1-n Lot</w:t>
            </w:r>
          </w:p>
        </w:tc>
      </w:tr>
      <w:tr>
        <w:tc>
          <w:tcPr>
            <w:tcW w:type="pct" w:w="20%"/>
            <w:tcMar>
              <w:top w:type="dxa" w:w="80"/>
              <w:left w:type="dxa" w:w="100"/>
              <w:bottom w:type="dxa" w:w="80"/>
              <w:right w:type="dxa" w:w="100"/>
            </w:tcMar>
            <w:vAlign w:val="center"/>
          </w:tcPr>
          <w:p>
            <w:r>
              <w:rPr>
                <w:b w:val="false"/>
                <w:bCs w:val="false"/>
                <w:sz w:val="18"/>
                <w:szCs w:val="18"/>
              </w:rPr>
              <w:t xml:space="preserve">Mission</w:t>
            </w:r>
          </w:p>
        </w:tc>
        <w:tc>
          <w:tcPr>
            <w:tcW w:type="pct" w:w="52%"/>
            <w:tcMar>
              <w:top w:type="dxa" w:w="80"/>
              <w:left w:type="dxa" w:w="100"/>
              <w:bottom w:type="dxa" w:w="80"/>
              <w:right w:type="dxa" w:w="100"/>
            </w:tcMar>
            <w:vAlign w:val="center"/>
          </w:tcPr>
          <w:p>
            <w:r>
              <w:rPr>
                <w:b w:val="false"/>
                <w:bCs w:val="false"/>
                <w:sz w:val="18"/>
                <w:szCs w:val="18"/>
              </w:rPr>
              <w:t xml:space="preserve">Exécution : séquence d'étapes, véhicule, chauffeur, état, plan de chargement</w:t>
            </w:r>
          </w:p>
        </w:tc>
        <w:tc>
          <w:tcPr>
            <w:tcW w:type="pct" w:w="28%"/>
            <w:tcMar>
              <w:top w:type="dxa" w:w="80"/>
              <w:left w:type="dxa" w:w="100"/>
              <w:bottom w:type="dxa" w:w="80"/>
              <w:right w:type="dxa" w:w="100"/>
            </w:tcMar>
            <w:vAlign w:val="center"/>
          </w:tcPr>
          <w:p>
            <w:r>
              <w:rPr>
                <w:b w:val="false"/>
                <w:bCs w:val="false"/>
                <w:sz w:val="18"/>
                <w:szCs w:val="18"/>
              </w:rPr>
              <w:t xml:space="preserve">n-1 Axe, n-1 Véhicule, n-n Demande</w:t>
            </w:r>
          </w:p>
        </w:tc>
      </w:tr>
      <w:tr>
        <w:tc>
          <w:tcPr>
            <w:tcW w:type="pct" w:w="20%"/>
            <w:shd w:fill="F5F5F5" w:val="clear"/>
            <w:tcMar>
              <w:top w:type="dxa" w:w="80"/>
              <w:left w:type="dxa" w:w="100"/>
              <w:bottom w:type="dxa" w:w="80"/>
              <w:right w:type="dxa" w:w="100"/>
            </w:tcMar>
            <w:vAlign w:val="center"/>
          </w:tcPr>
          <w:p>
            <w:r>
              <w:rPr>
                <w:b w:val="false"/>
                <w:bCs w:val="false"/>
                <w:sz w:val="18"/>
                <w:szCs w:val="18"/>
              </w:rPr>
              <w:t xml:space="preserve">Étape (nouveau)</w:t>
            </w:r>
          </w:p>
        </w:tc>
        <w:tc>
          <w:tcPr>
            <w:tcW w:type="pct" w:w="52%"/>
            <w:shd w:fill="F5F5F5" w:val="clear"/>
            <w:tcMar>
              <w:top w:type="dxa" w:w="80"/>
              <w:left w:type="dxa" w:w="100"/>
              <w:bottom w:type="dxa" w:w="80"/>
              <w:right w:type="dxa" w:w="100"/>
            </w:tcMar>
            <w:vAlign w:val="center"/>
          </w:tcPr>
          <w:p>
            <w:r>
              <w:rPr>
                <w:b w:val="false"/>
                <w:bCs w:val="false"/>
                <w:sz w:val="18"/>
                <w:szCs w:val="18"/>
              </w:rPr>
              <w:t xml:space="preserve">Enlèvement ou livraison : rang, point, fenêtre, état, preuves</w:t>
            </w:r>
          </w:p>
        </w:tc>
        <w:tc>
          <w:tcPr>
            <w:tcW w:type="pct" w:w="28%"/>
            <w:shd w:fill="F5F5F5" w:val="clear"/>
            <w:tcMar>
              <w:top w:type="dxa" w:w="80"/>
              <w:left w:type="dxa" w:w="100"/>
              <w:bottom w:type="dxa" w:w="80"/>
              <w:right w:type="dxa" w:w="100"/>
            </w:tcMar>
            <w:vAlign w:val="center"/>
          </w:tcPr>
          <w:p>
            <w:r>
              <w:rPr>
                <w:b w:val="false"/>
                <w:bCs w:val="false"/>
                <w:sz w:val="18"/>
                <w:szCs w:val="18"/>
              </w:rPr>
              <w:t xml:space="preserve">n-1 Mission, n-1 Demande</w:t>
            </w:r>
          </w:p>
        </w:tc>
      </w:tr>
      <w:tr>
        <w:tc>
          <w:tcPr>
            <w:tcW w:type="pct" w:w="20%"/>
            <w:tcMar>
              <w:top w:type="dxa" w:w="80"/>
              <w:left w:type="dxa" w:w="100"/>
              <w:bottom w:type="dxa" w:w="80"/>
              <w:right w:type="dxa" w:w="100"/>
            </w:tcMar>
            <w:vAlign w:val="center"/>
          </w:tcPr>
          <w:p>
            <w:r>
              <w:rPr>
                <w:b w:val="false"/>
                <w:bCs w:val="false"/>
                <w:sz w:val="18"/>
                <w:szCs w:val="18"/>
              </w:rPr>
              <w:t xml:space="preserve">Position</w:t>
            </w:r>
          </w:p>
        </w:tc>
        <w:tc>
          <w:tcPr>
            <w:tcW w:type="pct" w:w="52%"/>
            <w:tcMar>
              <w:top w:type="dxa" w:w="80"/>
              <w:left w:type="dxa" w:w="100"/>
              <w:bottom w:type="dxa" w:w="80"/>
              <w:right w:type="dxa" w:w="100"/>
            </w:tcMar>
            <w:vAlign w:val="center"/>
          </w:tcPr>
          <w:p>
            <w:r>
              <w:rPr>
                <w:b w:val="false"/>
                <w:bCs w:val="false"/>
                <w:sz w:val="18"/>
                <w:szCs w:val="18"/>
              </w:rPr>
              <w:t xml:space="preserve">Point horodaté, mode de capture, source</w:t>
            </w:r>
          </w:p>
        </w:tc>
        <w:tc>
          <w:tcPr>
            <w:tcW w:type="pct" w:w="28%"/>
            <w:tcMar>
              <w:top w:type="dxa" w:w="80"/>
              <w:left w:type="dxa" w:w="100"/>
              <w:bottom w:type="dxa" w:w="80"/>
              <w:right w:type="dxa" w:w="100"/>
            </w:tcMar>
            <w:vAlign w:val="center"/>
          </w:tcPr>
          <w:p>
            <w:r>
              <w:rPr>
                <w:b w:val="false"/>
                <w:bCs w:val="false"/>
                <w:sz w:val="18"/>
                <w:szCs w:val="18"/>
              </w:rPr>
              <w:t xml:space="preserve">n-1 Mission</w:t>
            </w:r>
          </w:p>
        </w:tc>
      </w:tr>
      <w:tr>
        <w:tc>
          <w:tcPr>
            <w:tcW w:type="pct" w:w="20%"/>
            <w:shd w:fill="F5F5F5" w:val="clear"/>
            <w:tcMar>
              <w:top w:type="dxa" w:w="80"/>
              <w:left w:type="dxa" w:w="100"/>
              <w:bottom w:type="dxa" w:w="80"/>
              <w:right w:type="dxa" w:w="100"/>
            </w:tcMar>
            <w:vAlign w:val="center"/>
          </w:tcPr>
          <w:p>
            <w:r>
              <w:rPr>
                <w:b w:val="false"/>
                <w:bCs w:val="false"/>
                <w:sz w:val="18"/>
                <w:szCs w:val="18"/>
              </w:rPr>
              <w:t xml:space="preserve">Preuve</w:t>
            </w:r>
          </w:p>
        </w:tc>
        <w:tc>
          <w:tcPr>
            <w:tcW w:type="pct" w:w="52%"/>
            <w:shd w:fill="F5F5F5" w:val="clear"/>
            <w:tcMar>
              <w:top w:type="dxa" w:w="80"/>
              <w:left w:type="dxa" w:w="100"/>
              <w:bottom w:type="dxa" w:w="80"/>
              <w:right w:type="dxa" w:w="100"/>
            </w:tcMar>
            <w:vAlign w:val="center"/>
          </w:tcPr>
          <w:p>
            <w:r>
              <w:rPr>
                <w:b w:val="false"/>
                <w:bCs w:val="false"/>
                <w:sz w:val="18"/>
                <w:szCs w:val="18"/>
              </w:rPr>
              <w:t xml:space="preserve">Photographies, signature ou code, horodatage de capture, empreinte</w:t>
            </w:r>
          </w:p>
        </w:tc>
        <w:tc>
          <w:tcPr>
            <w:tcW w:type="pct" w:w="28%"/>
            <w:shd w:fill="F5F5F5" w:val="clear"/>
            <w:tcMar>
              <w:top w:type="dxa" w:w="80"/>
              <w:left w:type="dxa" w:w="100"/>
              <w:bottom w:type="dxa" w:w="80"/>
              <w:right w:type="dxa" w:w="100"/>
            </w:tcMar>
            <w:vAlign w:val="center"/>
          </w:tcPr>
          <w:p>
            <w:r>
              <w:rPr>
                <w:b w:val="false"/>
                <w:bCs w:val="false"/>
                <w:sz w:val="18"/>
                <w:szCs w:val="18"/>
              </w:rPr>
              <w:t xml:space="preserve">n-1 Étape</w:t>
            </w:r>
          </w:p>
        </w:tc>
      </w:tr>
      <w:tr>
        <w:tc>
          <w:tcPr>
            <w:tcW w:type="pct" w:w="20%"/>
            <w:tcMar>
              <w:top w:type="dxa" w:w="80"/>
              <w:left w:type="dxa" w:w="100"/>
              <w:bottom w:type="dxa" w:w="80"/>
              <w:right w:type="dxa" w:w="100"/>
            </w:tcMar>
            <w:vAlign w:val="center"/>
          </w:tcPr>
          <w:p>
            <w:r>
              <w:rPr>
                <w:b w:val="false"/>
                <w:bCs w:val="false"/>
                <w:sz w:val="18"/>
                <w:szCs w:val="18"/>
              </w:rPr>
              <w:t xml:space="preserve">PlanChargement (nouveau)</w:t>
            </w:r>
          </w:p>
        </w:tc>
        <w:tc>
          <w:tcPr>
            <w:tcW w:type="pct" w:w="52%"/>
            <w:tcMar>
              <w:top w:type="dxa" w:w="80"/>
              <w:left w:type="dxa" w:w="100"/>
              <w:bottom w:type="dxa" w:w="80"/>
              <w:right w:type="dxa" w:w="100"/>
            </w:tcMar>
            <w:vAlign w:val="center"/>
          </w:tcPr>
          <w:p>
            <w:r>
              <w:rPr>
                <w:b w:val="false"/>
                <w:bCs w:val="false"/>
                <w:sz w:val="18"/>
                <w:szCs w:val="18"/>
              </w:rPr>
              <w:t xml:space="preserve">Positions des colis, orientations, charges par essieu à chaque étape</w:t>
            </w:r>
          </w:p>
        </w:tc>
        <w:tc>
          <w:tcPr>
            <w:tcW w:type="pct" w:w="28%"/>
            <w:tcMar>
              <w:top w:type="dxa" w:w="80"/>
              <w:left w:type="dxa" w:w="100"/>
              <w:bottom w:type="dxa" w:w="80"/>
              <w:right w:type="dxa" w:w="100"/>
            </w:tcMar>
            <w:vAlign w:val="center"/>
          </w:tcPr>
          <w:p>
            <w:r>
              <w:rPr>
                <w:b w:val="false"/>
                <w:bCs w:val="false"/>
                <w:sz w:val="18"/>
                <w:szCs w:val="18"/>
              </w:rPr>
              <w:t xml:space="preserve">1-1 Mission</w:t>
            </w:r>
          </w:p>
        </w:tc>
      </w:tr>
      <w:tr>
        <w:tc>
          <w:tcPr>
            <w:tcW w:type="pct" w:w="20%"/>
            <w:shd w:fill="F5F5F5" w:val="clear"/>
            <w:tcMar>
              <w:top w:type="dxa" w:w="80"/>
              <w:left w:type="dxa" w:w="100"/>
              <w:bottom w:type="dxa" w:w="80"/>
              <w:right w:type="dxa" w:w="100"/>
            </w:tcMar>
            <w:vAlign w:val="center"/>
          </w:tcPr>
          <w:p>
            <w:r>
              <w:rPr>
                <w:b w:val="false"/>
                <w:bCs w:val="false"/>
                <w:sz w:val="18"/>
                <w:szCs w:val="18"/>
              </w:rPr>
              <w:t xml:space="preserve">CycleMatching (nouveau)</w:t>
            </w:r>
          </w:p>
        </w:tc>
        <w:tc>
          <w:tcPr>
            <w:tcW w:type="pct" w:w="52%"/>
            <w:shd w:fill="F5F5F5" w:val="clear"/>
            <w:tcMar>
              <w:top w:type="dxa" w:w="80"/>
              <w:left w:type="dxa" w:w="100"/>
              <w:bottom w:type="dxa" w:w="80"/>
              <w:right w:type="dxa" w:w="100"/>
            </w:tcMar>
            <w:vAlign w:val="center"/>
          </w:tcPr>
          <w:p>
            <w:r>
              <w:rPr>
                <w:b w:val="false"/>
                <w:bCs w:val="false"/>
                <w:sz w:val="18"/>
                <w:szCs w:val="18"/>
              </w:rPr>
              <w:t xml:space="preserve">Trace d'exécution : lot, coûts, décisions, version du modèle, mode dégradé</w:t>
            </w:r>
          </w:p>
        </w:tc>
        <w:tc>
          <w:tcPr>
            <w:tcW w:type="pct" w:w="28%"/>
            <w:shd w:fill="F5F5F5" w:val="clear"/>
            <w:tcMar>
              <w:top w:type="dxa" w:w="80"/>
              <w:left w:type="dxa" w:w="100"/>
              <w:bottom w:type="dxa" w:w="80"/>
              <w:right w:type="dxa" w:w="100"/>
            </w:tcMar>
            <w:vAlign w:val="center"/>
          </w:tcPr>
          <w:p>
            <w:r>
              <w:rPr>
                <w:b w:val="false"/>
                <w:bCs w:val="false"/>
                <w:sz w:val="18"/>
                <w:szCs w:val="18"/>
              </w:rPr>
              <w:t xml:space="preserve">n-n Demande, n-n Capacité</w:t>
            </w:r>
          </w:p>
        </w:tc>
      </w:tr>
      <w:tr>
        <w:tc>
          <w:tcPr>
            <w:tcW w:type="pct" w:w="20%"/>
            <w:tcMar>
              <w:top w:type="dxa" w:w="80"/>
              <w:left w:type="dxa" w:w="100"/>
              <w:bottom w:type="dxa" w:w="80"/>
              <w:right w:type="dxa" w:w="100"/>
            </w:tcMar>
            <w:vAlign w:val="center"/>
          </w:tcPr>
          <w:p>
            <w:r>
              <w:rPr>
                <w:b w:val="false"/>
                <w:bCs w:val="false"/>
                <w:sz w:val="18"/>
                <w:szCs w:val="18"/>
              </w:rPr>
              <w:t xml:space="preserve">Paiement / Écriture</w:t>
            </w:r>
          </w:p>
        </w:tc>
        <w:tc>
          <w:tcPr>
            <w:tcW w:type="pct" w:w="52%"/>
            <w:tcMar>
              <w:top w:type="dxa" w:w="80"/>
              <w:left w:type="dxa" w:w="100"/>
              <w:bottom w:type="dxa" w:w="80"/>
              <w:right w:type="dxa" w:w="100"/>
            </w:tcMar>
            <w:vAlign w:val="center"/>
          </w:tcPr>
          <w:p>
            <w:r>
              <w:rPr>
                <w:b w:val="false"/>
                <w:bCs w:val="false"/>
                <w:sz w:val="18"/>
                <w:szCs w:val="18"/>
              </w:rPr>
              <w:t xml:space="preserve">Grand livre en partie double, référence prestataire, état</w:t>
            </w:r>
          </w:p>
        </w:tc>
        <w:tc>
          <w:tcPr>
            <w:tcW w:type="pct" w:w="28%"/>
            <w:tcMar>
              <w:top w:type="dxa" w:w="80"/>
              <w:left w:type="dxa" w:w="100"/>
              <w:bottom w:type="dxa" w:w="80"/>
              <w:right w:type="dxa" w:w="100"/>
            </w:tcMar>
            <w:vAlign w:val="center"/>
          </w:tcPr>
          <w:p>
            <w:r>
              <w:rPr>
                <w:b w:val="false"/>
                <w:bCs w:val="false"/>
                <w:sz w:val="18"/>
                <w:szCs w:val="18"/>
              </w:rPr>
              <w:t xml:space="preserve">n-1 Mission</w:t>
            </w:r>
          </w:p>
        </w:tc>
      </w:tr>
      <w:tr>
        <w:tc>
          <w:tcPr>
            <w:tcW w:type="pct" w:w="20%"/>
            <w:shd w:fill="F5F5F5" w:val="clear"/>
            <w:tcMar>
              <w:top w:type="dxa" w:w="80"/>
              <w:left w:type="dxa" w:w="100"/>
              <w:bottom w:type="dxa" w:w="80"/>
              <w:right w:type="dxa" w:w="100"/>
            </w:tcMar>
            <w:vAlign w:val="center"/>
          </w:tcPr>
          <w:p>
            <w:r>
              <w:rPr>
                <w:b w:val="false"/>
                <w:bCs w:val="false"/>
                <w:sz w:val="18"/>
                <w:szCs w:val="18"/>
              </w:rPr>
              <w:t xml:space="preserve">Séquestre (nouveau)</w:t>
            </w:r>
          </w:p>
        </w:tc>
        <w:tc>
          <w:tcPr>
            <w:tcW w:type="pct" w:w="52%"/>
            <w:shd w:fill="F5F5F5" w:val="clear"/>
            <w:tcMar>
              <w:top w:type="dxa" w:w="80"/>
              <w:left w:type="dxa" w:w="100"/>
              <w:bottom w:type="dxa" w:w="80"/>
              <w:right w:type="dxa" w:w="100"/>
            </w:tcMar>
            <w:vAlign w:val="center"/>
          </w:tcPr>
          <w:p>
            <w:r>
              <w:rPr>
                <w:b w:val="false"/>
                <w:bCs w:val="false"/>
                <w:sz w:val="18"/>
                <w:szCs w:val="18"/>
              </w:rPr>
              <w:t xml:space="preserve">État logique reflétant le cantonnement chez le prestataire</w:t>
            </w:r>
          </w:p>
        </w:tc>
        <w:tc>
          <w:tcPr>
            <w:tcW w:type="pct" w:w="28%"/>
            <w:shd w:fill="F5F5F5" w:val="clear"/>
            <w:tcMar>
              <w:top w:type="dxa" w:w="80"/>
              <w:left w:type="dxa" w:w="100"/>
              <w:bottom w:type="dxa" w:w="80"/>
              <w:right w:type="dxa" w:w="100"/>
            </w:tcMar>
            <w:vAlign w:val="center"/>
          </w:tcPr>
          <w:p>
            <w:r>
              <w:rPr>
                <w:b w:val="false"/>
                <w:bCs w:val="false"/>
                <w:sz w:val="18"/>
                <w:szCs w:val="18"/>
              </w:rPr>
              <w:t xml:space="preserve">1-1 Mission</w:t>
            </w:r>
          </w:p>
        </w:tc>
      </w:tr>
      <w:tr>
        <w:tc>
          <w:tcPr>
            <w:tcW w:type="pct" w:w="20%"/>
            <w:tcMar>
              <w:top w:type="dxa" w:w="80"/>
              <w:left w:type="dxa" w:w="100"/>
              <w:bottom w:type="dxa" w:w="80"/>
              <w:right w:type="dxa" w:w="100"/>
            </w:tcMar>
            <w:vAlign w:val="center"/>
          </w:tcPr>
          <w:p>
            <w:r>
              <w:rPr>
                <w:b w:val="false"/>
                <w:bCs w:val="false"/>
                <w:sz w:val="18"/>
                <w:szCs w:val="18"/>
              </w:rPr>
              <w:t xml:space="preserve">IndiceConformité</w:t>
            </w:r>
          </w:p>
        </w:tc>
        <w:tc>
          <w:tcPr>
            <w:tcW w:type="pct" w:w="52%"/>
            <w:tcMar>
              <w:top w:type="dxa" w:w="80"/>
              <w:left w:type="dxa" w:w="100"/>
              <w:bottom w:type="dxa" w:w="80"/>
              <w:right w:type="dxa" w:w="100"/>
            </w:tcMar>
            <w:vAlign w:val="center"/>
          </w:tcPr>
          <w:p>
            <w:r>
              <w:rPr>
                <w:b w:val="false"/>
                <w:bCs w:val="false"/>
                <w:sz w:val="18"/>
                <w:szCs w:val="18"/>
              </w:rPr>
              <w:t xml:space="preserve">Composantes, valeur, historique, contestations</w:t>
            </w:r>
          </w:p>
        </w:tc>
        <w:tc>
          <w:tcPr>
            <w:tcW w:type="pct" w:w="28%"/>
            <w:tcMar>
              <w:top w:type="dxa" w:w="80"/>
              <w:left w:type="dxa" w:w="100"/>
              <w:bottom w:type="dxa" w:w="80"/>
              <w:right w:type="dxa" w:w="100"/>
            </w:tcMar>
            <w:vAlign w:val="center"/>
          </w:tcPr>
          <w:p>
            <w:r>
              <w:rPr>
                <w:b w:val="false"/>
                <w:bCs w:val="false"/>
                <w:sz w:val="18"/>
                <w:szCs w:val="18"/>
              </w:rPr>
              <w:t xml:space="preserve">n-1 Acteur</w:t>
            </w:r>
          </w:p>
        </w:tc>
      </w:tr>
      <w:tr>
        <w:tc>
          <w:tcPr>
            <w:tcW w:type="pct" w:w="20%"/>
            <w:shd w:fill="F5F5F5" w:val="clear"/>
            <w:tcMar>
              <w:top w:type="dxa" w:w="80"/>
              <w:left w:type="dxa" w:w="100"/>
              <w:bottom w:type="dxa" w:w="80"/>
              <w:right w:type="dxa" w:w="100"/>
            </w:tcMar>
            <w:vAlign w:val="center"/>
          </w:tcPr>
          <w:p>
            <w:r>
              <w:rPr>
                <w:b w:val="false"/>
                <w:bCs w:val="false"/>
                <w:sz w:val="18"/>
                <w:szCs w:val="18"/>
              </w:rPr>
              <w:t xml:space="preserve">Connecteur (nouveau)</w:t>
            </w:r>
          </w:p>
        </w:tc>
        <w:tc>
          <w:tcPr>
            <w:tcW w:type="pct" w:w="52%"/>
            <w:shd w:fill="F5F5F5" w:val="clear"/>
            <w:tcMar>
              <w:top w:type="dxa" w:w="80"/>
              <w:left w:type="dxa" w:w="100"/>
              <w:bottom w:type="dxa" w:w="80"/>
              <w:right w:type="dxa" w:w="100"/>
            </w:tcMar>
            <w:vAlign w:val="center"/>
          </w:tcPr>
          <w:p>
            <w:r>
              <w:rPr>
                <w:b w:val="false"/>
                <w:bCs w:val="false"/>
                <w:sz w:val="18"/>
                <w:szCs w:val="18"/>
              </w:rPr>
              <w:t xml:space="preserve">Intégration tierce : type, niveau, état, journal</w:t>
            </w:r>
          </w:p>
        </w:tc>
        <w:tc>
          <w:tcPr>
            <w:tcW w:type="pct" w:w="28%"/>
            <w:shd w:fill="F5F5F5" w:val="clear"/>
            <w:tcMar>
              <w:top w:type="dxa" w:w="80"/>
              <w:left w:type="dxa" w:w="100"/>
              <w:bottom w:type="dxa" w:w="80"/>
              <w:right w:type="dxa" w:w="100"/>
            </w:tcMar>
            <w:vAlign w:val="center"/>
          </w:tcPr>
          <w:p>
            <w:r>
              <w:rPr>
                <w:b w:val="false"/>
                <w:bCs w:val="false"/>
                <w:sz w:val="18"/>
                <w:szCs w:val="18"/>
              </w:rPr>
              <w:t xml:space="preserve">n-1 Organisation</w:t>
            </w:r>
          </w:p>
        </w:tc>
      </w:tr>
      <w:tr>
        <w:tc>
          <w:tcPr>
            <w:tcW w:type="pct" w:w="20%"/>
            <w:tcMar>
              <w:top w:type="dxa" w:w="80"/>
              <w:left w:type="dxa" w:w="100"/>
              <w:bottom w:type="dxa" w:w="80"/>
              <w:right w:type="dxa" w:w="100"/>
            </w:tcMar>
            <w:vAlign w:val="center"/>
          </w:tcPr>
          <w:p>
            <w:r>
              <w:rPr>
                <w:b w:val="false"/>
                <w:bCs w:val="false"/>
                <w:sz w:val="18"/>
                <w:szCs w:val="18"/>
              </w:rPr>
              <w:t xml:space="preserve">Configuration</w:t>
            </w:r>
          </w:p>
        </w:tc>
        <w:tc>
          <w:tcPr>
            <w:tcW w:type="pct" w:w="52%"/>
            <w:tcMar>
              <w:top w:type="dxa" w:w="80"/>
              <w:left w:type="dxa" w:w="100"/>
              <w:bottom w:type="dxa" w:w="80"/>
              <w:right w:type="dxa" w:w="100"/>
            </w:tcMar>
            <w:vAlign w:val="center"/>
          </w:tcPr>
          <w:p>
            <w:r>
              <w:rPr>
                <w:b w:val="false"/>
                <w:bCs w:val="false"/>
                <w:sz w:val="18"/>
                <w:szCs w:val="18"/>
              </w:rPr>
              <w:t xml:space="preserve">Paramètre versionné : clé, valeur, périmètre, auteur, date</w:t>
            </w:r>
          </w:p>
        </w:tc>
        <w:tc>
          <w:tcPr>
            <w:tcW w:type="pct" w:w="28%"/>
            <w:tcMar>
              <w:top w:type="dxa" w:w="80"/>
              <w:left w:type="dxa" w:w="100"/>
              <w:bottom w:type="dxa" w:w="80"/>
              <w:right w:type="dxa" w:w="100"/>
            </w:tcMar>
            <w:vAlign w:val="center"/>
          </w:tcPr>
          <w:p>
            <w:r>
              <w:rPr>
                <w:b w:val="false"/>
                <w:bCs w:val="false"/>
                <w:sz w:val="18"/>
                <w:szCs w:val="18"/>
              </w:rPr>
              <w:t xml:space="preserve">n-1 Tenant</w:t>
            </w:r>
          </w:p>
        </w:tc>
      </w:tr>
      <w:tr>
        <w:tc>
          <w:tcPr>
            <w:tcW w:type="pct" w:w="20%"/>
            <w:shd w:fill="F5F5F5" w:val="clear"/>
            <w:tcMar>
              <w:top w:type="dxa" w:w="80"/>
              <w:left w:type="dxa" w:w="100"/>
              <w:bottom w:type="dxa" w:w="80"/>
              <w:right w:type="dxa" w:w="100"/>
            </w:tcMar>
            <w:vAlign w:val="center"/>
          </w:tcPr>
          <w:p>
            <w:r>
              <w:rPr>
                <w:b w:val="false"/>
                <w:bCs w:val="false"/>
                <w:sz w:val="18"/>
                <w:szCs w:val="18"/>
              </w:rPr>
              <w:t xml:space="preserve">JournalAudit</w:t>
            </w:r>
          </w:p>
        </w:tc>
        <w:tc>
          <w:tcPr>
            <w:tcW w:type="pct" w:w="52%"/>
            <w:shd w:fill="F5F5F5" w:val="clear"/>
            <w:tcMar>
              <w:top w:type="dxa" w:w="80"/>
              <w:left w:type="dxa" w:w="100"/>
              <w:bottom w:type="dxa" w:w="80"/>
              <w:right w:type="dxa" w:w="100"/>
            </w:tcMar>
            <w:vAlign w:val="center"/>
          </w:tcPr>
          <w:p>
            <w:r>
              <w:rPr>
                <w:b w:val="false"/>
                <w:bCs w:val="false"/>
                <w:sz w:val="18"/>
                <w:szCs w:val="18"/>
              </w:rPr>
              <w:t xml:space="preserve">Trace inviolable des actions sensibles</w:t>
            </w:r>
          </w:p>
        </w:tc>
        <w:tc>
          <w:tcPr>
            <w:tcW w:type="pct" w:w="28%"/>
            <w:shd w:fill="F5F5F5" w:val="clear"/>
            <w:tcMar>
              <w:top w:type="dxa" w:w="80"/>
              <w:left w:type="dxa" w:w="100"/>
              <w:bottom w:type="dxa" w:w="80"/>
              <w:right w:type="dxa" w:w="100"/>
            </w:tcMar>
            <w:vAlign w:val="center"/>
          </w:tcPr>
          <w:p>
            <w:r>
              <w:rPr>
                <w:b w:val="false"/>
                <w:bCs w:val="false"/>
                <w:sz w:val="18"/>
                <w:szCs w:val="18"/>
              </w:rPr>
              <w:t xml:space="preserve">réf. Tenant, Acteur, ressource</w:t>
            </w:r>
          </w:p>
        </w:tc>
      </w:tr>
    </w:tbl>
    <w:p>
      <w:pPr>
        <w:spacing w:after="120"/>
      </w:pPr>
    </w:p>
    <w:tbl>
      <w:tblPr>
        <w:tblW w:type="pct" w:w="100%"/>
        <w:tblBorders>
          <w:top w:val="single" w:color="8A0F13" w:sz="4"/>
          <w:left w:val="single" w:color="8A0F13" w:sz="4"/>
          <w:bottom w:val="single" w:color="8A0F13" w:sz="4"/>
          <w:right w:val="single" w:color="8A0F13"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8A0F13"/>
                <w:sz w:val="20"/>
                <w:szCs w:val="20"/>
              </w:rPr>
              <w:t xml:space="preserve">Trois choix de modélisation à ne pas simplifier</w:t>
            </w:r>
          </w:p>
          <w:p>
            <w:r>
              <w:rPr>
                <w:sz w:val="19"/>
                <w:szCs w:val="19"/>
              </w:rPr>
              <w:t xml:space="preserve">Demande / Lot / Colis distincts : indispensable au groupage — une demande directement porteuse d'un poids et d'un volume rendrait le chargement tridimensionnel incalculable. Mission / Étape distincts : permet les tournées à plusieurs enlèvements/livraisons. CycleMatching : aucune utilité fonctionnelle immédiate visible, mais condition de toute amélioration mesurable du moteur et de tout litige instruisible — c'est la table qu'on proposera de supprimer pour aller vite, et qu'il faut défendre.</w:t>
            </w:r>
          </w:p>
        </w:tc>
      </w:tr>
    </w:tbl>
    <w:p>
      <w:r>
        <w:br w:type="page"/>
      </w:r>
    </w:p>
    <w:p>
      <w:pPr>
        <w:pStyle w:val="Heading1"/>
        <w:spacing w:after="180" w:before="360"/>
      </w:pPr>
      <w:r>
        <w:rPr>
          <w:b/>
          <w:bCs/>
          <w:color w:val="D40F16"/>
          <w:sz w:val="30"/>
          <w:szCs w:val="30"/>
        </w:rPr>
        <w:t xml:space="preserve">4. Architecture des microservices — schéma concret</w:t>
      </w:r>
    </w:p>
    <w:p>
      <w:pPr>
        <w:spacing w:after="160"/>
      </w:pPr>
      <w:r>
        <w:rPr>
          <w:sz w:val="20"/>
          <w:szCs w:val="20"/>
        </w:rPr>
        <w:t xml:space="preserve">Vue d'ensemble : les trois clients (deux apps Flutter, une app Angular unique à trois rôles) passent tous par une passerelle unique, qui route vers les services métier découplés et vers le moteur d'optimisation. Le bus d'événements Kafka découple les services entre eux ; chaque service métier possède sa propre logique et écrit dans la base transactionnelle partagée (schémas isolés par tenant).</w:t>
      </w:r>
    </w:p>
    <w:p>
      <w:pPr>
        <w:spacing w:after="160" w:before="160"/>
        <w:jc w:val="center"/>
      </w:pPr>
      <w:r>
        <w:drawing>
          <wp:inline distT="0" distB="0" distL="0" distR="0">
            <wp:extent cx="57150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457700"/>
                    </a:xfrm>
                    <a:prstGeom prst="rect">
                      <a:avLst/>
                    </a:prstGeom>
                  </pic:spPr>
                </pic:pic>
              </a:graphicData>
            </a:graphic>
          </wp:inline>
        </w:drawing>
      </w:r>
    </w:p>
    <w:p>
      <w:pPr>
        <w:pStyle w:val="Heading2"/>
        <w:spacing w:after="140" w:before="260"/>
      </w:pPr>
      <w:r>
        <w:rPr>
          <w:b/>
          <w:bCs/>
          <w:color w:val="8A0F13"/>
          <w:sz w:val="24"/>
          <w:szCs w:val="24"/>
        </w:rPr>
        <w:t xml:space="preserve">4.1 Découpage des microservices et propriétaire dans l'équipe</w:t>
      </w:r>
    </w:p>
    <w:p>
      <w:pPr>
        <w:spacing w:after="160"/>
      </w:pPr>
      <w:r>
        <w:rPr>
          <w:sz w:val="20"/>
          <w:szCs w:val="20"/>
        </w:rPr>
        <w:t xml:space="preserve">Il n'y a pas de porteur backend unique : chaque microservice est développé par la personne dont le client (mobile ou web) le consomme directement. La personne Moteur ne développe ni les écrans mobile/web, ni les services listés Mobile/Web ci-dessous — elle est intégralement dédiée à 4 modules du CDC (§6.2) : MAT, OPT, TRK et GEO, précisés en §4.2.</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260"/>
        <w:gridCol w:w="3960"/>
        <w:gridCol w:w="1800"/>
        <w:gridCol w:w="1980"/>
      </w:tblGrid>
      <w:tr>
        <w:trPr>
          <w:tblHeader/>
        </w:trPr>
        <w:tc>
          <w:tcPr>
            <w:tcW w:type="pct" w:w="14%"/>
            <w:shd w:fill="2B2B2B" w:val="clear"/>
            <w:tcMar>
              <w:top w:type="dxa" w:w="80"/>
              <w:left w:type="dxa" w:w="100"/>
              <w:bottom w:type="dxa" w:w="80"/>
              <w:right w:type="dxa" w:w="100"/>
            </w:tcMar>
            <w:vAlign w:val="center"/>
          </w:tcPr>
          <w:p>
            <w:r>
              <w:rPr>
                <w:b/>
                <w:bCs/>
                <w:color w:val="FFFFFF"/>
                <w:sz w:val="18"/>
                <w:szCs w:val="18"/>
              </w:rPr>
              <w:t xml:space="preserve">Service</w:t>
            </w:r>
          </w:p>
        </w:tc>
        <w:tc>
          <w:tcPr>
            <w:tcW w:type="pct" w:w="44%"/>
            <w:shd w:fill="2B2B2B" w:val="clear"/>
            <w:tcMar>
              <w:top w:type="dxa" w:w="80"/>
              <w:left w:type="dxa" w:w="100"/>
              <w:bottom w:type="dxa" w:w="80"/>
              <w:right w:type="dxa" w:w="100"/>
            </w:tcMar>
            <w:vAlign w:val="center"/>
          </w:tcPr>
          <w:p>
            <w:r>
              <w:rPr>
                <w:b/>
                <w:bCs/>
                <w:color w:val="FFFFFF"/>
                <w:sz w:val="18"/>
                <w:szCs w:val="18"/>
              </w:rPr>
              <w:t xml:space="preserve">Responsabilité</w:t>
            </w:r>
          </w:p>
        </w:tc>
        <w:tc>
          <w:tcPr>
            <w:tcW w:type="pct" w:w="20%"/>
            <w:shd w:fill="2B2B2B" w:val="clear"/>
            <w:tcMar>
              <w:top w:type="dxa" w:w="80"/>
              <w:left w:type="dxa" w:w="100"/>
              <w:bottom w:type="dxa" w:w="80"/>
              <w:right w:type="dxa" w:w="100"/>
            </w:tcMar>
            <w:vAlign w:val="center"/>
          </w:tcPr>
          <w:p>
            <w:r>
              <w:rPr>
                <w:b/>
                <w:bCs/>
                <w:color w:val="FFFFFF"/>
                <w:sz w:val="18"/>
                <w:szCs w:val="18"/>
              </w:rPr>
              <w:t xml:space="preserve">Porteur</w:t>
            </w:r>
          </w:p>
        </w:tc>
        <w:tc>
          <w:tcPr>
            <w:tcW w:type="pct" w:w="22%"/>
            <w:shd w:fill="2B2B2B" w:val="clear"/>
            <w:tcMar>
              <w:top w:type="dxa" w:w="80"/>
              <w:left w:type="dxa" w:w="100"/>
              <w:bottom w:type="dxa" w:w="80"/>
              <w:right w:type="dxa" w:w="100"/>
            </w:tcMar>
            <w:vAlign w:val="center"/>
          </w:tcPr>
          <w:p>
            <w:r>
              <w:rPr>
                <w:b/>
                <w:bCs/>
                <w:color w:val="FFFFFF"/>
                <w:sz w:val="18"/>
                <w:szCs w:val="18"/>
              </w:rPr>
              <w:t xml:space="preserve">Base de données</w:t>
            </w:r>
          </w:p>
        </w:tc>
      </w:tr>
      <w:tr>
        <w:tc>
          <w:tcPr>
            <w:tcW w:type="pct" w:w="14%"/>
            <w:tcMar>
              <w:top w:type="dxa" w:w="80"/>
              <w:left w:type="dxa" w:w="100"/>
              <w:bottom w:type="dxa" w:w="80"/>
              <w:right w:type="dxa" w:w="100"/>
            </w:tcMar>
            <w:vAlign w:val="center"/>
          </w:tcPr>
          <w:p>
            <w:r>
              <w:rPr>
                <w:b w:val="false"/>
                <w:bCs w:val="false"/>
                <w:sz w:val="18"/>
                <w:szCs w:val="18"/>
              </w:rPr>
              <w:t xml:space="preserve">gateway</w:t>
            </w:r>
          </w:p>
        </w:tc>
        <w:tc>
          <w:tcPr>
            <w:tcW w:type="pct" w:w="44%"/>
            <w:tcMar>
              <w:top w:type="dxa" w:w="80"/>
              <w:left w:type="dxa" w:w="100"/>
              <w:bottom w:type="dxa" w:w="80"/>
              <w:right w:type="dxa" w:w="100"/>
            </w:tcMar>
            <w:vAlign w:val="center"/>
          </w:tcPr>
          <w:p>
            <w:r>
              <w:rPr>
                <w:b w:val="false"/>
                <w:bCs w:val="false"/>
                <w:sz w:val="18"/>
                <w:szCs w:val="18"/>
              </w:rPr>
              <w:t xml:space="preserve">Passerelle API, JWT, RBAC, multi-tenant, rate limiting</w:t>
            </w:r>
          </w:p>
        </w:tc>
        <w:tc>
          <w:tcPr>
            <w:tcW w:type="pct" w:w="20%"/>
            <w:tcMar>
              <w:top w:type="dxa" w:w="80"/>
              <w:left w:type="dxa" w:w="100"/>
              <w:bottom w:type="dxa" w:w="80"/>
              <w:right w:type="dxa" w:w="100"/>
            </w:tcMar>
            <w:vAlign w:val="center"/>
          </w:tcPr>
          <w:p>
            <w:r>
              <w:rPr>
                <w:b w:val="false"/>
                <w:bCs w:val="false"/>
                <w:sz w:val="18"/>
                <w:szCs w:val="18"/>
              </w:rPr>
              <w:t xml:space="preserve">Web</w:t>
            </w:r>
          </w:p>
        </w:tc>
        <w:tc>
          <w:tcPr>
            <w:tcW w:type="pct" w:w="22%"/>
            <w:tcMar>
              <w:top w:type="dxa" w:w="80"/>
              <w:left w:type="dxa" w:w="100"/>
              <w:bottom w:type="dxa" w:w="80"/>
              <w:right w:type="dxa" w:w="100"/>
            </w:tcMar>
            <w:vAlign w:val="center"/>
          </w:tcPr>
          <w:p>
            <w:r>
              <w:rPr>
                <w:b w:val="false"/>
                <w:bCs w:val="false"/>
                <w:sz w:val="18"/>
                <w:szCs w:val="18"/>
              </w:rPr>
              <w:t xml:space="preserve">—</w:t>
            </w:r>
          </w:p>
        </w:tc>
      </w:tr>
      <w:tr>
        <w:tc>
          <w:tcPr>
            <w:tcW w:type="pct" w:w="14%"/>
            <w:shd w:fill="F5F5F5" w:val="clear"/>
            <w:tcMar>
              <w:top w:type="dxa" w:w="80"/>
              <w:left w:type="dxa" w:w="100"/>
              <w:bottom w:type="dxa" w:w="80"/>
              <w:right w:type="dxa" w:w="100"/>
            </w:tcMar>
            <w:vAlign w:val="center"/>
          </w:tcPr>
          <w:p>
            <w:r>
              <w:rPr>
                <w:b w:val="false"/>
                <w:bCs w:val="false"/>
                <w:sz w:val="18"/>
                <w:szCs w:val="18"/>
              </w:rPr>
              <w:t xml:space="preserve">service-ida</w:t>
            </w:r>
          </w:p>
        </w:tc>
        <w:tc>
          <w:tcPr>
            <w:tcW w:type="pct" w:w="44%"/>
            <w:shd w:fill="F5F5F5" w:val="clear"/>
            <w:tcMar>
              <w:top w:type="dxa" w:w="80"/>
              <w:left w:type="dxa" w:w="100"/>
              <w:bottom w:type="dxa" w:w="80"/>
              <w:right w:type="dxa" w:w="100"/>
            </w:tcMar>
            <w:vAlign w:val="center"/>
          </w:tcPr>
          <w:p>
            <w:r>
              <w:rPr>
                <w:b w:val="false"/>
                <w:bCs w:val="false"/>
                <w:sz w:val="18"/>
                <w:szCs w:val="18"/>
              </w:rPr>
              <w:t xml:space="preserve">Identité, KYC gradué, indice de conformité, RBAC</w:t>
            </w:r>
          </w:p>
        </w:tc>
        <w:tc>
          <w:tcPr>
            <w:tcW w:type="pct" w:w="20%"/>
            <w:shd w:fill="F5F5F5" w:val="clear"/>
            <w:tcMar>
              <w:top w:type="dxa" w:w="80"/>
              <w:left w:type="dxa" w:w="100"/>
              <w:bottom w:type="dxa" w:w="80"/>
              <w:right w:type="dxa" w:w="100"/>
            </w:tcMar>
            <w:vAlign w:val="center"/>
          </w:tcPr>
          <w:p>
            <w:r>
              <w:rPr>
                <w:b w:val="false"/>
                <w:bCs w:val="false"/>
                <w:sz w:val="18"/>
                <w:szCs w:val="18"/>
              </w:rPr>
              <w:t xml:space="preserve">Mobile</w:t>
            </w:r>
          </w:p>
        </w:tc>
        <w:tc>
          <w:tcPr>
            <w:tcW w:type="pct" w:w="22%"/>
            <w:shd w:fill="F5F5F5" w:val="clear"/>
            <w:tcMar>
              <w:top w:type="dxa" w:w="80"/>
              <w:left w:type="dxa" w:w="100"/>
              <w:bottom w:type="dxa" w:w="80"/>
              <w:right w:type="dxa" w:w="100"/>
            </w:tcMar>
            <w:vAlign w:val="center"/>
          </w:tcPr>
          <w:p>
            <w:r>
              <w:rPr>
                <w:b w:val="false"/>
                <w:bCs w:val="false"/>
                <w:sz w:val="18"/>
                <w:szCs w:val="18"/>
              </w:rPr>
              <w:t xml:space="preserve">Schéma dédié, PostgreSQL</w:t>
            </w:r>
          </w:p>
        </w:tc>
      </w:tr>
      <w:tr>
        <w:tc>
          <w:tcPr>
            <w:tcW w:type="pct" w:w="14%"/>
            <w:tcMar>
              <w:top w:type="dxa" w:w="80"/>
              <w:left w:type="dxa" w:w="100"/>
              <w:bottom w:type="dxa" w:w="80"/>
              <w:right w:type="dxa" w:w="100"/>
            </w:tcMar>
            <w:vAlign w:val="center"/>
          </w:tcPr>
          <w:p>
            <w:r>
              <w:rPr>
                <w:b w:val="false"/>
                <w:bCs w:val="false"/>
                <w:sz w:val="18"/>
                <w:szCs w:val="18"/>
              </w:rPr>
              <w:t xml:space="preserve">service-cap</w:t>
            </w:r>
          </w:p>
        </w:tc>
        <w:tc>
          <w:tcPr>
            <w:tcW w:type="pct" w:w="44%"/>
            <w:tcMar>
              <w:top w:type="dxa" w:w="80"/>
              <w:left w:type="dxa" w:w="100"/>
              <w:bottom w:type="dxa" w:w="80"/>
              <w:right w:type="dxa" w:w="100"/>
            </w:tcMar>
            <w:vAlign w:val="center"/>
          </w:tcPr>
          <w:p>
            <w:r>
              <w:rPr>
                <w:b w:val="false"/>
                <w:bCs w:val="false"/>
                <w:sz w:val="18"/>
                <w:szCs w:val="18"/>
              </w:rPr>
              <w:t xml:space="preserve">Déclaration de capacité, poids taxable, expiration automatique</w:t>
            </w:r>
          </w:p>
        </w:tc>
        <w:tc>
          <w:tcPr>
            <w:tcW w:type="pct" w:w="20%"/>
            <w:tcMar>
              <w:top w:type="dxa" w:w="80"/>
              <w:left w:type="dxa" w:w="100"/>
              <w:bottom w:type="dxa" w:w="80"/>
              <w:right w:type="dxa" w:w="100"/>
            </w:tcMar>
            <w:vAlign w:val="center"/>
          </w:tcPr>
          <w:p>
            <w:r>
              <w:rPr>
                <w:b w:val="false"/>
                <w:bCs w:val="false"/>
                <w:sz w:val="18"/>
                <w:szCs w:val="18"/>
              </w:rPr>
              <w:t xml:space="preserve">Mobile</w:t>
            </w:r>
          </w:p>
        </w:tc>
        <w:tc>
          <w:tcPr>
            <w:tcW w:type="pct" w:w="22%"/>
            <w:tcMar>
              <w:top w:type="dxa" w:w="80"/>
              <w:left w:type="dxa" w:w="100"/>
              <w:bottom w:type="dxa" w:w="80"/>
              <w:right w:type="dxa" w:w="100"/>
            </w:tcMar>
            <w:vAlign w:val="center"/>
          </w:tcPr>
          <w:p>
            <w:r>
              <w:rPr>
                <w:b w:val="false"/>
                <w:bCs w:val="false"/>
                <w:sz w:val="18"/>
                <w:szCs w:val="18"/>
              </w:rPr>
              <w:t xml:space="preserve">Schéma dédié, PostgreSQL + PostGIS</w:t>
            </w:r>
          </w:p>
        </w:tc>
      </w:tr>
      <w:tr>
        <w:tc>
          <w:tcPr>
            <w:tcW w:type="pct" w:w="14%"/>
            <w:shd w:fill="F5F5F5" w:val="clear"/>
            <w:tcMar>
              <w:top w:type="dxa" w:w="80"/>
              <w:left w:type="dxa" w:w="100"/>
              <w:bottom w:type="dxa" w:w="80"/>
              <w:right w:type="dxa" w:w="100"/>
            </w:tcMar>
            <w:vAlign w:val="center"/>
          </w:tcPr>
          <w:p>
            <w:r>
              <w:rPr>
                <w:b w:val="false"/>
                <w:bCs w:val="false"/>
                <w:sz w:val="18"/>
                <w:szCs w:val="18"/>
              </w:rPr>
              <w:t xml:space="preserve">service-mkt</w:t>
            </w:r>
          </w:p>
        </w:tc>
        <w:tc>
          <w:tcPr>
            <w:tcW w:type="pct" w:w="44%"/>
            <w:shd w:fill="F5F5F5" w:val="clear"/>
            <w:tcMar>
              <w:top w:type="dxa" w:w="80"/>
              <w:left w:type="dxa" w:w="100"/>
              <w:bottom w:type="dxa" w:w="80"/>
              <w:right w:type="dxa" w:w="100"/>
            </w:tcMar>
            <w:vAlign w:val="center"/>
          </w:tcPr>
          <w:p>
            <w:r>
              <w:rPr>
                <w:b w:val="false"/>
                <w:bCs w:val="false"/>
                <w:sz w:val="18"/>
                <w:szCs w:val="18"/>
              </w:rPr>
              <w:t xml:space="preserve">Marketplace, publication/consultation de demandes, catalogue d'emballages</w:t>
            </w:r>
          </w:p>
        </w:tc>
        <w:tc>
          <w:tcPr>
            <w:tcW w:type="pct" w:w="20%"/>
            <w:shd w:fill="F5F5F5" w:val="clear"/>
            <w:tcMar>
              <w:top w:type="dxa" w:w="80"/>
              <w:left w:type="dxa" w:w="100"/>
              <w:bottom w:type="dxa" w:w="80"/>
              <w:right w:type="dxa" w:w="100"/>
            </w:tcMar>
            <w:vAlign w:val="center"/>
          </w:tcPr>
          <w:p>
            <w:r>
              <w:rPr>
                <w:b w:val="false"/>
                <w:bCs w:val="false"/>
                <w:sz w:val="18"/>
                <w:szCs w:val="18"/>
              </w:rPr>
              <w:t xml:space="preserve">Mobile</w:t>
            </w:r>
          </w:p>
        </w:tc>
        <w:tc>
          <w:tcPr>
            <w:tcW w:type="pct" w:w="22%"/>
            <w:shd w:fill="F5F5F5" w:val="clear"/>
            <w:tcMar>
              <w:top w:type="dxa" w:w="80"/>
              <w:left w:type="dxa" w:w="100"/>
              <w:bottom w:type="dxa" w:w="80"/>
              <w:right w:type="dxa" w:w="100"/>
            </w:tcMar>
            <w:vAlign w:val="center"/>
          </w:tcPr>
          <w:p>
            <w:r>
              <w:rPr>
                <w:b w:val="false"/>
                <w:bCs w:val="false"/>
                <w:sz w:val="18"/>
                <w:szCs w:val="18"/>
              </w:rPr>
              <w:t xml:space="preserve">Schéma dédié, PostgreSQL</w:t>
            </w:r>
          </w:p>
        </w:tc>
      </w:tr>
      <w:tr>
        <w:tc>
          <w:tcPr>
            <w:tcW w:type="pct" w:w="14%"/>
            <w:tcMar>
              <w:top w:type="dxa" w:w="80"/>
              <w:left w:type="dxa" w:w="100"/>
              <w:bottom w:type="dxa" w:w="80"/>
              <w:right w:type="dxa" w:w="100"/>
            </w:tcMar>
            <w:vAlign w:val="center"/>
          </w:tcPr>
          <w:p>
            <w:r>
              <w:rPr>
                <w:b w:val="false"/>
                <w:bCs w:val="false"/>
                <w:sz w:val="18"/>
                <w:szCs w:val="18"/>
              </w:rPr>
              <w:t xml:space="preserve">service-flt</w:t>
            </w:r>
          </w:p>
        </w:tc>
        <w:tc>
          <w:tcPr>
            <w:tcW w:type="pct" w:w="44%"/>
            <w:tcMar>
              <w:top w:type="dxa" w:w="80"/>
              <w:left w:type="dxa" w:w="100"/>
              <w:bottom w:type="dxa" w:w="80"/>
              <w:right w:type="dxa" w:w="100"/>
            </w:tcMar>
            <w:vAlign w:val="center"/>
          </w:tcPr>
          <w:p>
            <w:r>
              <w:rPr>
                <w:b w:val="false"/>
                <w:bCs w:val="false"/>
                <w:sz w:val="18"/>
                <w:szCs w:val="18"/>
              </w:rPr>
              <w:t xml:space="preserve">Flotte, véhicules, connecteurs tiers, ingestion des positions brutes</w:t>
            </w:r>
          </w:p>
        </w:tc>
        <w:tc>
          <w:tcPr>
            <w:tcW w:type="pct" w:w="20%"/>
            <w:tcMar>
              <w:top w:type="dxa" w:w="80"/>
              <w:left w:type="dxa" w:w="100"/>
              <w:bottom w:type="dxa" w:w="80"/>
              <w:right w:type="dxa" w:w="100"/>
            </w:tcMar>
            <w:vAlign w:val="center"/>
          </w:tcPr>
          <w:p>
            <w:r>
              <w:rPr>
                <w:b w:val="false"/>
                <w:bCs w:val="false"/>
                <w:sz w:val="18"/>
                <w:szCs w:val="18"/>
              </w:rPr>
              <w:t xml:space="preserve">Mobile</w:t>
            </w:r>
          </w:p>
        </w:tc>
        <w:tc>
          <w:tcPr>
            <w:tcW w:type="pct" w:w="22%"/>
            <w:tcMar>
              <w:top w:type="dxa" w:w="80"/>
              <w:left w:type="dxa" w:w="100"/>
              <w:bottom w:type="dxa" w:w="80"/>
              <w:right w:type="dxa" w:w="100"/>
            </w:tcMar>
            <w:vAlign w:val="center"/>
          </w:tcPr>
          <w:p>
            <w:r>
              <w:rPr>
                <w:b w:val="false"/>
                <w:bCs w:val="false"/>
                <w:sz w:val="18"/>
                <w:szCs w:val="18"/>
              </w:rPr>
              <w:t xml:space="preserve">Schéma dédié</w:t>
            </w:r>
          </w:p>
        </w:tc>
      </w:tr>
      <w:tr>
        <w:tc>
          <w:tcPr>
            <w:tcW w:type="pct" w:w="14%"/>
            <w:shd w:fill="F5F5F5" w:val="clear"/>
            <w:tcMar>
              <w:top w:type="dxa" w:w="80"/>
              <w:left w:type="dxa" w:w="100"/>
              <w:bottom w:type="dxa" w:w="80"/>
              <w:right w:type="dxa" w:w="100"/>
            </w:tcMar>
            <w:vAlign w:val="center"/>
          </w:tcPr>
          <w:p>
            <w:r>
              <w:rPr>
                <w:b w:val="false"/>
                <w:bCs w:val="false"/>
                <w:sz w:val="18"/>
                <w:szCs w:val="18"/>
              </w:rPr>
              <w:t xml:space="preserve">service-exe</w:t>
            </w:r>
          </w:p>
        </w:tc>
        <w:tc>
          <w:tcPr>
            <w:tcW w:type="pct" w:w="44%"/>
            <w:shd w:fill="F5F5F5" w:val="clear"/>
            <w:tcMar>
              <w:top w:type="dxa" w:w="80"/>
              <w:left w:type="dxa" w:w="100"/>
              <w:bottom w:type="dxa" w:w="80"/>
              <w:right w:type="dxa" w:w="100"/>
            </w:tcMar>
            <w:vAlign w:val="center"/>
          </w:tcPr>
          <w:p>
            <w:r>
              <w:rPr>
                <w:b w:val="false"/>
                <w:bCs w:val="false"/>
                <w:sz w:val="18"/>
                <w:szCs w:val="18"/>
              </w:rPr>
              <w:t xml:space="preserve">Exécution de mission, étapes, preuves, incidents</w:t>
            </w:r>
          </w:p>
        </w:tc>
        <w:tc>
          <w:tcPr>
            <w:tcW w:type="pct" w:w="20%"/>
            <w:shd w:fill="F5F5F5" w:val="clear"/>
            <w:tcMar>
              <w:top w:type="dxa" w:w="80"/>
              <w:left w:type="dxa" w:w="100"/>
              <w:bottom w:type="dxa" w:w="80"/>
              <w:right w:type="dxa" w:w="100"/>
            </w:tcMar>
            <w:vAlign w:val="center"/>
          </w:tcPr>
          <w:p>
            <w:r>
              <w:rPr>
                <w:b w:val="false"/>
                <w:bCs w:val="false"/>
                <w:sz w:val="18"/>
                <w:szCs w:val="18"/>
              </w:rPr>
              <w:t xml:space="preserve">Mobile</w:t>
            </w:r>
          </w:p>
        </w:tc>
        <w:tc>
          <w:tcPr>
            <w:tcW w:type="pct" w:w="22%"/>
            <w:shd w:fill="F5F5F5" w:val="clear"/>
            <w:tcMar>
              <w:top w:type="dxa" w:w="80"/>
              <w:left w:type="dxa" w:w="100"/>
              <w:bottom w:type="dxa" w:w="80"/>
              <w:right w:type="dxa" w:w="100"/>
            </w:tcMar>
            <w:vAlign w:val="center"/>
          </w:tcPr>
          <w:p>
            <w:r>
              <w:rPr>
                <w:b w:val="false"/>
                <w:bCs w:val="false"/>
                <w:sz w:val="18"/>
                <w:szCs w:val="18"/>
              </w:rPr>
              <w:t xml:space="preserve">Schéma dédié + MinIO (preuves)</w:t>
            </w:r>
          </w:p>
        </w:tc>
      </w:tr>
      <w:tr>
        <w:tc>
          <w:tcPr>
            <w:tcW w:type="pct" w:w="14%"/>
            <w:tcMar>
              <w:top w:type="dxa" w:w="80"/>
              <w:left w:type="dxa" w:w="100"/>
              <w:bottom w:type="dxa" w:w="80"/>
              <w:right w:type="dxa" w:w="100"/>
            </w:tcMar>
            <w:vAlign w:val="center"/>
          </w:tcPr>
          <w:p>
            <w:r>
              <w:rPr>
                <w:b w:val="false"/>
                <w:bCs w:val="false"/>
                <w:sz w:val="18"/>
                <w:szCs w:val="18"/>
              </w:rPr>
              <w:t xml:space="preserve">service-not</w:t>
            </w:r>
          </w:p>
        </w:tc>
        <w:tc>
          <w:tcPr>
            <w:tcW w:type="pct" w:w="44%"/>
            <w:tcMar>
              <w:top w:type="dxa" w:w="80"/>
              <w:left w:type="dxa" w:w="100"/>
              <w:bottom w:type="dxa" w:w="80"/>
              <w:right w:type="dxa" w:w="100"/>
            </w:tcMar>
            <w:vAlign w:val="center"/>
          </w:tcPr>
          <w:p>
            <w:r>
              <w:rPr>
                <w:b w:val="false"/>
                <w:bCs w:val="false"/>
                <w:sz w:val="18"/>
                <w:szCs w:val="18"/>
              </w:rPr>
              <w:t xml:space="preserve">Notifications multicanal, discipline de coût</w:t>
            </w:r>
          </w:p>
        </w:tc>
        <w:tc>
          <w:tcPr>
            <w:tcW w:type="pct" w:w="20%"/>
            <w:tcMar>
              <w:top w:type="dxa" w:w="80"/>
              <w:left w:type="dxa" w:w="100"/>
              <w:bottom w:type="dxa" w:w="80"/>
              <w:right w:type="dxa" w:w="100"/>
            </w:tcMar>
            <w:vAlign w:val="center"/>
          </w:tcPr>
          <w:p>
            <w:r>
              <w:rPr>
                <w:b w:val="false"/>
                <w:bCs w:val="false"/>
                <w:sz w:val="18"/>
                <w:szCs w:val="18"/>
              </w:rPr>
              <w:t xml:space="preserve">Mobile</w:t>
            </w:r>
          </w:p>
        </w:tc>
        <w:tc>
          <w:tcPr>
            <w:tcW w:type="pct" w:w="22%"/>
            <w:tcMar>
              <w:top w:type="dxa" w:w="80"/>
              <w:left w:type="dxa" w:w="100"/>
              <w:bottom w:type="dxa" w:w="80"/>
              <w:right w:type="dxa" w:w="100"/>
            </w:tcMar>
            <w:vAlign w:val="center"/>
          </w:tcPr>
          <w:p>
            <w:r>
              <w:rPr>
                <w:b w:val="false"/>
                <w:bCs w:val="false"/>
                <w:sz w:val="18"/>
                <w:szCs w:val="18"/>
              </w:rPr>
              <w:t xml:space="preserve">Schéma dédié (léger)</w:t>
            </w:r>
          </w:p>
        </w:tc>
      </w:tr>
      <w:tr>
        <w:tc>
          <w:tcPr>
            <w:tcW w:type="pct" w:w="14%"/>
            <w:shd w:fill="F5F5F5" w:val="clear"/>
            <w:tcMar>
              <w:top w:type="dxa" w:w="80"/>
              <w:left w:type="dxa" w:w="100"/>
              <w:bottom w:type="dxa" w:w="80"/>
              <w:right w:type="dxa" w:w="100"/>
            </w:tcMar>
            <w:vAlign w:val="center"/>
          </w:tcPr>
          <w:p>
            <w:r>
              <w:rPr>
                <w:b w:val="false"/>
                <w:bCs w:val="false"/>
                <w:sz w:val="18"/>
                <w:szCs w:val="18"/>
              </w:rPr>
              <w:t xml:space="preserve">service-pay</w:t>
            </w:r>
          </w:p>
        </w:tc>
        <w:tc>
          <w:tcPr>
            <w:tcW w:type="pct" w:w="44%"/>
            <w:shd w:fill="F5F5F5" w:val="clear"/>
            <w:tcMar>
              <w:top w:type="dxa" w:w="80"/>
              <w:left w:type="dxa" w:w="100"/>
              <w:bottom w:type="dxa" w:w="80"/>
              <w:right w:type="dxa" w:w="100"/>
            </w:tcMar>
            <w:vAlign w:val="center"/>
          </w:tcPr>
          <w:p>
            <w:r>
              <w:rPr>
                <w:b w:val="false"/>
                <w:bCs w:val="false"/>
                <w:sz w:val="18"/>
                <w:szCs w:val="18"/>
              </w:rPr>
              <w:t xml:space="preserve">Interface prestataire de paiement, grand livre miroir, séquestre</w:t>
            </w:r>
          </w:p>
        </w:tc>
        <w:tc>
          <w:tcPr>
            <w:tcW w:type="pct" w:w="20%"/>
            <w:shd w:fill="F5F5F5" w:val="clear"/>
            <w:tcMar>
              <w:top w:type="dxa" w:w="80"/>
              <w:left w:type="dxa" w:w="100"/>
              <w:bottom w:type="dxa" w:w="80"/>
              <w:right w:type="dxa" w:w="100"/>
            </w:tcMar>
            <w:vAlign w:val="center"/>
          </w:tcPr>
          <w:p>
            <w:r>
              <w:rPr>
                <w:b w:val="false"/>
                <w:bCs w:val="false"/>
                <w:sz w:val="18"/>
                <w:szCs w:val="18"/>
              </w:rPr>
              <w:t xml:space="preserve">Web</w:t>
            </w:r>
          </w:p>
        </w:tc>
        <w:tc>
          <w:tcPr>
            <w:tcW w:type="pct" w:w="22%"/>
            <w:shd w:fill="F5F5F5" w:val="clear"/>
            <w:tcMar>
              <w:top w:type="dxa" w:w="80"/>
              <w:left w:type="dxa" w:w="100"/>
              <w:bottom w:type="dxa" w:w="80"/>
              <w:right w:type="dxa" w:w="100"/>
            </w:tcMar>
            <w:vAlign w:val="center"/>
          </w:tcPr>
          <w:p>
            <w:r>
              <w:rPr>
                <w:b w:val="false"/>
                <w:bCs w:val="false"/>
                <w:sz w:val="18"/>
                <w:szCs w:val="18"/>
              </w:rPr>
              <w:t xml:space="preserve">Schéma dédié, transactions fortes</w:t>
            </w:r>
          </w:p>
        </w:tc>
      </w:tr>
      <w:tr>
        <w:tc>
          <w:tcPr>
            <w:tcW w:type="pct" w:w="14%"/>
            <w:tcMar>
              <w:top w:type="dxa" w:w="80"/>
              <w:left w:type="dxa" w:w="100"/>
              <w:bottom w:type="dxa" w:w="80"/>
              <w:right w:type="dxa" w:w="100"/>
            </w:tcMar>
            <w:vAlign w:val="center"/>
          </w:tcPr>
          <w:p>
            <w:r>
              <w:rPr>
                <w:b w:val="false"/>
                <w:bCs w:val="false"/>
                <w:sz w:val="18"/>
                <w:szCs w:val="18"/>
              </w:rPr>
              <w:t xml:space="preserve">service-bur</w:t>
            </w:r>
          </w:p>
        </w:tc>
        <w:tc>
          <w:tcPr>
            <w:tcW w:type="pct" w:w="44%"/>
            <w:tcMar>
              <w:top w:type="dxa" w:w="80"/>
              <w:left w:type="dxa" w:w="100"/>
              <w:bottom w:type="dxa" w:w="80"/>
              <w:right w:type="dxa" w:w="100"/>
            </w:tcMar>
            <w:vAlign w:val="center"/>
          </w:tcPr>
          <w:p>
            <w:r>
              <w:rPr>
                <w:b w:val="false"/>
                <w:bCs w:val="false"/>
                <w:sz w:val="18"/>
                <w:szCs w:val="18"/>
              </w:rPr>
              <w:t xml:space="preserve">Supervision, observatoire de marché, agrégation par seuil</w:t>
            </w:r>
          </w:p>
        </w:tc>
        <w:tc>
          <w:tcPr>
            <w:tcW w:type="pct" w:w="20%"/>
            <w:tcMar>
              <w:top w:type="dxa" w:w="80"/>
              <w:left w:type="dxa" w:w="100"/>
              <w:bottom w:type="dxa" w:w="80"/>
              <w:right w:type="dxa" w:w="100"/>
            </w:tcMar>
            <w:vAlign w:val="center"/>
          </w:tcPr>
          <w:p>
            <w:r>
              <w:rPr>
                <w:b w:val="false"/>
                <w:bCs w:val="false"/>
                <w:sz w:val="18"/>
                <w:szCs w:val="18"/>
              </w:rPr>
              <w:t xml:space="preserve">Web</w:t>
            </w:r>
          </w:p>
        </w:tc>
        <w:tc>
          <w:tcPr>
            <w:tcW w:type="pct" w:w="22%"/>
            <w:tcMar>
              <w:top w:type="dxa" w:w="80"/>
              <w:left w:type="dxa" w:w="100"/>
              <w:bottom w:type="dxa" w:w="80"/>
              <w:right w:type="dxa" w:w="100"/>
            </w:tcMar>
            <w:vAlign w:val="center"/>
          </w:tcPr>
          <w:p>
            <w:r>
              <w:rPr>
                <w:b w:val="false"/>
                <w:bCs w:val="false"/>
                <w:sz w:val="18"/>
                <w:szCs w:val="18"/>
              </w:rPr>
              <w:t xml:space="preserve">Entrepôt analytique</w:t>
            </w:r>
          </w:p>
        </w:tc>
      </w:tr>
      <w:tr>
        <w:tc>
          <w:tcPr>
            <w:tcW w:type="pct" w:w="14%"/>
            <w:shd w:fill="F5F5F5" w:val="clear"/>
            <w:tcMar>
              <w:top w:type="dxa" w:w="80"/>
              <w:left w:type="dxa" w:w="100"/>
              <w:bottom w:type="dxa" w:w="80"/>
              <w:right w:type="dxa" w:w="100"/>
            </w:tcMar>
            <w:vAlign w:val="center"/>
          </w:tcPr>
          <w:p>
            <w:r>
              <w:rPr>
                <w:b w:val="false"/>
                <w:bCs w:val="false"/>
                <w:sz w:val="18"/>
                <w:szCs w:val="18"/>
              </w:rPr>
              <w:t xml:space="preserve">service-adm</w:t>
            </w:r>
          </w:p>
        </w:tc>
        <w:tc>
          <w:tcPr>
            <w:tcW w:type="pct" w:w="44%"/>
            <w:shd w:fill="F5F5F5" w:val="clear"/>
            <w:tcMar>
              <w:top w:type="dxa" w:w="80"/>
              <w:left w:type="dxa" w:w="100"/>
              <w:bottom w:type="dxa" w:w="80"/>
              <w:right w:type="dxa" w:w="100"/>
            </w:tcMar>
            <w:vAlign w:val="center"/>
          </w:tcPr>
          <w:p>
            <w:r>
              <w:rPr>
                <w:b w:val="false"/>
                <w:bCs w:val="false"/>
                <w:sz w:val="18"/>
                <w:szCs w:val="18"/>
              </w:rPr>
              <w:t xml:space="preserve">Modération, litiges, configuration versionnée, journal d'audit</w:t>
            </w:r>
          </w:p>
        </w:tc>
        <w:tc>
          <w:tcPr>
            <w:tcW w:type="pct" w:w="20%"/>
            <w:shd w:fill="F5F5F5" w:val="clear"/>
            <w:tcMar>
              <w:top w:type="dxa" w:w="80"/>
              <w:left w:type="dxa" w:w="100"/>
              <w:bottom w:type="dxa" w:w="80"/>
              <w:right w:type="dxa" w:w="100"/>
            </w:tcMar>
            <w:vAlign w:val="center"/>
          </w:tcPr>
          <w:p>
            <w:r>
              <w:rPr>
                <w:b w:val="false"/>
                <w:bCs w:val="false"/>
                <w:sz w:val="18"/>
                <w:szCs w:val="18"/>
              </w:rPr>
              <w:t xml:space="preserve">Web</w:t>
            </w:r>
          </w:p>
        </w:tc>
        <w:tc>
          <w:tcPr>
            <w:tcW w:type="pct" w:w="22%"/>
            <w:shd w:fill="F5F5F5" w:val="clear"/>
            <w:tcMar>
              <w:top w:type="dxa" w:w="80"/>
              <w:left w:type="dxa" w:w="100"/>
              <w:bottom w:type="dxa" w:w="80"/>
              <w:right w:type="dxa" w:w="100"/>
            </w:tcMar>
            <w:vAlign w:val="center"/>
          </w:tcPr>
          <w:p>
            <w:r>
              <w:rPr>
                <w:b w:val="false"/>
                <w:bCs w:val="false"/>
                <w:sz w:val="18"/>
                <w:szCs w:val="18"/>
              </w:rPr>
              <w:t xml:space="preserve">Schéma dédié, append-only pour l'audit</w:t>
            </w:r>
          </w:p>
        </w:tc>
      </w:tr>
      <w:tr>
        <w:tc>
          <w:tcPr>
            <w:tcW w:type="pct" w:w="14%"/>
            <w:tcMar>
              <w:top w:type="dxa" w:w="80"/>
              <w:left w:type="dxa" w:w="100"/>
              <w:bottom w:type="dxa" w:w="80"/>
              <w:right w:type="dxa" w:w="100"/>
            </w:tcMar>
            <w:vAlign w:val="center"/>
          </w:tcPr>
          <w:p>
            <w:r>
              <w:rPr>
                <w:b w:val="false"/>
                <w:bCs w:val="false"/>
                <w:sz w:val="18"/>
                <w:szCs w:val="18"/>
              </w:rPr>
              <w:t xml:space="preserve">service-mat</w:t>
            </w:r>
          </w:p>
        </w:tc>
        <w:tc>
          <w:tcPr>
            <w:tcW w:type="pct" w:w="44%"/>
            <w:tcMar>
              <w:top w:type="dxa" w:w="80"/>
              <w:left w:type="dxa" w:w="100"/>
              <w:bottom w:type="dxa" w:w="80"/>
              <w:right w:type="dxa" w:w="100"/>
            </w:tcMar>
            <w:vAlign w:val="center"/>
          </w:tcPr>
          <w:p>
            <w:r>
              <w:rPr>
                <w:b w:val="false"/>
                <w:bCs w:val="false"/>
                <w:sz w:val="18"/>
                <w:szCs w:val="18"/>
              </w:rPr>
              <w:t xml:space="preserve">Données et règles de matching : critères, pondérations, historisation</w:t>
            </w:r>
          </w:p>
        </w:tc>
        <w:tc>
          <w:tcPr>
            <w:tcW w:type="pct" w:w="20%"/>
            <w:tcMar>
              <w:top w:type="dxa" w:w="80"/>
              <w:left w:type="dxa" w:w="100"/>
              <w:bottom w:type="dxa" w:w="80"/>
              <w:right w:type="dxa" w:w="100"/>
            </w:tcMar>
            <w:vAlign w:val="center"/>
          </w:tcPr>
          <w:p>
            <w:r>
              <w:rPr>
                <w:b w:val="false"/>
                <w:bCs w:val="false"/>
                <w:sz w:val="18"/>
                <w:szCs w:val="18"/>
              </w:rPr>
              <w:t xml:space="preserve">Moteur</w:t>
            </w:r>
          </w:p>
        </w:tc>
        <w:tc>
          <w:tcPr>
            <w:tcW w:type="pct" w:w="22%"/>
            <w:tcMar>
              <w:top w:type="dxa" w:w="80"/>
              <w:left w:type="dxa" w:w="100"/>
              <w:bottom w:type="dxa" w:w="80"/>
              <w:right w:type="dxa" w:w="100"/>
            </w:tcMar>
            <w:vAlign w:val="center"/>
          </w:tcPr>
          <w:p>
            <w:r>
              <w:rPr>
                <w:b w:val="false"/>
                <w:bCs w:val="false"/>
                <w:sz w:val="18"/>
                <w:szCs w:val="18"/>
              </w:rPr>
              <w:t xml:space="preserve">Schéma dédié (CycleMatching)</w:t>
            </w:r>
          </w:p>
        </w:tc>
      </w:tr>
      <w:tr>
        <w:tc>
          <w:tcPr>
            <w:tcW w:type="pct" w:w="14%"/>
            <w:shd w:fill="F5F5F5" w:val="clear"/>
            <w:tcMar>
              <w:top w:type="dxa" w:w="80"/>
              <w:left w:type="dxa" w:w="100"/>
              <w:bottom w:type="dxa" w:w="80"/>
              <w:right w:type="dxa" w:w="100"/>
            </w:tcMar>
            <w:vAlign w:val="center"/>
          </w:tcPr>
          <w:p>
            <w:r>
              <w:rPr>
                <w:b w:val="false"/>
                <w:bCs w:val="false"/>
                <w:sz w:val="18"/>
                <w:szCs w:val="18"/>
              </w:rPr>
              <w:t xml:space="preserve">service-opt</w:t>
            </w:r>
          </w:p>
        </w:tc>
        <w:tc>
          <w:tcPr>
            <w:tcW w:type="pct" w:w="44%"/>
            <w:shd w:fill="F5F5F5" w:val="clear"/>
            <w:tcMar>
              <w:top w:type="dxa" w:w="80"/>
              <w:left w:type="dxa" w:w="100"/>
              <w:bottom w:type="dxa" w:w="80"/>
              <w:right w:type="dxa" w:w="100"/>
            </w:tcMar>
            <w:vAlign w:val="center"/>
          </w:tcPr>
          <w:p>
            <w:r>
              <w:rPr>
                <w:b w:val="false"/>
                <w:bCs w:val="false"/>
                <w:sz w:val="18"/>
                <w:szCs w:val="18"/>
              </w:rPr>
              <w:t xml:space="preserve">Moteur autonome L0→L4, scalé indépendamment, service d'itinéraires (Valhalla)</w:t>
            </w:r>
          </w:p>
        </w:tc>
        <w:tc>
          <w:tcPr>
            <w:tcW w:type="pct" w:w="20%"/>
            <w:shd w:fill="F5F5F5" w:val="clear"/>
            <w:tcMar>
              <w:top w:type="dxa" w:w="80"/>
              <w:left w:type="dxa" w:w="100"/>
              <w:bottom w:type="dxa" w:w="80"/>
              <w:right w:type="dxa" w:w="100"/>
            </w:tcMar>
            <w:vAlign w:val="center"/>
          </w:tcPr>
          <w:p>
            <w:r>
              <w:rPr>
                <w:b w:val="false"/>
                <w:bCs w:val="false"/>
                <w:sz w:val="18"/>
                <w:szCs w:val="18"/>
              </w:rPr>
              <w:t xml:space="preserve">Moteur</w:t>
            </w:r>
          </w:p>
        </w:tc>
        <w:tc>
          <w:tcPr>
            <w:tcW w:type="pct" w:w="22%"/>
            <w:shd w:fill="F5F5F5" w:val="clear"/>
            <w:tcMar>
              <w:top w:type="dxa" w:w="80"/>
              <w:left w:type="dxa" w:w="100"/>
              <w:bottom w:type="dxa" w:w="80"/>
              <w:right w:type="dxa" w:w="100"/>
            </w:tcMar>
            <w:vAlign w:val="center"/>
          </w:tcPr>
          <w:p>
            <w:r>
              <w:rPr>
                <w:b w:val="false"/>
                <w:bCs w:val="false"/>
                <w:sz w:val="18"/>
                <w:szCs w:val="18"/>
              </w:rPr>
              <w:t xml:space="preserve">Schéma dédié (PlanChargement) + cache Redis</w:t>
            </w:r>
          </w:p>
        </w:tc>
      </w:tr>
      <w:tr>
        <w:tc>
          <w:tcPr>
            <w:tcW w:type="pct" w:w="14%"/>
            <w:tcMar>
              <w:top w:type="dxa" w:w="80"/>
              <w:left w:type="dxa" w:w="100"/>
              <w:bottom w:type="dxa" w:w="80"/>
              <w:right w:type="dxa" w:w="100"/>
            </w:tcMar>
            <w:vAlign w:val="center"/>
          </w:tcPr>
          <w:p>
            <w:r>
              <w:rPr>
                <w:b w:val="false"/>
                <w:bCs w:val="false"/>
                <w:sz w:val="18"/>
                <w:szCs w:val="18"/>
              </w:rPr>
              <w:t xml:space="preserve">service-trk</w:t>
            </w:r>
          </w:p>
        </w:tc>
        <w:tc>
          <w:tcPr>
            <w:tcW w:type="pct" w:w="44%"/>
            <w:tcMar>
              <w:top w:type="dxa" w:w="80"/>
              <w:left w:type="dxa" w:w="100"/>
              <w:bottom w:type="dxa" w:w="80"/>
              <w:right w:type="dxa" w:w="100"/>
            </w:tcMar>
            <w:vAlign w:val="center"/>
          </w:tcPr>
          <w:p>
            <w:r>
              <w:rPr>
                <w:b w:val="false"/>
                <w:bCs w:val="false"/>
                <w:sz w:val="18"/>
                <w:szCs w:val="18"/>
              </w:rPr>
              <w:t xml:space="preserve">Suivi temps réel, ETA dynamique, détection d'anomalies</w:t>
            </w:r>
          </w:p>
        </w:tc>
        <w:tc>
          <w:tcPr>
            <w:tcW w:type="pct" w:w="20%"/>
            <w:tcMar>
              <w:top w:type="dxa" w:w="80"/>
              <w:left w:type="dxa" w:w="100"/>
              <w:bottom w:type="dxa" w:w="80"/>
              <w:right w:type="dxa" w:w="100"/>
            </w:tcMar>
            <w:vAlign w:val="center"/>
          </w:tcPr>
          <w:p>
            <w:r>
              <w:rPr>
                <w:b w:val="false"/>
                <w:bCs w:val="false"/>
                <w:sz w:val="18"/>
                <w:szCs w:val="18"/>
              </w:rPr>
              <w:t xml:space="preserve">Moteur</w:t>
            </w:r>
          </w:p>
        </w:tc>
        <w:tc>
          <w:tcPr>
            <w:tcW w:type="pct" w:w="22%"/>
            <w:tcMar>
              <w:top w:type="dxa" w:w="80"/>
              <w:left w:type="dxa" w:w="100"/>
              <w:bottom w:type="dxa" w:w="80"/>
              <w:right w:type="dxa" w:w="100"/>
            </w:tcMar>
            <w:vAlign w:val="center"/>
          </w:tcPr>
          <w:p>
            <w:r>
              <w:rPr>
                <w:b w:val="false"/>
                <w:bCs w:val="false"/>
                <w:sz w:val="18"/>
                <w:szCs w:val="18"/>
              </w:rPr>
              <w:t xml:space="preserve">Schéma dédié</w:t>
            </w:r>
          </w:p>
        </w:tc>
      </w:tr>
      <w:tr>
        <w:tc>
          <w:tcPr>
            <w:tcW w:type="pct" w:w="14%"/>
            <w:shd w:fill="F5F5F5" w:val="clear"/>
            <w:tcMar>
              <w:top w:type="dxa" w:w="80"/>
              <w:left w:type="dxa" w:w="100"/>
              <w:bottom w:type="dxa" w:w="80"/>
              <w:right w:type="dxa" w:w="100"/>
            </w:tcMar>
            <w:vAlign w:val="center"/>
          </w:tcPr>
          <w:p>
            <w:r>
              <w:rPr>
                <w:b w:val="false"/>
                <w:bCs w:val="false"/>
                <w:sz w:val="18"/>
                <w:szCs w:val="18"/>
              </w:rPr>
              <w:t xml:space="preserve">service-geo</w:t>
            </w:r>
          </w:p>
        </w:tc>
        <w:tc>
          <w:tcPr>
            <w:tcW w:type="pct" w:w="44%"/>
            <w:shd w:fill="F5F5F5" w:val="clear"/>
            <w:tcMar>
              <w:top w:type="dxa" w:w="80"/>
              <w:left w:type="dxa" w:w="100"/>
              <w:bottom w:type="dxa" w:w="80"/>
              <w:right w:type="dxa" w:w="100"/>
            </w:tcMar>
            <w:vAlign w:val="center"/>
          </w:tcPr>
          <w:p>
            <w:r>
              <w:rPr>
                <w:b w:val="false"/>
                <w:bCs w:val="false"/>
                <w:sz w:val="18"/>
                <w:szCs w:val="18"/>
              </w:rPr>
              <w:t xml:space="preserve">Référentiel géographique : axes, hubs, zonage H3</w:t>
            </w:r>
          </w:p>
        </w:tc>
        <w:tc>
          <w:tcPr>
            <w:tcW w:type="pct" w:w="20%"/>
            <w:shd w:fill="F5F5F5" w:val="clear"/>
            <w:tcMar>
              <w:top w:type="dxa" w:w="80"/>
              <w:left w:type="dxa" w:w="100"/>
              <w:bottom w:type="dxa" w:w="80"/>
              <w:right w:type="dxa" w:w="100"/>
            </w:tcMar>
            <w:vAlign w:val="center"/>
          </w:tcPr>
          <w:p>
            <w:r>
              <w:rPr>
                <w:b w:val="false"/>
                <w:bCs w:val="false"/>
                <w:sz w:val="18"/>
                <w:szCs w:val="18"/>
              </w:rPr>
              <w:t xml:space="preserve">Moteur</w:t>
            </w:r>
          </w:p>
        </w:tc>
        <w:tc>
          <w:tcPr>
            <w:tcW w:type="pct" w:w="22%"/>
            <w:shd w:fill="F5F5F5" w:val="clear"/>
            <w:tcMar>
              <w:top w:type="dxa" w:w="80"/>
              <w:left w:type="dxa" w:w="100"/>
              <w:bottom w:type="dxa" w:w="80"/>
              <w:right w:type="dxa" w:w="100"/>
            </w:tcMar>
            <w:vAlign w:val="center"/>
          </w:tcPr>
          <w:p>
            <w:r>
              <w:rPr>
                <w:b w:val="false"/>
                <w:bCs w:val="false"/>
                <w:sz w:val="18"/>
                <w:szCs w:val="18"/>
              </w:rPr>
              <w:t xml:space="preserve">Schéma dédié, PostGIS</w:t>
            </w:r>
          </w:p>
        </w:tc>
      </w:tr>
    </w:tbl>
    <w:p>
      <w:pPr>
        <w:spacing w:after="120"/>
      </w:pPr>
    </w:p>
    <w:tbl>
      <w:tblPr>
        <w:tblW w:type="pct" w:w="100%"/>
        <w:tblBorders>
          <w:top w:val="single" w:color="8A0F13" w:sz="4"/>
          <w:left w:val="single" w:color="8A0F13" w:sz="4"/>
          <w:bottom w:val="single" w:color="8A0F13" w:sz="4"/>
          <w:right w:val="single" w:color="8A0F13"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8A0F13"/>
                <w:sz w:val="20"/>
                <w:szCs w:val="20"/>
              </w:rPr>
              <w:t xml:space="preserve">Points de coordination malgré la répartition par client</w:t>
            </w:r>
          </w:p>
          <w:p>
            <w:r>
              <w:rPr>
                <w:sz w:val="19"/>
                <w:szCs w:val="19"/>
              </w:rPr>
              <w:t xml:space="preserve">Certains services sont consommés par plusieurs volets même s'ils n'ont qu'un porteur : service-mkt (Mobile) reçoit les propositions émises par service-opt (Moteur) ; service-geo (Moteur) conditionne l'affichage des zones verrouillées côté mobile et alimente les écrans cartographiques du portail web ; service-pay (Web) est déclenché par service-exe (Mobile) à la clôture de mission. Ces API restent documentées dans shared-contracts/ pour que le porteur du service et ses consommateurs restent synchronisés — c'est l'objet du point hebdomadaire de coordination (cf. Feuille de route §5.1).</w:t>
            </w:r>
          </w:p>
        </w:tc>
      </w:tr>
    </w:tbl>
    <w:p>
      <w:pPr>
        <w:pStyle w:val="Heading2"/>
        <w:spacing w:after="140" w:before="260"/>
      </w:pPr>
      <w:r>
        <w:rPr>
          <w:b/>
          <w:bCs/>
          <w:color w:val="8A0F13"/>
          <w:sz w:val="24"/>
          <w:szCs w:val="24"/>
        </w:rPr>
        <w:t xml:space="preserve">4.2 Dépendances du Moteur (MAT, OPT, TRK, GEO) avec le reste du système</w:t>
      </w:r>
    </w:p>
    <w:p>
      <w:pPr>
        <w:spacing w:after="160"/>
      </w:pPr>
      <w:r>
        <w:rPr>
          <w:sz w:val="20"/>
          <w:szCs w:val="20"/>
        </w:rPr>
        <w:t xml:space="preserve">Ces quatre modules ne forment pas un bloc isolé : OPT et MAT sont couplés en continu (le même porteur, donc un appel synchrone interne est justifié — le budget de la couche L0 est de l'ordre de 50 ms, incompatible avec l'aller-retour d'un bus d'événements). GEO alimente en continu OPT (filtre L0) et TRK, en interne également. En revanche, tout échange avec un module porté par une autre personne (CAP, MKT, FLT côté Mobile ; PAY côté Web) reste strictement asynchrone, via le bus Kafka — aucune exception, y compris quand la latence est gênante : c'est le rôle du cache et des vues matérialisées de l'absorber, pas celui de casser le découplage inter-porteurs.</w:t>
      </w:r>
    </w:p>
    <w:p>
      <w:pPr>
        <w:spacing w:after="160" w:before="160"/>
        <w:jc w:val="center"/>
      </w:pPr>
      <w:r>
        <w:drawing>
          <wp:inline distT="0" distB="0" distL="0" distR="0">
            <wp:extent cx="53340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38550"/>
                    </a:xfrm>
                    <a:prstGeom prst="rect">
                      <a:avLst/>
                    </a:prstGeom>
                  </pic:spPr>
                </pic:pic>
              </a:graphicData>
            </a:graphic>
          </wp:inline>
        </w:drawing>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2520"/>
        <w:gridCol w:w="1440"/>
        <w:gridCol w:w="1620"/>
        <w:gridCol w:w="3420"/>
      </w:tblGrid>
      <w:tr>
        <w:trPr>
          <w:tblHeader/>
        </w:trPr>
        <w:tc>
          <w:tcPr>
            <w:tcW w:type="pct" w:w="28%"/>
            <w:shd w:fill="2B2B2B" w:val="clear"/>
            <w:tcMar>
              <w:top w:type="dxa" w:w="80"/>
              <w:left w:type="dxa" w:w="100"/>
              <w:bottom w:type="dxa" w:w="80"/>
              <w:right w:type="dxa" w:w="100"/>
            </w:tcMar>
            <w:vAlign w:val="center"/>
          </w:tcPr>
          <w:p>
            <w:r>
              <w:rPr>
                <w:b/>
                <w:bCs/>
                <w:color w:val="FFFFFF"/>
                <w:sz w:val="18"/>
                <w:szCs w:val="18"/>
              </w:rPr>
              <w:t xml:space="preserve">Flux</w:t>
            </w:r>
          </w:p>
        </w:tc>
        <w:tc>
          <w:tcPr>
            <w:tcW w:type="pct" w:w="16%"/>
            <w:shd w:fill="2B2B2B" w:val="clear"/>
            <w:tcMar>
              <w:top w:type="dxa" w:w="80"/>
              <w:left w:type="dxa" w:w="100"/>
              <w:bottom w:type="dxa" w:w="80"/>
              <w:right w:type="dxa" w:w="100"/>
            </w:tcMar>
            <w:vAlign w:val="center"/>
          </w:tcPr>
          <w:p>
            <w:r>
              <w:rPr>
                <w:b/>
                <w:bCs/>
                <w:color w:val="FFFFFF"/>
                <w:sz w:val="18"/>
                <w:szCs w:val="18"/>
              </w:rPr>
              <w:t xml:space="preserve">Sens</w:t>
            </w:r>
          </w:p>
        </w:tc>
        <w:tc>
          <w:tcPr>
            <w:tcW w:type="pct" w:w="18%"/>
            <w:shd w:fill="2B2B2B" w:val="clear"/>
            <w:tcMar>
              <w:top w:type="dxa" w:w="80"/>
              <w:left w:type="dxa" w:w="100"/>
              <w:bottom w:type="dxa" w:w="80"/>
              <w:right w:type="dxa" w:w="100"/>
            </w:tcMar>
            <w:vAlign w:val="center"/>
          </w:tcPr>
          <w:p>
            <w:r>
              <w:rPr>
                <w:b/>
                <w:bCs/>
                <w:color w:val="FFFFFF"/>
                <w:sz w:val="18"/>
                <w:szCs w:val="18"/>
              </w:rPr>
              <w:t xml:space="preserve">Mode</w:t>
            </w:r>
          </w:p>
        </w:tc>
        <w:tc>
          <w:tcPr>
            <w:tcW w:type="pct" w:w="38%"/>
            <w:shd w:fill="2B2B2B" w:val="clear"/>
            <w:tcMar>
              <w:top w:type="dxa" w:w="80"/>
              <w:left w:type="dxa" w:w="100"/>
              <w:bottom w:type="dxa" w:w="80"/>
              <w:right w:type="dxa" w:w="100"/>
            </w:tcMar>
            <w:vAlign w:val="center"/>
          </w:tcPr>
          <w:p>
            <w:r>
              <w:rPr>
                <w:b/>
                <w:bCs/>
                <w:color w:val="FFFFFF"/>
                <w:sz w:val="18"/>
                <w:szCs w:val="18"/>
              </w:rPr>
              <w:t xml:space="preserve">Événement / donnée</w:t>
            </w:r>
          </w:p>
        </w:tc>
      </w:tr>
      <w:tr>
        <w:tc>
          <w:tcPr>
            <w:tcW w:type="pct" w:w="28%"/>
            <w:tcMar>
              <w:top w:type="dxa" w:w="80"/>
              <w:left w:type="dxa" w:w="100"/>
              <w:bottom w:type="dxa" w:w="80"/>
              <w:right w:type="dxa" w:w="100"/>
            </w:tcMar>
            <w:vAlign w:val="center"/>
          </w:tcPr>
          <w:p>
            <w:r>
              <w:rPr>
                <w:b w:val="false"/>
                <w:bCs w:val="false"/>
                <w:sz w:val="18"/>
                <w:szCs w:val="18"/>
              </w:rPr>
              <w:t xml:space="preserve">service-cap → service-mat / service-opt</w:t>
            </w:r>
          </w:p>
        </w:tc>
        <w:tc>
          <w:tcPr>
            <w:tcW w:type="pct" w:w="16%"/>
            <w:tcMar>
              <w:top w:type="dxa" w:w="80"/>
              <w:left w:type="dxa" w:w="100"/>
              <w:bottom w:type="dxa" w:w="80"/>
              <w:right w:type="dxa" w:w="100"/>
            </w:tcMar>
            <w:vAlign w:val="center"/>
          </w:tcPr>
          <w:p>
            <w:r>
              <w:rPr>
                <w:b w:val="false"/>
                <w:bCs w:val="false"/>
                <w:sz w:val="18"/>
                <w:szCs w:val="18"/>
              </w:rPr>
              <w:t xml:space="preserve">Mobile → Moteur</w:t>
            </w:r>
          </w:p>
        </w:tc>
        <w:tc>
          <w:tcPr>
            <w:tcW w:type="pct" w:w="18%"/>
            <w:tcMar>
              <w:top w:type="dxa" w:w="80"/>
              <w:left w:type="dxa" w:w="100"/>
              <w:bottom w:type="dxa" w:w="80"/>
              <w:right w:type="dxa" w:w="100"/>
            </w:tcMar>
            <w:vAlign w:val="center"/>
          </w:tcPr>
          <w:p>
            <w:r>
              <w:rPr>
                <w:b w:val="false"/>
                <w:bCs w:val="false"/>
                <w:sz w:val="18"/>
                <w:szCs w:val="18"/>
              </w:rPr>
              <w:t xml:space="preserve">Asynchrone (bus)</w:t>
            </w:r>
          </w:p>
        </w:tc>
        <w:tc>
          <w:tcPr>
            <w:tcW w:type="pct" w:w="38%"/>
            <w:tcMar>
              <w:top w:type="dxa" w:w="80"/>
              <w:left w:type="dxa" w:w="100"/>
              <w:bottom w:type="dxa" w:w="80"/>
              <w:right w:type="dxa" w:w="100"/>
            </w:tcMar>
            <w:vAlign w:val="center"/>
          </w:tcPr>
          <w:p>
            <w:r>
              <w:rPr>
                <w:b w:val="false"/>
                <w:bCs w:val="false"/>
                <w:sz w:val="18"/>
                <w:szCs w:val="18"/>
              </w:rPr>
              <w:t xml:space="preserve">CapaciteDeclaree — nouvelle capacité disponible pour le matching</w:t>
            </w:r>
          </w:p>
        </w:tc>
      </w:tr>
      <w:tr>
        <w:tc>
          <w:tcPr>
            <w:tcW w:type="pct" w:w="28%"/>
            <w:shd w:fill="F5F5F5" w:val="clear"/>
            <w:tcMar>
              <w:top w:type="dxa" w:w="80"/>
              <w:left w:type="dxa" w:w="100"/>
              <w:bottom w:type="dxa" w:w="80"/>
              <w:right w:type="dxa" w:w="100"/>
            </w:tcMar>
            <w:vAlign w:val="center"/>
          </w:tcPr>
          <w:p>
            <w:r>
              <w:rPr>
                <w:b w:val="false"/>
                <w:bCs w:val="false"/>
                <w:sz w:val="18"/>
                <w:szCs w:val="18"/>
              </w:rPr>
              <w:t xml:space="preserve">service-mkt → service-mat / service-opt</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Mobile → Moteur</w:t>
            </w:r>
          </w:p>
        </w:tc>
        <w:tc>
          <w:tcPr>
            <w:tcW w:type="pct" w:w="18%"/>
            <w:shd w:fill="F5F5F5" w:val="clear"/>
            <w:tcMar>
              <w:top w:type="dxa" w:w="80"/>
              <w:left w:type="dxa" w:w="100"/>
              <w:bottom w:type="dxa" w:w="80"/>
              <w:right w:type="dxa" w:w="100"/>
            </w:tcMar>
            <w:vAlign w:val="center"/>
          </w:tcPr>
          <w:p>
            <w:r>
              <w:rPr>
                <w:b w:val="false"/>
                <w:bCs w:val="false"/>
                <w:sz w:val="18"/>
                <w:szCs w:val="18"/>
              </w:rPr>
              <w:t xml:space="preserve">Asynchrone (bus)</w:t>
            </w:r>
          </w:p>
        </w:tc>
        <w:tc>
          <w:tcPr>
            <w:tcW w:type="pct" w:w="38%"/>
            <w:shd w:fill="F5F5F5" w:val="clear"/>
            <w:tcMar>
              <w:top w:type="dxa" w:w="80"/>
              <w:left w:type="dxa" w:w="100"/>
              <w:bottom w:type="dxa" w:w="80"/>
              <w:right w:type="dxa" w:w="100"/>
            </w:tcMar>
            <w:vAlign w:val="center"/>
          </w:tcPr>
          <w:p>
            <w:r>
              <w:rPr>
                <w:b w:val="false"/>
                <w:bCs w:val="false"/>
                <w:sz w:val="18"/>
                <w:szCs w:val="18"/>
              </w:rPr>
              <w:t xml:space="preserve">DemandePubliee — nouvelle demande à apparier</w:t>
            </w:r>
          </w:p>
        </w:tc>
      </w:tr>
      <w:tr>
        <w:tc>
          <w:tcPr>
            <w:tcW w:type="pct" w:w="28%"/>
            <w:tcMar>
              <w:top w:type="dxa" w:w="80"/>
              <w:left w:type="dxa" w:w="100"/>
              <w:bottom w:type="dxa" w:w="80"/>
              <w:right w:type="dxa" w:w="100"/>
            </w:tcMar>
            <w:vAlign w:val="center"/>
          </w:tcPr>
          <w:p>
            <w:r>
              <w:rPr>
                <w:b w:val="false"/>
                <w:bCs w:val="false"/>
                <w:sz w:val="18"/>
                <w:szCs w:val="18"/>
              </w:rPr>
              <w:t xml:space="preserve">service-flt → service-trk</w:t>
            </w:r>
          </w:p>
        </w:tc>
        <w:tc>
          <w:tcPr>
            <w:tcW w:type="pct" w:w="16%"/>
            <w:tcMar>
              <w:top w:type="dxa" w:w="80"/>
              <w:left w:type="dxa" w:w="100"/>
              <w:bottom w:type="dxa" w:w="80"/>
              <w:right w:type="dxa" w:w="100"/>
            </w:tcMar>
            <w:vAlign w:val="center"/>
          </w:tcPr>
          <w:p>
            <w:r>
              <w:rPr>
                <w:b w:val="false"/>
                <w:bCs w:val="false"/>
                <w:sz w:val="18"/>
                <w:szCs w:val="18"/>
              </w:rPr>
              <w:t xml:space="preserve">Mobile → Moteur</w:t>
            </w:r>
          </w:p>
        </w:tc>
        <w:tc>
          <w:tcPr>
            <w:tcW w:type="pct" w:w="18%"/>
            <w:tcMar>
              <w:top w:type="dxa" w:w="80"/>
              <w:left w:type="dxa" w:w="100"/>
              <w:bottom w:type="dxa" w:w="80"/>
              <w:right w:type="dxa" w:w="100"/>
            </w:tcMar>
            <w:vAlign w:val="center"/>
          </w:tcPr>
          <w:p>
            <w:r>
              <w:rPr>
                <w:b w:val="false"/>
                <w:bCs w:val="false"/>
                <w:sz w:val="18"/>
                <w:szCs w:val="18"/>
              </w:rPr>
              <w:t xml:space="preserve">Asynchrone (bus)</w:t>
            </w:r>
          </w:p>
        </w:tc>
        <w:tc>
          <w:tcPr>
            <w:tcW w:type="pct" w:w="38%"/>
            <w:tcMar>
              <w:top w:type="dxa" w:w="80"/>
              <w:left w:type="dxa" w:w="100"/>
              <w:bottom w:type="dxa" w:w="80"/>
              <w:right w:type="dxa" w:w="100"/>
            </w:tcMar>
            <w:vAlign w:val="center"/>
          </w:tcPr>
          <w:p>
            <w:r>
              <w:rPr>
                <w:b w:val="false"/>
                <w:bCs w:val="false"/>
                <w:sz w:val="18"/>
                <w:szCs w:val="18"/>
              </w:rPr>
              <w:t xml:space="preserve">PositionBrute — position GPS normalisée issue des connecteurs</w:t>
            </w:r>
          </w:p>
        </w:tc>
      </w:tr>
      <w:tr>
        <w:tc>
          <w:tcPr>
            <w:tcW w:type="pct" w:w="28%"/>
            <w:shd w:fill="F5F5F5" w:val="clear"/>
            <w:tcMar>
              <w:top w:type="dxa" w:w="80"/>
              <w:left w:type="dxa" w:w="100"/>
              <w:bottom w:type="dxa" w:w="80"/>
              <w:right w:type="dxa" w:w="100"/>
            </w:tcMar>
            <w:vAlign w:val="center"/>
          </w:tcPr>
          <w:p>
            <w:r>
              <w:rPr>
                <w:b w:val="false"/>
                <w:bCs w:val="false"/>
                <w:sz w:val="18"/>
                <w:szCs w:val="18"/>
              </w:rPr>
              <w:t xml:space="preserve">service-mat ↔ service-opt</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Moteur ↔ Moteur</w:t>
            </w:r>
          </w:p>
        </w:tc>
        <w:tc>
          <w:tcPr>
            <w:tcW w:type="pct" w:w="18%"/>
            <w:shd w:fill="F5F5F5" w:val="clear"/>
            <w:tcMar>
              <w:top w:type="dxa" w:w="80"/>
              <w:left w:type="dxa" w:w="100"/>
              <w:bottom w:type="dxa" w:w="80"/>
              <w:right w:type="dxa" w:w="100"/>
            </w:tcMar>
            <w:vAlign w:val="center"/>
          </w:tcPr>
          <w:p>
            <w:r>
              <w:rPr>
                <w:b w:val="false"/>
                <w:bCs w:val="false"/>
                <w:sz w:val="18"/>
                <w:szCs w:val="18"/>
              </w:rPr>
              <w:t xml:space="preserve">Synchrone interne</w:t>
            </w:r>
          </w:p>
        </w:tc>
        <w:tc>
          <w:tcPr>
            <w:tcW w:type="pct" w:w="38%"/>
            <w:shd w:fill="F5F5F5" w:val="clear"/>
            <w:tcMar>
              <w:top w:type="dxa" w:w="80"/>
              <w:left w:type="dxa" w:w="100"/>
              <w:bottom w:type="dxa" w:w="80"/>
              <w:right w:type="dxa" w:w="100"/>
            </w:tcMar>
            <w:vAlign w:val="center"/>
          </w:tcPr>
          <w:p>
            <w:r>
              <w:rPr>
                <w:b w:val="false"/>
                <w:bCs w:val="false"/>
                <w:sz w:val="18"/>
                <w:szCs w:val="18"/>
              </w:rPr>
              <w:t xml:space="preserve">Critères et pondérations de coût composite, en continu (budget L0 ~50 ms)</w:t>
            </w:r>
          </w:p>
        </w:tc>
      </w:tr>
      <w:tr>
        <w:tc>
          <w:tcPr>
            <w:tcW w:type="pct" w:w="28%"/>
            <w:tcMar>
              <w:top w:type="dxa" w:w="80"/>
              <w:left w:type="dxa" w:w="100"/>
              <w:bottom w:type="dxa" w:w="80"/>
              <w:right w:type="dxa" w:w="100"/>
            </w:tcMar>
            <w:vAlign w:val="center"/>
          </w:tcPr>
          <w:p>
            <w:r>
              <w:rPr>
                <w:b w:val="false"/>
                <w:bCs w:val="false"/>
                <w:sz w:val="18"/>
                <w:szCs w:val="18"/>
              </w:rPr>
              <w:t xml:space="preserve">service-geo → service-opt</w:t>
            </w:r>
          </w:p>
        </w:tc>
        <w:tc>
          <w:tcPr>
            <w:tcW w:type="pct" w:w="16%"/>
            <w:tcMar>
              <w:top w:type="dxa" w:w="80"/>
              <w:left w:type="dxa" w:w="100"/>
              <w:bottom w:type="dxa" w:w="80"/>
              <w:right w:type="dxa" w:w="100"/>
            </w:tcMar>
            <w:vAlign w:val="center"/>
          </w:tcPr>
          <w:p>
            <w:r>
              <w:rPr>
                <w:b w:val="false"/>
                <w:bCs w:val="false"/>
                <w:sz w:val="18"/>
                <w:szCs w:val="18"/>
              </w:rPr>
              <w:t xml:space="preserve">Moteur → Moteur</w:t>
            </w:r>
          </w:p>
        </w:tc>
        <w:tc>
          <w:tcPr>
            <w:tcW w:type="pct" w:w="18%"/>
            <w:tcMar>
              <w:top w:type="dxa" w:w="80"/>
              <w:left w:type="dxa" w:w="100"/>
              <w:bottom w:type="dxa" w:w="80"/>
              <w:right w:type="dxa" w:w="100"/>
            </w:tcMar>
            <w:vAlign w:val="center"/>
          </w:tcPr>
          <w:p>
            <w:r>
              <w:rPr>
                <w:b w:val="false"/>
                <w:bCs w:val="false"/>
                <w:sz w:val="18"/>
                <w:szCs w:val="18"/>
              </w:rPr>
              <w:t xml:space="preserve">Synchrone interne</w:t>
            </w:r>
          </w:p>
        </w:tc>
        <w:tc>
          <w:tcPr>
            <w:tcW w:type="pct" w:w="38%"/>
            <w:tcMar>
              <w:top w:type="dxa" w:w="80"/>
              <w:left w:type="dxa" w:w="100"/>
              <w:bottom w:type="dxa" w:w="80"/>
              <w:right w:type="dxa" w:w="100"/>
            </w:tcMar>
            <w:vAlign w:val="center"/>
          </w:tcPr>
          <w:p>
            <w:r>
              <w:rPr>
                <w:b w:val="false"/>
                <w:bCs w:val="false"/>
                <w:sz w:val="18"/>
                <w:szCs w:val="18"/>
              </w:rPr>
              <w:t xml:space="preserve">Zonage H3, axes actifs — filtre L0</w:t>
            </w:r>
          </w:p>
        </w:tc>
      </w:tr>
      <w:tr>
        <w:tc>
          <w:tcPr>
            <w:tcW w:type="pct" w:w="28%"/>
            <w:shd w:fill="F5F5F5" w:val="clear"/>
            <w:tcMar>
              <w:top w:type="dxa" w:w="80"/>
              <w:left w:type="dxa" w:w="100"/>
              <w:bottom w:type="dxa" w:w="80"/>
              <w:right w:type="dxa" w:w="100"/>
            </w:tcMar>
            <w:vAlign w:val="center"/>
          </w:tcPr>
          <w:p>
            <w:r>
              <w:rPr>
                <w:b w:val="false"/>
                <w:bCs w:val="false"/>
                <w:sz w:val="18"/>
                <w:szCs w:val="18"/>
              </w:rPr>
              <w:t xml:space="preserve">service-geo → service-trk</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Moteur → Moteur</w:t>
            </w:r>
          </w:p>
        </w:tc>
        <w:tc>
          <w:tcPr>
            <w:tcW w:type="pct" w:w="18%"/>
            <w:shd w:fill="F5F5F5" w:val="clear"/>
            <w:tcMar>
              <w:top w:type="dxa" w:w="80"/>
              <w:left w:type="dxa" w:w="100"/>
              <w:bottom w:type="dxa" w:w="80"/>
              <w:right w:type="dxa" w:w="100"/>
            </w:tcMar>
            <w:vAlign w:val="center"/>
          </w:tcPr>
          <w:p>
            <w:r>
              <w:rPr>
                <w:b w:val="false"/>
                <w:bCs w:val="false"/>
                <w:sz w:val="18"/>
                <w:szCs w:val="18"/>
              </w:rPr>
              <w:t xml:space="preserve">Synchrone interne</w:t>
            </w:r>
          </w:p>
        </w:tc>
        <w:tc>
          <w:tcPr>
            <w:tcW w:type="pct" w:w="38%"/>
            <w:shd w:fill="F5F5F5" w:val="clear"/>
            <w:tcMar>
              <w:top w:type="dxa" w:w="80"/>
              <w:left w:type="dxa" w:w="100"/>
              <w:bottom w:type="dxa" w:w="80"/>
              <w:right w:type="dxa" w:w="100"/>
            </w:tcMar>
            <w:vAlign w:val="center"/>
          </w:tcPr>
          <w:p>
            <w:r>
              <w:rPr>
                <w:b w:val="false"/>
                <w:bCs w:val="false"/>
                <w:sz w:val="18"/>
                <w:szCs w:val="18"/>
              </w:rPr>
              <w:t xml:space="preserve">Référentiel axes/hubs pour le calcul d'écart de trajectoire</w:t>
            </w:r>
          </w:p>
        </w:tc>
      </w:tr>
      <w:tr>
        <w:tc>
          <w:tcPr>
            <w:tcW w:type="pct" w:w="28%"/>
            <w:tcMar>
              <w:top w:type="dxa" w:w="80"/>
              <w:left w:type="dxa" w:w="100"/>
              <w:bottom w:type="dxa" w:w="80"/>
              <w:right w:type="dxa" w:w="100"/>
            </w:tcMar>
            <w:vAlign w:val="center"/>
          </w:tcPr>
          <w:p>
            <w:r>
              <w:rPr>
                <w:b w:val="false"/>
                <w:bCs w:val="false"/>
                <w:sz w:val="18"/>
                <w:szCs w:val="18"/>
              </w:rPr>
              <w:t xml:space="preserve">service-opt → service-trk</w:t>
            </w:r>
          </w:p>
        </w:tc>
        <w:tc>
          <w:tcPr>
            <w:tcW w:type="pct" w:w="16%"/>
            <w:tcMar>
              <w:top w:type="dxa" w:w="80"/>
              <w:left w:type="dxa" w:w="100"/>
              <w:bottom w:type="dxa" w:w="80"/>
              <w:right w:type="dxa" w:w="100"/>
            </w:tcMar>
            <w:vAlign w:val="center"/>
          </w:tcPr>
          <w:p>
            <w:r>
              <w:rPr>
                <w:b w:val="false"/>
                <w:bCs w:val="false"/>
                <w:sz w:val="18"/>
                <w:szCs w:val="18"/>
              </w:rPr>
              <w:t xml:space="preserve">Moteur → Moteur</w:t>
            </w:r>
          </w:p>
        </w:tc>
        <w:tc>
          <w:tcPr>
            <w:tcW w:type="pct" w:w="18%"/>
            <w:tcMar>
              <w:top w:type="dxa" w:w="80"/>
              <w:left w:type="dxa" w:w="100"/>
              <w:bottom w:type="dxa" w:w="80"/>
              <w:right w:type="dxa" w:w="100"/>
            </w:tcMar>
            <w:vAlign w:val="center"/>
          </w:tcPr>
          <w:p>
            <w:r>
              <w:rPr>
                <w:b w:val="false"/>
                <w:bCs w:val="false"/>
                <w:sz w:val="18"/>
                <w:szCs w:val="18"/>
              </w:rPr>
              <w:t xml:space="preserve">Synchrone interne</w:t>
            </w:r>
          </w:p>
        </w:tc>
        <w:tc>
          <w:tcPr>
            <w:tcW w:type="pct" w:w="38%"/>
            <w:tcMar>
              <w:top w:type="dxa" w:w="80"/>
              <w:left w:type="dxa" w:w="100"/>
              <w:bottom w:type="dxa" w:w="80"/>
              <w:right w:type="dxa" w:w="100"/>
            </w:tcMar>
            <w:vAlign w:val="center"/>
          </w:tcPr>
          <w:p>
            <w:r>
              <w:rPr>
                <w:b w:val="false"/>
                <w:bCs w:val="false"/>
                <w:sz w:val="18"/>
                <w:szCs w:val="18"/>
              </w:rPr>
              <w:t xml:space="preserve">Itinéraire retenu, pour le calcul d'ETA</w:t>
            </w:r>
          </w:p>
        </w:tc>
      </w:tr>
      <w:tr>
        <w:tc>
          <w:tcPr>
            <w:tcW w:type="pct" w:w="28%"/>
            <w:shd w:fill="F5F5F5" w:val="clear"/>
            <w:tcMar>
              <w:top w:type="dxa" w:w="80"/>
              <w:left w:type="dxa" w:w="100"/>
              <w:bottom w:type="dxa" w:w="80"/>
              <w:right w:type="dxa" w:w="100"/>
            </w:tcMar>
            <w:vAlign w:val="center"/>
          </w:tcPr>
          <w:p>
            <w:r>
              <w:rPr>
                <w:b w:val="false"/>
                <w:bCs w:val="false"/>
                <w:sz w:val="18"/>
                <w:szCs w:val="18"/>
              </w:rPr>
              <w:t xml:space="preserve">service-opt → service-mkt</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Moteur → Mobile</w:t>
            </w:r>
          </w:p>
        </w:tc>
        <w:tc>
          <w:tcPr>
            <w:tcW w:type="pct" w:w="18%"/>
            <w:shd w:fill="F5F5F5" w:val="clear"/>
            <w:tcMar>
              <w:top w:type="dxa" w:w="80"/>
              <w:left w:type="dxa" w:w="100"/>
              <w:bottom w:type="dxa" w:w="80"/>
              <w:right w:type="dxa" w:w="100"/>
            </w:tcMar>
            <w:vAlign w:val="center"/>
          </w:tcPr>
          <w:p>
            <w:r>
              <w:rPr>
                <w:b w:val="false"/>
                <w:bCs w:val="false"/>
                <w:sz w:val="18"/>
                <w:szCs w:val="18"/>
              </w:rPr>
              <w:t xml:space="preserve">Asynchrone (bus)</w:t>
            </w:r>
          </w:p>
        </w:tc>
        <w:tc>
          <w:tcPr>
            <w:tcW w:type="pct" w:w="38%"/>
            <w:shd w:fill="F5F5F5" w:val="clear"/>
            <w:tcMar>
              <w:top w:type="dxa" w:w="80"/>
              <w:left w:type="dxa" w:w="100"/>
              <w:bottom w:type="dxa" w:w="80"/>
              <w:right w:type="dxa" w:w="100"/>
            </w:tcMar>
            <w:vAlign w:val="center"/>
          </w:tcPr>
          <w:p>
            <w:r>
              <w:rPr>
                <w:b w:val="false"/>
                <w:bCs w:val="false"/>
                <w:sz w:val="18"/>
                <w:szCs w:val="18"/>
              </w:rPr>
              <w:t xml:space="preserve">PropositionEmise — jusqu'à 3 propositions classées, présentées au chargeur</w:t>
            </w:r>
          </w:p>
        </w:tc>
      </w:tr>
      <w:tr>
        <w:tc>
          <w:tcPr>
            <w:tcW w:type="pct" w:w="28%"/>
            <w:tcMar>
              <w:top w:type="dxa" w:w="80"/>
              <w:left w:type="dxa" w:w="100"/>
              <w:bottom w:type="dxa" w:w="80"/>
              <w:right w:type="dxa" w:w="100"/>
            </w:tcMar>
            <w:vAlign w:val="center"/>
          </w:tcPr>
          <w:p>
            <w:r>
              <w:rPr>
                <w:b w:val="false"/>
                <w:bCs w:val="false"/>
                <w:sz w:val="18"/>
                <w:szCs w:val="18"/>
              </w:rPr>
              <w:t xml:space="preserve">service-opt → service-exe</w:t>
            </w:r>
          </w:p>
        </w:tc>
        <w:tc>
          <w:tcPr>
            <w:tcW w:type="pct" w:w="16%"/>
            <w:tcMar>
              <w:top w:type="dxa" w:w="80"/>
              <w:left w:type="dxa" w:w="100"/>
              <w:bottom w:type="dxa" w:w="80"/>
              <w:right w:type="dxa" w:w="100"/>
            </w:tcMar>
            <w:vAlign w:val="center"/>
          </w:tcPr>
          <w:p>
            <w:r>
              <w:rPr>
                <w:b w:val="false"/>
                <w:bCs w:val="false"/>
                <w:sz w:val="18"/>
                <w:szCs w:val="18"/>
              </w:rPr>
              <w:t xml:space="preserve">Moteur → Mobile</w:t>
            </w:r>
          </w:p>
        </w:tc>
        <w:tc>
          <w:tcPr>
            <w:tcW w:type="pct" w:w="18%"/>
            <w:tcMar>
              <w:top w:type="dxa" w:w="80"/>
              <w:left w:type="dxa" w:w="100"/>
              <w:bottom w:type="dxa" w:w="80"/>
              <w:right w:type="dxa" w:w="100"/>
            </w:tcMar>
            <w:vAlign w:val="center"/>
          </w:tcPr>
          <w:p>
            <w:r>
              <w:rPr>
                <w:b w:val="false"/>
                <w:bCs w:val="false"/>
                <w:sz w:val="18"/>
                <w:szCs w:val="18"/>
              </w:rPr>
              <w:t xml:space="preserve">Asynchrone (bus)</w:t>
            </w:r>
          </w:p>
        </w:tc>
        <w:tc>
          <w:tcPr>
            <w:tcW w:type="pct" w:w="38%"/>
            <w:tcMar>
              <w:top w:type="dxa" w:w="80"/>
              <w:left w:type="dxa" w:w="100"/>
              <w:bottom w:type="dxa" w:w="80"/>
              <w:right w:type="dxa" w:w="100"/>
            </w:tcMar>
            <w:vAlign w:val="center"/>
          </w:tcPr>
          <w:p>
            <w:r>
              <w:rPr>
                <w:b w:val="false"/>
                <w:bCs w:val="false"/>
                <w:sz w:val="18"/>
                <w:szCs w:val="18"/>
              </w:rPr>
              <w:t xml:space="preserve">AffectationConfirmee — déclenche la création de la mission</w:t>
            </w:r>
          </w:p>
        </w:tc>
      </w:tr>
      <w:tr>
        <w:tc>
          <w:tcPr>
            <w:tcW w:type="pct" w:w="28%"/>
            <w:shd w:fill="F5F5F5" w:val="clear"/>
            <w:tcMar>
              <w:top w:type="dxa" w:w="80"/>
              <w:left w:type="dxa" w:w="100"/>
              <w:bottom w:type="dxa" w:w="80"/>
              <w:right w:type="dxa" w:w="100"/>
            </w:tcMar>
            <w:vAlign w:val="center"/>
          </w:tcPr>
          <w:p>
            <w:r>
              <w:rPr>
                <w:b w:val="false"/>
                <w:bCs w:val="false"/>
                <w:sz w:val="18"/>
                <w:szCs w:val="18"/>
              </w:rPr>
              <w:t xml:space="preserve">service-trk → service-not</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Moteur → Mobile</w:t>
            </w:r>
          </w:p>
        </w:tc>
        <w:tc>
          <w:tcPr>
            <w:tcW w:type="pct" w:w="18%"/>
            <w:shd w:fill="F5F5F5" w:val="clear"/>
            <w:tcMar>
              <w:top w:type="dxa" w:w="80"/>
              <w:left w:type="dxa" w:w="100"/>
              <w:bottom w:type="dxa" w:w="80"/>
              <w:right w:type="dxa" w:w="100"/>
            </w:tcMar>
            <w:vAlign w:val="center"/>
          </w:tcPr>
          <w:p>
            <w:r>
              <w:rPr>
                <w:b w:val="false"/>
                <w:bCs w:val="false"/>
                <w:sz w:val="18"/>
                <w:szCs w:val="18"/>
              </w:rPr>
              <w:t xml:space="preserve">Asynchrone (bus)</w:t>
            </w:r>
          </w:p>
        </w:tc>
        <w:tc>
          <w:tcPr>
            <w:tcW w:type="pct" w:w="38%"/>
            <w:shd w:fill="F5F5F5" w:val="clear"/>
            <w:tcMar>
              <w:top w:type="dxa" w:w="80"/>
              <w:left w:type="dxa" w:w="100"/>
              <w:bottom w:type="dxa" w:w="80"/>
              <w:right w:type="dxa" w:w="100"/>
            </w:tcMar>
            <w:vAlign w:val="center"/>
          </w:tcPr>
          <w:p>
            <w:r>
              <w:rPr>
                <w:b w:val="false"/>
                <w:bCs w:val="false"/>
                <w:sz w:val="18"/>
                <w:szCs w:val="18"/>
              </w:rPr>
              <w:t xml:space="preserve">AlerteEcart / ETA — alerte de retard ou d'anomalie de trajet</w:t>
            </w:r>
          </w:p>
        </w:tc>
      </w:tr>
      <w:tr>
        <w:tc>
          <w:tcPr>
            <w:tcW w:type="pct" w:w="28%"/>
            <w:tcMar>
              <w:top w:type="dxa" w:w="80"/>
              <w:left w:type="dxa" w:w="100"/>
              <w:bottom w:type="dxa" w:w="80"/>
              <w:right w:type="dxa" w:w="100"/>
            </w:tcMar>
            <w:vAlign w:val="center"/>
          </w:tcPr>
          <w:p>
            <w:r>
              <w:rPr>
                <w:b w:val="false"/>
                <w:bCs w:val="false"/>
                <w:sz w:val="18"/>
                <w:szCs w:val="18"/>
              </w:rPr>
              <w:t xml:space="preserve">service-trk → service-exe</w:t>
            </w:r>
          </w:p>
        </w:tc>
        <w:tc>
          <w:tcPr>
            <w:tcW w:type="pct" w:w="16%"/>
            <w:tcMar>
              <w:top w:type="dxa" w:w="80"/>
              <w:left w:type="dxa" w:w="100"/>
              <w:bottom w:type="dxa" w:w="80"/>
              <w:right w:type="dxa" w:w="100"/>
            </w:tcMar>
            <w:vAlign w:val="center"/>
          </w:tcPr>
          <w:p>
            <w:r>
              <w:rPr>
                <w:b w:val="false"/>
                <w:bCs w:val="false"/>
                <w:sz w:val="18"/>
                <w:szCs w:val="18"/>
              </w:rPr>
              <w:t xml:space="preserve">Moteur → Mobile</w:t>
            </w:r>
          </w:p>
        </w:tc>
        <w:tc>
          <w:tcPr>
            <w:tcW w:type="pct" w:w="18%"/>
            <w:tcMar>
              <w:top w:type="dxa" w:w="80"/>
              <w:left w:type="dxa" w:w="100"/>
              <w:bottom w:type="dxa" w:w="80"/>
              <w:right w:type="dxa" w:w="100"/>
            </w:tcMar>
            <w:vAlign w:val="center"/>
          </w:tcPr>
          <w:p>
            <w:r>
              <w:rPr>
                <w:b w:val="false"/>
                <w:bCs w:val="false"/>
                <w:sz w:val="18"/>
                <w:szCs w:val="18"/>
              </w:rPr>
              <w:t xml:space="preserve">Asynchrone (bus)</w:t>
            </w:r>
          </w:p>
        </w:tc>
        <w:tc>
          <w:tcPr>
            <w:tcW w:type="pct" w:w="38%"/>
            <w:tcMar>
              <w:top w:type="dxa" w:w="80"/>
              <w:left w:type="dxa" w:w="100"/>
              <w:bottom w:type="dxa" w:w="80"/>
              <w:right w:type="dxa" w:w="100"/>
            </w:tcMar>
            <w:vAlign w:val="center"/>
          </w:tcPr>
          <w:p>
            <w:r>
              <w:rPr>
                <w:b w:val="false"/>
                <w:bCs w:val="false"/>
                <w:sz w:val="18"/>
                <w:szCs w:val="18"/>
              </w:rPr>
              <w:t xml:space="preserve">PositionETA — position et heure d'arrivée estimée pour l'écran de suivi</w:t>
            </w:r>
          </w:p>
        </w:tc>
      </w:tr>
    </w:tbl>
    <w:p>
      <w:pPr>
        <w:spacing w:after="120"/>
      </w:pPr>
    </w:p>
    <w:tbl>
      <w:tblPr>
        <w:tblW w:type="pct" w:w="100%"/>
        <w:tblBorders>
          <w:top w:val="single" w:color="D40F16" w:sz="4"/>
          <w:left w:val="single" w:color="D40F16" w:sz="4"/>
          <w:bottom w:val="single" w:color="D40F16" w:sz="4"/>
          <w:right w:val="single" w:color="D40F16"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D40F16"/>
                <w:sz w:val="20"/>
                <w:szCs w:val="20"/>
              </w:rPr>
              <w:t xml:space="preserve">Pourquoi cette exception synchrone est encadrée strictement</w:t>
            </w:r>
          </w:p>
          <w:p>
            <w:r>
              <w:rPr>
                <w:sz w:val="19"/>
                <w:szCs w:val="19"/>
              </w:rPr>
              <w:t xml:space="preserve">L'architecture impose par principe l'asynchrone entre domaines métier (§1.2 du CDC-adapté). L'exception MAT↔OPT↔GEO↔TRK n'est acceptée que parce que les quatre services partagent le même porteur, donc le même contexte de déploiement et de test — un changement de contrat entre ces services ne peut pas surprendre une autre personne. Dès qu'un de ces flux traverse la frontière vers Mobile ou Web, il repasse en asynchrone sans exception.</w:t>
            </w:r>
          </w:p>
        </w:tc>
      </w:tr>
    </w:tbl>
    <w:p>
      <w:pPr>
        <w:pStyle w:val="Heading2"/>
        <w:spacing w:after="140" w:before="260"/>
      </w:pPr>
      <w:r>
        <w:rPr>
          <w:b/>
          <w:bCs/>
          <w:color w:val="8A0F13"/>
          <w:sz w:val="24"/>
          <w:szCs w:val="24"/>
        </w:rPr>
        <w:t xml:space="preserve">4.3 Communication inter-services</w:t>
      </w:r>
    </w:p>
    <w:p>
      <w:pPr>
        <w:pStyle w:val="ListParagraph"/>
        <w:numPr>
          <w:ilvl w:val="0"/>
          <w:numId w:val="1"/>
        </w:numPr>
        <w:spacing w:after="80"/>
      </w:pPr>
      <w:r>
        <w:rPr>
          <w:sz w:val="20"/>
          <w:szCs w:val="20"/>
        </w:rPr>
        <w:t xml:space="preserve">Synchrone (REST, via la passerelle) pour toute consultation initiée par un client : un client interroge un service, qui peut lui-même interroger un autre service en synchrone si la réponse est nécessaire immédiatement et que les deux services partagent le même porteur (cf. §4.2).</w:t>
      </w:r>
    </w:p>
    <w:p>
      <w:pPr>
        <w:pStyle w:val="ListParagraph"/>
        <w:numPr>
          <w:ilvl w:val="0"/>
          <w:numId w:val="1"/>
        </w:numPr>
        <w:spacing w:after="80"/>
      </w:pPr>
      <w:r>
        <w:rPr>
          <w:sz w:val="20"/>
          <w:szCs w:val="20"/>
        </w:rPr>
        <w:t xml:space="preserve">Asynchrone (événements Kafka) pour toute propagation d'état entre services de porteurs différents : une capacité déclarée publie CapaciteDeclaree, consommé par service-mat/service-opt pour déclencher un cycle de matching ; une mission close publie MissionCloturee, consommé par service-pay pour initier le mouvement en grand livre miroir.</w:t>
      </w:r>
    </w:p>
    <w:p>
      <w:pPr>
        <w:pStyle w:val="ListParagraph"/>
        <w:numPr>
          <w:ilvl w:val="0"/>
          <w:numId w:val="1"/>
        </w:numPr>
        <w:spacing w:after="80"/>
      </w:pPr>
      <w:r>
        <w:rPr>
          <w:sz w:val="20"/>
          <w:szCs w:val="20"/>
        </w:rPr>
        <w:t xml:space="preserve">Saga chorégraphiée pour les transactions qui traversent plusieurs porteurs (ex. acceptation d'une proposition = réservation de capacité + création de mission + initiation de paiement) : chaque service réagit aux événements des autres et publie ses propres événements de compensation en cas d'échec, sans transaction distribuée classique (2PC), conformément à ENF-FIN-02 (aucun reversement sans encaissement enregistré).</w:t>
      </w:r>
    </w:p>
    <w:p>
      <w:pPr>
        <w:pStyle w:val="ListParagraph"/>
        <w:numPr>
          <w:ilvl w:val="0"/>
          <w:numId w:val="1"/>
        </w:numPr>
        <w:spacing w:after="80"/>
      </w:pPr>
      <w:r>
        <w:rPr>
          <w:sz w:val="20"/>
          <w:szCs w:val="20"/>
        </w:rPr>
        <w:t xml:space="preserve">Idempotence systématique : chaque événement et chaque appel de mutation REST porte une clé d'idempotence, condition du principe hors ligne d'abord côté mobile et de ENF-SEC-03 côté intégrations externes.</w:t>
      </w:r>
    </w:p>
    <w:p>
      <w:r>
        <w:br w:type="page"/>
      </w:r>
    </w:p>
    <w:p>
      <w:pPr>
        <w:pStyle w:val="Heading1"/>
        <w:spacing w:after="180" w:before="360"/>
      </w:pPr>
      <w:r>
        <w:rPr>
          <w:b/>
          <w:bCs/>
          <w:color w:val="D40F16"/>
          <w:sz w:val="30"/>
          <w:szCs w:val="30"/>
        </w:rPr>
        <w:t xml:space="preserve">5. Modules fonctionnels par phase</w:t>
      </w:r>
    </w:p>
    <w:p>
      <w:pPr>
        <w:spacing w:after="160"/>
      </w:pPr>
      <w:r>
        <w:rPr>
          <w:sz w:val="20"/>
          <w:szCs w:val="20"/>
        </w:rPr>
        <w:t xml:space="preserve">Les 13 modules du CDC v4 (§6.2) sont répartis selon le phasage du §16 du CDC. Les exigences MoSCoW (M = Must, S = Should) reprennent celles du §9 du CDC — elles ne sont pas réinventées.</w:t>
      </w:r>
    </w:p>
    <w:tbl>
      <w:tblPr>
        <w:tblW w:type="pct" w:w="100%"/>
        <w:tblBorders>
          <w:top w:val="single" w:color="D40F16" w:sz="4"/>
          <w:left w:val="single" w:color="D40F16" w:sz="4"/>
          <w:bottom w:val="single" w:color="D40F16" w:sz="4"/>
          <w:right w:val="single" w:color="D40F16"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D40F16"/>
                <w:sz w:val="20"/>
                <w:szCs w:val="20"/>
              </w:rPr>
              <w:t xml:space="preserve">Rappel — rien ne démarre avant la Phase 0</w:t>
            </w:r>
          </w:p>
          <w:p>
            <w:r>
              <w:rPr>
                <w:sz w:val="19"/>
                <w:szCs w:val="19"/>
              </w:rPr>
              <w:t xml:space="preserve">Aucun développement de plateforme avant la levée des verrous V1 (lettre d'intention BGFT) et V2 (lettre d'intention prestataire de paiement agréé). Voir §9 de ce document pour le détail des cinq verrous. Ce plan décrit ce qui sera construit une fois ces verrous levés.</w:t>
            </w:r>
          </w:p>
        </w:tc>
      </w:tr>
    </w:tbl>
    <w:p>
      <w:pPr>
        <w:spacing w:after="120"/>
      </w:pPr>
    </w:p>
    <w:p>
      <w:pPr>
        <w:pStyle w:val="Heading2"/>
        <w:spacing w:after="140" w:before="260"/>
      </w:pPr>
      <w:r>
        <w:rPr>
          <w:b/>
          <w:bCs/>
          <w:color w:val="8A0F13"/>
          <w:sz w:val="24"/>
          <w:szCs w:val="24"/>
        </w:rPr>
        <w:t xml:space="preserve">5.1 Phase 1 — MVP sur un axe (modules prioritaires)</w:t>
      </w:r>
    </w:p>
    <w:tbl>
      <w:tblPr>
        <w:tblW w:type="pct" w:w="100%"/>
        <w:tblBorders>
          <w:top w:val="single" w:color="1E8449" w:sz="4"/>
          <w:left w:val="single" w:color="1E8449" w:sz="4"/>
          <w:bottom w:val="single" w:color="1E8449" w:sz="4"/>
          <w:right w:val="single" w:color="1E8449"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1E8449"/>
                <w:sz w:val="20"/>
                <w:szCs w:val="20"/>
              </w:rPr>
              <w:t xml:space="preserve">🟢 Objectif MVP</w:t>
            </w:r>
          </w:p>
          <w:p>
            <w:r>
              <w:rPr>
                <w:sz w:val="19"/>
                <w:szCs w:val="19"/>
              </w:rPr>
              <w:t xml:space="preserve">Une marketplace fonctionnelle sur un seul axe (Douala–Yaoundé ou équivalent, selon la cartographie sécuritaire V5) couvrant FTL et colis (le groupage LTL complet arrive en Phase 2), avec KYC gradué, publication/matching V0, suivi, preuves, paiement orchestré et portail bureau. Critère de sortie : densité perçue par le chargeur, pas le nombre d'inscrits (§16 du CDC).</w:t>
            </w:r>
          </w:p>
        </w:tc>
      </w:tr>
    </w:tbl>
    <w:p>
      <w:pPr>
        <w:pStyle w:val="Heading3"/>
        <w:spacing w:after="100" w:before="200"/>
      </w:pPr>
      <w:r>
        <w:rPr>
          <w:b/>
          <w:bCs/>
          <w:color w:val="2B2B2B"/>
          <w:sz w:val="21"/>
          <w:szCs w:val="21"/>
        </w:rPr>
        <w:t xml:space="preserve">Module IDA — Identité, KYC et conformité</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440"/>
        <w:gridCol w:w="6120"/>
        <w:gridCol w:w="1440"/>
      </w:tblGrid>
      <w:tr>
        <w:trPr>
          <w:tblHeader/>
        </w:trPr>
        <w:tc>
          <w:tcPr>
            <w:tcW w:type="pct" w:w="16%"/>
            <w:shd w:fill="2B2B2B" w:val="clear"/>
            <w:tcMar>
              <w:top w:type="dxa" w:w="80"/>
              <w:left w:type="dxa" w:w="100"/>
              <w:bottom w:type="dxa" w:w="80"/>
              <w:right w:type="dxa" w:w="100"/>
            </w:tcMar>
            <w:vAlign w:val="center"/>
          </w:tcPr>
          <w:p>
            <w:r>
              <w:rPr>
                <w:b/>
                <w:bCs/>
                <w:color w:val="FFFFFF"/>
                <w:sz w:val="18"/>
                <w:szCs w:val="18"/>
              </w:rPr>
              <w:t xml:space="preserve">Réf.</w:t>
            </w:r>
          </w:p>
        </w:tc>
        <w:tc>
          <w:tcPr>
            <w:tcW w:type="pct" w:w="68%"/>
            <w:shd w:fill="2B2B2B" w:val="clear"/>
            <w:tcMar>
              <w:top w:type="dxa" w:w="80"/>
              <w:left w:type="dxa" w:w="100"/>
              <w:bottom w:type="dxa" w:w="80"/>
              <w:right w:type="dxa" w:w="100"/>
            </w:tcMar>
            <w:vAlign w:val="center"/>
          </w:tcPr>
          <w:p>
            <w:r>
              <w:rPr>
                <w:b/>
                <w:bCs/>
                <w:color w:val="FFFFFF"/>
                <w:sz w:val="18"/>
                <w:szCs w:val="18"/>
              </w:rPr>
              <w:t xml:space="preserve">Exigence (résumé)</w:t>
            </w:r>
          </w:p>
        </w:tc>
        <w:tc>
          <w:tcPr>
            <w:tcW w:type="pct" w:w="16%"/>
            <w:shd w:fill="2B2B2B" w:val="clear"/>
            <w:tcMar>
              <w:top w:type="dxa" w:w="80"/>
              <w:left w:type="dxa" w:w="100"/>
              <w:bottom w:type="dxa" w:w="80"/>
              <w:right w:type="dxa" w:w="100"/>
            </w:tcMar>
            <w:vAlign w:val="center"/>
          </w:tcPr>
          <w:p>
            <w:r>
              <w:rPr>
                <w:b/>
                <w:bCs/>
                <w:color w:val="FFFFFF"/>
                <w:sz w:val="18"/>
                <w:szCs w:val="18"/>
              </w:rPr>
              <w:t xml:space="preserve">Priorité</w:t>
            </w:r>
          </w:p>
        </w:tc>
      </w:tr>
      <w:tr>
        <w:tc>
          <w:tcPr>
            <w:tcW w:type="pct" w:w="16%"/>
            <w:tcMar>
              <w:top w:type="dxa" w:w="80"/>
              <w:left w:type="dxa" w:w="100"/>
              <w:bottom w:type="dxa" w:w="80"/>
              <w:right w:type="dxa" w:w="100"/>
            </w:tcMar>
            <w:vAlign w:val="center"/>
          </w:tcPr>
          <w:p>
            <w:r>
              <w:rPr>
                <w:b w:val="false"/>
                <w:bCs w:val="false"/>
                <w:sz w:val="18"/>
                <w:szCs w:val="18"/>
              </w:rPr>
              <w:t xml:space="preserve">EF-IDA-01/02</w:t>
            </w:r>
          </w:p>
        </w:tc>
        <w:tc>
          <w:tcPr>
            <w:tcW w:type="pct" w:w="68%"/>
            <w:tcMar>
              <w:top w:type="dxa" w:w="80"/>
              <w:left w:type="dxa" w:w="100"/>
              <w:bottom w:type="dxa" w:w="80"/>
              <w:right w:type="dxa" w:w="100"/>
            </w:tcMar>
            <w:vAlign w:val="center"/>
          </w:tcPr>
          <w:p>
            <w:r>
              <w:rPr>
                <w:b w:val="false"/>
                <w:bCs w:val="false"/>
                <w:sz w:val="18"/>
                <w:szCs w:val="18"/>
              </w:rPr>
              <w:t xml:space="preserve">Inscription par téléphone + code, KYC gradué à 3 niveaux</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EF-IDA-03/04</w:t>
            </w:r>
          </w:p>
        </w:tc>
        <w:tc>
          <w:tcPr>
            <w:tcW w:type="pct" w:w="68%"/>
            <w:shd w:fill="F5F5F5" w:val="clear"/>
            <w:tcMar>
              <w:top w:type="dxa" w:w="80"/>
              <w:left w:type="dxa" w:w="100"/>
              <w:bottom w:type="dxa" w:w="80"/>
              <w:right w:type="dxa" w:w="100"/>
            </w:tcMar>
            <w:vAlign w:val="center"/>
          </w:tcPr>
          <w:p>
            <w:r>
              <w:rPr>
                <w:b w:val="false"/>
                <w:bCs w:val="false"/>
                <w:sz w:val="18"/>
                <w:szCs w:val="18"/>
              </w:rPr>
              <w:t xml:space="preserve">Dépôt et vérification de pièces, référentiel documentaire par pays/acteur</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w:t>
            </w:r>
          </w:p>
        </w:tc>
      </w:tr>
      <w:tr>
        <w:tc>
          <w:tcPr>
            <w:tcW w:type="pct" w:w="16%"/>
            <w:tcMar>
              <w:top w:type="dxa" w:w="80"/>
              <w:left w:type="dxa" w:w="100"/>
              <w:bottom w:type="dxa" w:w="80"/>
              <w:right w:type="dxa" w:w="100"/>
            </w:tcMar>
            <w:vAlign w:val="center"/>
          </w:tcPr>
          <w:p>
            <w:r>
              <w:rPr>
                <w:b w:val="false"/>
                <w:bCs w:val="false"/>
                <w:sz w:val="18"/>
                <w:szCs w:val="18"/>
              </w:rPr>
              <w:t xml:space="preserve">EF-IDA-06</w:t>
            </w:r>
          </w:p>
        </w:tc>
        <w:tc>
          <w:tcPr>
            <w:tcW w:type="pct" w:w="68%"/>
            <w:tcMar>
              <w:top w:type="dxa" w:w="80"/>
              <w:left w:type="dxa" w:w="100"/>
              <w:bottom w:type="dxa" w:w="80"/>
              <w:right w:type="dxa" w:w="100"/>
            </w:tcMar>
            <w:vAlign w:val="center"/>
          </w:tcPr>
          <w:p>
            <w:r>
              <w:rPr>
                <w:b w:val="false"/>
                <w:bCs w:val="false"/>
                <w:sz w:val="18"/>
                <w:szCs w:val="18"/>
              </w:rPr>
              <w:t xml:space="preserve">Enrôlement assisté par agent (mode intégré à l'app Chauffeur/Transporteur)</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EF-IDA-07/08</w:t>
            </w:r>
          </w:p>
        </w:tc>
        <w:tc>
          <w:tcPr>
            <w:tcW w:type="pct" w:w="68%"/>
            <w:shd w:fill="F5F5F5" w:val="clear"/>
            <w:tcMar>
              <w:top w:type="dxa" w:w="80"/>
              <w:left w:type="dxa" w:w="100"/>
              <w:bottom w:type="dxa" w:w="80"/>
              <w:right w:type="dxa" w:w="100"/>
            </w:tcMar>
            <w:vAlign w:val="center"/>
          </w:tcPr>
          <w:p>
            <w:r>
              <w:rPr>
                <w:b w:val="false"/>
                <w:bCs w:val="false"/>
                <w:sz w:val="18"/>
                <w:szCs w:val="18"/>
              </w:rPr>
              <w:t xml:space="preserve">Indice de conformité contestable, RBAC par rôle/module/tenant/périmètre</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w:t>
            </w:r>
          </w:p>
        </w:tc>
      </w:tr>
      <w:tr>
        <w:tc>
          <w:tcPr>
            <w:tcW w:type="pct" w:w="16%"/>
            <w:tcMar>
              <w:top w:type="dxa" w:w="80"/>
              <w:left w:type="dxa" w:w="100"/>
              <w:bottom w:type="dxa" w:w="80"/>
              <w:right w:type="dxa" w:w="100"/>
            </w:tcMar>
            <w:vAlign w:val="center"/>
          </w:tcPr>
          <w:p>
            <w:r>
              <w:rPr>
                <w:b w:val="false"/>
                <w:bCs w:val="false"/>
                <w:sz w:val="18"/>
                <w:szCs w:val="18"/>
              </w:rPr>
              <w:t xml:space="preserve">EF-IDA-09/10</w:t>
            </w:r>
          </w:p>
        </w:tc>
        <w:tc>
          <w:tcPr>
            <w:tcW w:type="pct" w:w="68%"/>
            <w:tcMar>
              <w:top w:type="dxa" w:w="80"/>
              <w:left w:type="dxa" w:w="100"/>
              <w:bottom w:type="dxa" w:w="80"/>
              <w:right w:type="dxa" w:w="100"/>
            </w:tcMar>
            <w:vAlign w:val="center"/>
          </w:tcPr>
          <w:p>
            <w:r>
              <w:rPr>
                <w:b w:val="false"/>
                <w:bCs w:val="false"/>
                <w:sz w:val="18"/>
                <w:szCs w:val="18"/>
              </w:rPr>
              <w:t xml:space="preserve">Journal d'audit des consentements, export/suppression sur demande</w:t>
            </w:r>
          </w:p>
        </w:tc>
        <w:tc>
          <w:tcPr>
            <w:tcW w:type="pct" w:w="16%"/>
            <w:tcMar>
              <w:top w:type="dxa" w:w="80"/>
              <w:left w:type="dxa" w:w="100"/>
              <w:bottom w:type="dxa" w:w="80"/>
              <w:right w:type="dxa" w:w="100"/>
            </w:tcMar>
            <w:vAlign w:val="center"/>
          </w:tcPr>
          <w:p>
            <w:r>
              <w:rPr>
                <w:b w:val="false"/>
                <w:bCs w:val="false"/>
                <w:sz w:val="18"/>
                <w:szCs w:val="18"/>
              </w:rPr>
              <w:t xml:space="preserve">M</w:t>
            </w:r>
          </w:p>
        </w:tc>
      </w:tr>
    </w:tbl>
    <w:p>
      <w:pPr>
        <w:pStyle w:val="Heading3"/>
        <w:spacing w:after="100" w:before="200"/>
      </w:pPr>
      <w:r>
        <w:rPr>
          <w:b/>
          <w:bCs/>
          <w:color w:val="2B2B2B"/>
          <w:sz w:val="21"/>
          <w:szCs w:val="21"/>
        </w:rPr>
        <w:t xml:space="preserve">Module CAP — Capacité et offre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440"/>
        <w:gridCol w:w="6120"/>
        <w:gridCol w:w="1440"/>
      </w:tblGrid>
      <w:tr>
        <w:trPr>
          <w:tblHeader/>
        </w:trPr>
        <w:tc>
          <w:tcPr>
            <w:tcW w:type="pct" w:w="16%"/>
            <w:shd w:fill="2B2B2B" w:val="clear"/>
            <w:tcMar>
              <w:top w:type="dxa" w:w="80"/>
              <w:left w:type="dxa" w:w="100"/>
              <w:bottom w:type="dxa" w:w="80"/>
              <w:right w:type="dxa" w:w="100"/>
            </w:tcMar>
            <w:vAlign w:val="center"/>
          </w:tcPr>
          <w:p>
            <w:r>
              <w:rPr>
                <w:b/>
                <w:bCs/>
                <w:color w:val="FFFFFF"/>
                <w:sz w:val="18"/>
                <w:szCs w:val="18"/>
              </w:rPr>
              <w:t xml:space="preserve">Réf.</w:t>
            </w:r>
          </w:p>
        </w:tc>
        <w:tc>
          <w:tcPr>
            <w:tcW w:type="pct" w:w="68%"/>
            <w:shd w:fill="2B2B2B" w:val="clear"/>
            <w:tcMar>
              <w:top w:type="dxa" w:w="80"/>
              <w:left w:type="dxa" w:w="100"/>
              <w:bottom w:type="dxa" w:w="80"/>
              <w:right w:type="dxa" w:w="100"/>
            </w:tcMar>
            <w:vAlign w:val="center"/>
          </w:tcPr>
          <w:p>
            <w:r>
              <w:rPr>
                <w:b/>
                <w:bCs/>
                <w:color w:val="FFFFFF"/>
                <w:sz w:val="18"/>
                <w:szCs w:val="18"/>
              </w:rPr>
              <w:t xml:space="preserve">Exigence (résumé)</w:t>
            </w:r>
          </w:p>
        </w:tc>
        <w:tc>
          <w:tcPr>
            <w:tcW w:type="pct" w:w="16%"/>
            <w:shd w:fill="2B2B2B" w:val="clear"/>
            <w:tcMar>
              <w:top w:type="dxa" w:w="80"/>
              <w:left w:type="dxa" w:w="100"/>
              <w:bottom w:type="dxa" w:w="80"/>
              <w:right w:type="dxa" w:w="100"/>
            </w:tcMar>
            <w:vAlign w:val="center"/>
          </w:tcPr>
          <w:p>
            <w:r>
              <w:rPr>
                <w:b/>
                <w:bCs/>
                <w:color w:val="FFFFFF"/>
                <w:sz w:val="18"/>
                <w:szCs w:val="18"/>
              </w:rPr>
              <w:t xml:space="preserve">Priorité</w:t>
            </w:r>
          </w:p>
        </w:tc>
      </w:tr>
      <w:tr>
        <w:tc>
          <w:tcPr>
            <w:tcW w:type="pct" w:w="16%"/>
            <w:tcMar>
              <w:top w:type="dxa" w:w="80"/>
              <w:left w:type="dxa" w:w="100"/>
              <w:bottom w:type="dxa" w:w="80"/>
              <w:right w:type="dxa" w:w="100"/>
            </w:tcMar>
            <w:vAlign w:val="center"/>
          </w:tcPr>
          <w:p>
            <w:r>
              <w:rPr>
                <w:b w:val="false"/>
                <w:bCs w:val="false"/>
                <w:sz w:val="18"/>
                <w:szCs w:val="18"/>
              </w:rPr>
              <w:t xml:space="preserve">EF-CAP-01/02</w:t>
            </w:r>
          </w:p>
        </w:tc>
        <w:tc>
          <w:tcPr>
            <w:tcW w:type="pct" w:w="68%"/>
            <w:tcMar>
              <w:top w:type="dxa" w:w="80"/>
              <w:left w:type="dxa" w:w="100"/>
              <w:bottom w:type="dxa" w:w="80"/>
              <w:right w:type="dxa" w:w="100"/>
            </w:tcMar>
            <w:vAlign w:val="center"/>
          </w:tcPr>
          <w:p>
            <w:r>
              <w:rPr>
                <w:b w:val="false"/>
                <w:bCs w:val="false"/>
                <w:sz w:val="18"/>
                <w:szCs w:val="18"/>
              </w:rPr>
              <w:t xml:space="preserve">Déclaration poids/volume/longueur de plancher, poids taxable (règle du maximum)</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EF-CAP-03</w:t>
            </w:r>
          </w:p>
        </w:tc>
        <w:tc>
          <w:tcPr>
            <w:tcW w:type="pct" w:w="68%"/>
            <w:shd w:fill="F5F5F5" w:val="clear"/>
            <w:tcMar>
              <w:top w:type="dxa" w:w="80"/>
              <w:left w:type="dxa" w:w="100"/>
              <w:bottom w:type="dxa" w:w="80"/>
              <w:right w:type="dxa" w:w="100"/>
            </w:tcMar>
            <w:vAlign w:val="center"/>
          </w:tcPr>
          <w:p>
            <w:r>
              <w:rPr>
                <w:b w:val="false"/>
                <w:bCs w:val="false"/>
                <w:sz w:val="18"/>
                <w:szCs w:val="18"/>
              </w:rPr>
              <w:t xml:space="preserve">Trois modes de déclaration : totale, fractionnaire assistée, précise</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w:t>
            </w:r>
          </w:p>
        </w:tc>
      </w:tr>
      <w:tr>
        <w:tc>
          <w:tcPr>
            <w:tcW w:type="pct" w:w="16%"/>
            <w:tcMar>
              <w:top w:type="dxa" w:w="80"/>
              <w:left w:type="dxa" w:w="100"/>
              <w:bottom w:type="dxa" w:w="80"/>
              <w:right w:type="dxa" w:w="100"/>
            </w:tcMar>
            <w:vAlign w:val="center"/>
          </w:tcPr>
          <w:p>
            <w:r>
              <w:rPr>
                <w:b w:val="false"/>
                <w:bCs w:val="false"/>
                <w:sz w:val="18"/>
                <w:szCs w:val="18"/>
              </w:rPr>
              <w:t xml:space="preserve">EF-CAP-05</w:t>
            </w:r>
          </w:p>
        </w:tc>
        <w:tc>
          <w:tcPr>
            <w:tcW w:type="pct" w:w="68%"/>
            <w:tcMar>
              <w:top w:type="dxa" w:w="80"/>
              <w:left w:type="dxa" w:w="100"/>
              <w:bottom w:type="dxa" w:w="80"/>
              <w:right w:type="dxa" w:w="100"/>
            </w:tcMar>
            <w:vAlign w:val="center"/>
          </w:tcPr>
          <w:p>
            <w:r>
              <w:rPr>
                <w:b w:val="false"/>
                <w:bCs w:val="false"/>
                <w:sz w:val="18"/>
                <w:szCs w:val="18"/>
              </w:rPr>
              <w:t xml:space="preserve">Déclaration par USSD, SMS, messagerie instantanée</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EF-CAP-07/08</w:t>
            </w:r>
          </w:p>
        </w:tc>
        <w:tc>
          <w:tcPr>
            <w:tcW w:type="pct" w:w="68%"/>
            <w:shd w:fill="F5F5F5" w:val="clear"/>
            <w:tcMar>
              <w:top w:type="dxa" w:w="80"/>
              <w:left w:type="dxa" w:w="100"/>
              <w:bottom w:type="dxa" w:w="80"/>
              <w:right w:type="dxa" w:w="100"/>
            </w:tcMar>
            <w:vAlign w:val="center"/>
          </w:tcPr>
          <w:p>
            <w:r>
              <w:rPr>
                <w:b w:val="false"/>
                <w:bCs w:val="false"/>
                <w:sz w:val="18"/>
                <w:szCs w:val="18"/>
              </w:rPr>
              <w:t xml:space="preserve">Décrément atomique et idempotent, expiration automatique à l'heure de départ</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w:t>
            </w:r>
          </w:p>
        </w:tc>
      </w:tr>
    </w:tbl>
    <w:p>
      <w:pPr>
        <w:pStyle w:val="Heading3"/>
        <w:spacing w:after="100" w:before="200"/>
      </w:pPr>
      <w:r>
        <w:rPr>
          <w:b/>
          <w:bCs/>
          <w:color w:val="2B2B2B"/>
          <w:sz w:val="21"/>
          <w:szCs w:val="21"/>
        </w:rPr>
        <w:t xml:space="preserve">Module MKT — Marketplace et demande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440"/>
        <w:gridCol w:w="6120"/>
        <w:gridCol w:w="1440"/>
      </w:tblGrid>
      <w:tr>
        <w:trPr>
          <w:tblHeader/>
        </w:trPr>
        <w:tc>
          <w:tcPr>
            <w:tcW w:type="pct" w:w="16%"/>
            <w:shd w:fill="2B2B2B" w:val="clear"/>
            <w:tcMar>
              <w:top w:type="dxa" w:w="80"/>
              <w:left w:type="dxa" w:w="100"/>
              <w:bottom w:type="dxa" w:w="80"/>
              <w:right w:type="dxa" w:w="100"/>
            </w:tcMar>
            <w:vAlign w:val="center"/>
          </w:tcPr>
          <w:p>
            <w:r>
              <w:rPr>
                <w:b/>
                <w:bCs/>
                <w:color w:val="FFFFFF"/>
                <w:sz w:val="18"/>
                <w:szCs w:val="18"/>
              </w:rPr>
              <w:t xml:space="preserve">Réf.</w:t>
            </w:r>
          </w:p>
        </w:tc>
        <w:tc>
          <w:tcPr>
            <w:tcW w:type="pct" w:w="68%"/>
            <w:shd w:fill="2B2B2B" w:val="clear"/>
            <w:tcMar>
              <w:top w:type="dxa" w:w="80"/>
              <w:left w:type="dxa" w:w="100"/>
              <w:bottom w:type="dxa" w:w="80"/>
              <w:right w:type="dxa" w:w="100"/>
            </w:tcMar>
            <w:vAlign w:val="center"/>
          </w:tcPr>
          <w:p>
            <w:r>
              <w:rPr>
                <w:b/>
                <w:bCs/>
                <w:color w:val="FFFFFF"/>
                <w:sz w:val="18"/>
                <w:szCs w:val="18"/>
              </w:rPr>
              <w:t xml:space="preserve">Exigence (résumé)</w:t>
            </w:r>
          </w:p>
        </w:tc>
        <w:tc>
          <w:tcPr>
            <w:tcW w:type="pct" w:w="16%"/>
            <w:shd w:fill="2B2B2B" w:val="clear"/>
            <w:tcMar>
              <w:top w:type="dxa" w:w="80"/>
              <w:left w:type="dxa" w:w="100"/>
              <w:bottom w:type="dxa" w:w="80"/>
              <w:right w:type="dxa" w:w="100"/>
            </w:tcMar>
            <w:vAlign w:val="center"/>
          </w:tcPr>
          <w:p>
            <w:r>
              <w:rPr>
                <w:b/>
                <w:bCs/>
                <w:color w:val="FFFFFF"/>
                <w:sz w:val="18"/>
                <w:szCs w:val="18"/>
              </w:rPr>
              <w:t xml:space="preserve">Priorité</w:t>
            </w:r>
          </w:p>
        </w:tc>
      </w:tr>
      <w:tr>
        <w:tc>
          <w:tcPr>
            <w:tcW w:type="pct" w:w="16%"/>
            <w:tcMar>
              <w:top w:type="dxa" w:w="80"/>
              <w:left w:type="dxa" w:w="100"/>
              <w:bottom w:type="dxa" w:w="80"/>
              <w:right w:type="dxa" w:w="100"/>
            </w:tcMar>
            <w:vAlign w:val="center"/>
          </w:tcPr>
          <w:p>
            <w:r>
              <w:rPr>
                <w:b w:val="false"/>
                <w:bCs w:val="false"/>
                <w:sz w:val="18"/>
                <w:szCs w:val="18"/>
              </w:rPr>
              <w:t xml:space="preserve">EF-MKT-01/02</w:t>
            </w:r>
          </w:p>
        </w:tc>
        <w:tc>
          <w:tcPr>
            <w:tcW w:type="pct" w:w="68%"/>
            <w:tcMar>
              <w:top w:type="dxa" w:w="80"/>
              <w:left w:type="dxa" w:w="100"/>
              <w:bottom w:type="dxa" w:w="80"/>
              <w:right w:type="dxa" w:w="100"/>
            </w:tcMar>
            <w:vAlign w:val="center"/>
          </w:tcPr>
          <w:p>
            <w:r>
              <w:rPr>
                <w:b w:val="false"/>
                <w:bCs w:val="false"/>
                <w:sz w:val="18"/>
                <w:szCs w:val="18"/>
              </w:rPr>
              <w:t xml:space="preserve">Marketplace publique sans authentification, publication &lt; 90 s</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EF-MKT-03/04</w:t>
            </w:r>
          </w:p>
        </w:tc>
        <w:tc>
          <w:tcPr>
            <w:tcW w:type="pct" w:w="68%"/>
            <w:shd w:fill="F5F5F5" w:val="clear"/>
            <w:tcMar>
              <w:top w:type="dxa" w:w="80"/>
              <w:left w:type="dxa" w:w="100"/>
              <w:bottom w:type="dxa" w:w="80"/>
              <w:right w:type="dxa" w:w="100"/>
            </w:tcMar>
            <w:vAlign w:val="center"/>
          </w:tcPr>
          <w:p>
            <w:r>
              <w:rPr>
                <w:b w:val="false"/>
                <w:bCs w:val="false"/>
                <w:sz w:val="18"/>
                <w:szCs w:val="18"/>
              </w:rPr>
              <w:t xml:space="preserve">Catalogue visuel d'emballages, calcul automatique poids/volume/poids taxable</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w:t>
            </w:r>
          </w:p>
        </w:tc>
      </w:tr>
      <w:tr>
        <w:tc>
          <w:tcPr>
            <w:tcW w:type="pct" w:w="16%"/>
            <w:tcMar>
              <w:top w:type="dxa" w:w="80"/>
              <w:left w:type="dxa" w:w="100"/>
              <w:bottom w:type="dxa" w:w="80"/>
              <w:right w:type="dxa" w:w="100"/>
            </w:tcMar>
            <w:vAlign w:val="center"/>
          </w:tcPr>
          <w:p>
            <w:r>
              <w:rPr>
                <w:b w:val="false"/>
                <w:bCs w:val="false"/>
                <w:sz w:val="18"/>
                <w:szCs w:val="18"/>
              </w:rPr>
              <w:t xml:space="preserve">EF-MKT-06/07</w:t>
            </w:r>
          </w:p>
        </w:tc>
        <w:tc>
          <w:tcPr>
            <w:tcW w:type="pct" w:w="68%"/>
            <w:tcMar>
              <w:top w:type="dxa" w:w="80"/>
              <w:left w:type="dxa" w:w="100"/>
              <w:bottom w:type="dxa" w:w="80"/>
              <w:right w:type="dxa" w:w="100"/>
            </w:tcMar>
            <w:vAlign w:val="center"/>
          </w:tcPr>
          <w:p>
            <w:r>
              <w:rPr>
                <w:b w:val="false"/>
                <w:bCs w:val="false"/>
                <w:sz w:val="18"/>
                <w:szCs w:val="18"/>
              </w:rPr>
              <w:t xml:space="preserve">Estimation de prix en fourchette, au plus 3 propositions ordonnées et motivées</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EF-MKT-08</w:t>
            </w:r>
          </w:p>
        </w:tc>
        <w:tc>
          <w:tcPr>
            <w:tcW w:type="pct" w:w="68%"/>
            <w:shd w:fill="F5F5F5" w:val="clear"/>
            <w:tcMar>
              <w:top w:type="dxa" w:w="80"/>
              <w:left w:type="dxa" w:w="100"/>
              <w:bottom w:type="dxa" w:w="80"/>
              <w:right w:type="dxa" w:w="100"/>
            </w:tcMar>
            <w:vAlign w:val="center"/>
          </w:tcPr>
          <w:p>
            <w:r>
              <w:rPr>
                <w:b w:val="false"/>
                <w:bCs w:val="false"/>
                <w:sz w:val="18"/>
                <w:szCs w:val="18"/>
              </w:rPr>
              <w:t xml:space="preserve">Acceptation, réservation atomique de capacité, enclenchement du paiement</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w:t>
            </w:r>
          </w:p>
        </w:tc>
      </w:tr>
      <w:tr>
        <w:tc>
          <w:tcPr>
            <w:tcW w:type="pct" w:w="16%"/>
            <w:tcMar>
              <w:top w:type="dxa" w:w="80"/>
              <w:left w:type="dxa" w:w="100"/>
              <w:bottom w:type="dxa" w:w="80"/>
              <w:right w:type="dxa" w:w="100"/>
            </w:tcMar>
            <w:vAlign w:val="center"/>
          </w:tcPr>
          <w:p>
            <w:r>
              <w:rPr>
                <w:b w:val="false"/>
                <w:bCs w:val="false"/>
                <w:sz w:val="18"/>
                <w:szCs w:val="18"/>
              </w:rPr>
              <w:t xml:space="preserve">EF-MKT-10</w:t>
            </w:r>
          </w:p>
        </w:tc>
        <w:tc>
          <w:tcPr>
            <w:tcW w:type="pct" w:w="68%"/>
            <w:tcMar>
              <w:top w:type="dxa" w:w="80"/>
              <w:left w:type="dxa" w:w="100"/>
              <w:bottom w:type="dxa" w:w="80"/>
              <w:right w:type="dxa" w:w="100"/>
            </w:tcMar>
            <w:vAlign w:val="center"/>
          </w:tcPr>
          <w:p>
            <w:r>
              <w:rPr>
                <w:b w:val="false"/>
                <w:bCs w:val="false"/>
                <w:sz w:val="18"/>
                <w:szCs w:val="18"/>
              </w:rPr>
              <w:t xml:space="preserve">Parcours marchandises dangereuses (restriction transporteurs, anti-groupage incompatible)</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EF-MKT-09/11</w:t>
            </w:r>
          </w:p>
        </w:tc>
        <w:tc>
          <w:tcPr>
            <w:tcW w:type="pct" w:w="68%"/>
            <w:shd w:fill="F5F5F5" w:val="clear"/>
            <w:tcMar>
              <w:top w:type="dxa" w:w="80"/>
              <w:left w:type="dxa" w:w="100"/>
              <w:bottom w:type="dxa" w:w="80"/>
              <w:right w:type="dxa" w:w="100"/>
            </w:tcMar>
            <w:vAlign w:val="center"/>
          </w:tcPr>
          <w:p>
            <w:r>
              <w:rPr>
                <w:b w:val="false"/>
                <w:bCs w:val="false"/>
                <w:sz w:val="18"/>
                <w:szCs w:val="18"/>
              </w:rPr>
              <w:t xml:space="preserve">Publication en lot (entreprise), republication en une interaction</w:t>
            </w:r>
          </w:p>
        </w:tc>
        <w:tc>
          <w:tcPr>
            <w:tcW w:type="pct" w:w="16%"/>
            <w:shd w:fill="F5F5F5" w:val="clear"/>
            <w:tcMar>
              <w:top w:type="dxa" w:w="80"/>
              <w:left w:type="dxa" w:w="100"/>
              <w:bottom w:type="dxa" w:w="80"/>
              <w:right w:type="dxa" w:w="100"/>
            </w:tcMar>
            <w:vAlign w:val="center"/>
          </w:tcPr>
          <w:p>
            <w:r>
              <w:rPr>
                <w:b w:val="false"/>
                <w:bCs w:val="false"/>
                <w:sz w:val="18"/>
                <w:szCs w:val="18"/>
              </w:rPr>
              <w:t xml:space="preserve">S</w:t>
            </w:r>
          </w:p>
        </w:tc>
      </w:tr>
    </w:tbl>
    <w:p>
      <w:pPr>
        <w:pStyle w:val="Heading3"/>
        <w:spacing w:after="100" w:before="200"/>
      </w:pPr>
      <w:r>
        <w:rPr>
          <w:b/>
          <w:bCs/>
          <w:color w:val="2B2B2B"/>
          <w:sz w:val="21"/>
          <w:szCs w:val="21"/>
        </w:rPr>
        <w:t xml:space="preserve">Module MAT/OPT — Matching et optimisation (moteur V0)</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440"/>
        <w:gridCol w:w="6120"/>
        <w:gridCol w:w="1440"/>
      </w:tblGrid>
      <w:tr>
        <w:trPr>
          <w:tblHeader/>
        </w:trPr>
        <w:tc>
          <w:tcPr>
            <w:tcW w:type="pct" w:w="16%"/>
            <w:shd w:fill="2B2B2B" w:val="clear"/>
            <w:tcMar>
              <w:top w:type="dxa" w:w="80"/>
              <w:left w:type="dxa" w:w="100"/>
              <w:bottom w:type="dxa" w:w="80"/>
              <w:right w:type="dxa" w:w="100"/>
            </w:tcMar>
            <w:vAlign w:val="center"/>
          </w:tcPr>
          <w:p>
            <w:r>
              <w:rPr>
                <w:b/>
                <w:bCs/>
                <w:color w:val="FFFFFF"/>
                <w:sz w:val="18"/>
                <w:szCs w:val="18"/>
              </w:rPr>
              <w:t xml:space="preserve">Réf.</w:t>
            </w:r>
          </w:p>
        </w:tc>
        <w:tc>
          <w:tcPr>
            <w:tcW w:type="pct" w:w="68%"/>
            <w:shd w:fill="2B2B2B" w:val="clear"/>
            <w:tcMar>
              <w:top w:type="dxa" w:w="80"/>
              <w:left w:type="dxa" w:w="100"/>
              <w:bottom w:type="dxa" w:w="80"/>
              <w:right w:type="dxa" w:w="100"/>
            </w:tcMar>
            <w:vAlign w:val="center"/>
          </w:tcPr>
          <w:p>
            <w:r>
              <w:rPr>
                <w:b/>
                <w:bCs/>
                <w:color w:val="FFFFFF"/>
                <w:sz w:val="18"/>
                <w:szCs w:val="18"/>
              </w:rPr>
              <w:t xml:space="preserve">Exigence (résumé)</w:t>
            </w:r>
          </w:p>
        </w:tc>
        <w:tc>
          <w:tcPr>
            <w:tcW w:type="pct" w:w="16%"/>
            <w:shd w:fill="2B2B2B" w:val="clear"/>
            <w:tcMar>
              <w:top w:type="dxa" w:w="80"/>
              <w:left w:type="dxa" w:w="100"/>
              <w:bottom w:type="dxa" w:w="80"/>
              <w:right w:type="dxa" w:w="100"/>
            </w:tcMar>
            <w:vAlign w:val="center"/>
          </w:tcPr>
          <w:p>
            <w:r>
              <w:rPr>
                <w:b/>
                <w:bCs/>
                <w:color w:val="FFFFFF"/>
                <w:sz w:val="18"/>
                <w:szCs w:val="18"/>
              </w:rPr>
              <w:t xml:space="preserve">Priorité</w:t>
            </w:r>
          </w:p>
        </w:tc>
      </w:tr>
      <w:tr>
        <w:tc>
          <w:tcPr>
            <w:tcW w:type="pct" w:w="16%"/>
            <w:tcMar>
              <w:top w:type="dxa" w:w="80"/>
              <w:left w:type="dxa" w:w="100"/>
              <w:bottom w:type="dxa" w:w="80"/>
              <w:right w:type="dxa" w:w="100"/>
            </w:tcMar>
            <w:vAlign w:val="center"/>
          </w:tcPr>
          <w:p>
            <w:r>
              <w:rPr>
                <w:b w:val="false"/>
                <w:bCs w:val="false"/>
                <w:sz w:val="18"/>
                <w:szCs w:val="18"/>
              </w:rPr>
              <w:t xml:space="preserve">EF-MAT-01/02/03</w:t>
            </w:r>
          </w:p>
        </w:tc>
        <w:tc>
          <w:tcPr>
            <w:tcW w:type="pct" w:w="68%"/>
            <w:tcMar>
              <w:top w:type="dxa" w:w="80"/>
              <w:left w:type="dxa" w:w="100"/>
              <w:bottom w:type="dxa" w:w="80"/>
              <w:right w:type="dxa" w:w="100"/>
            </w:tcMar>
            <w:vAlign w:val="center"/>
          </w:tcPr>
          <w:p>
            <w:r>
              <w:rPr>
                <w:b w:val="false"/>
                <w:bCs w:val="false"/>
                <w:sz w:val="18"/>
                <w:szCs w:val="18"/>
              </w:rPr>
              <w:t xml:space="preserve">Appariement par cycles à fenêtre (jamais glouton), rayon borné, actif seulement si axe autorisé</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EF-MAT-04</w:t>
            </w:r>
          </w:p>
        </w:tc>
        <w:tc>
          <w:tcPr>
            <w:tcW w:type="pct" w:w="68%"/>
            <w:shd w:fill="F5F5F5" w:val="clear"/>
            <w:tcMar>
              <w:top w:type="dxa" w:w="80"/>
              <w:left w:type="dxa" w:w="100"/>
              <w:bottom w:type="dxa" w:w="80"/>
              <w:right w:type="dxa" w:w="100"/>
            </w:tcMar>
            <w:vAlign w:val="center"/>
          </w:tcPr>
          <w:p>
            <w:r>
              <w:rPr>
                <w:b w:val="false"/>
                <w:bCs w:val="false"/>
                <w:sz w:val="18"/>
                <w:szCs w:val="18"/>
              </w:rPr>
              <w:t xml:space="preserve">Coût composite multi-critères, pondérations configurables et versionnées</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w:t>
            </w:r>
          </w:p>
        </w:tc>
      </w:tr>
      <w:tr>
        <w:tc>
          <w:tcPr>
            <w:tcW w:type="pct" w:w="16%"/>
            <w:tcMar>
              <w:top w:type="dxa" w:w="80"/>
              <w:left w:type="dxa" w:w="100"/>
              <w:bottom w:type="dxa" w:w="80"/>
              <w:right w:type="dxa" w:w="100"/>
            </w:tcMar>
            <w:vAlign w:val="center"/>
          </w:tcPr>
          <w:p>
            <w:r>
              <w:rPr>
                <w:b w:val="false"/>
                <w:bCs w:val="false"/>
                <w:sz w:val="18"/>
                <w:szCs w:val="18"/>
              </w:rPr>
              <w:t xml:space="preserve">EF-MAT-11/12</w:t>
            </w:r>
          </w:p>
        </w:tc>
        <w:tc>
          <w:tcPr>
            <w:tcW w:type="pct" w:w="68%"/>
            <w:tcMar>
              <w:top w:type="dxa" w:w="80"/>
              <w:left w:type="dxa" w:w="100"/>
              <w:bottom w:type="dxa" w:w="80"/>
              <w:right w:type="dxa" w:w="100"/>
            </w:tcMar>
            <w:vAlign w:val="center"/>
          </w:tcPr>
          <w:p>
            <w:r>
              <w:rPr>
                <w:b w:val="false"/>
                <w:bCs w:val="false"/>
                <w:sz w:val="18"/>
                <w:szCs w:val="18"/>
              </w:rPr>
              <w:t xml:space="preserve">Traçabilité reconstituable de chaque décision, signalement explicite du mode dégradé</w:t>
            </w:r>
          </w:p>
        </w:tc>
        <w:tc>
          <w:tcPr>
            <w:tcW w:type="pct" w:w="16%"/>
            <w:tcMar>
              <w:top w:type="dxa" w:w="80"/>
              <w:left w:type="dxa" w:w="100"/>
              <w:bottom w:type="dxa" w:w="80"/>
              <w:right w:type="dxa" w:w="100"/>
            </w:tcMar>
            <w:vAlign w:val="center"/>
          </w:tcPr>
          <w:p>
            <w:r>
              <w:rPr>
                <w:b w:val="false"/>
                <w:bCs w:val="false"/>
                <w:sz w:val="18"/>
                <w:szCs w:val="18"/>
              </w:rPr>
              <w:t xml:space="preserve">M</w:t>
            </w:r>
          </w:p>
        </w:tc>
      </w:tr>
    </w:tbl>
    <w:p>
      <w:pPr>
        <w:pStyle w:val="Heading3"/>
        <w:spacing w:after="100" w:before="200"/>
      </w:pPr>
      <w:r>
        <w:rPr>
          <w:b/>
          <w:bCs/>
          <w:color w:val="2B2B2B"/>
          <w:sz w:val="21"/>
          <w:szCs w:val="21"/>
        </w:rPr>
        <w:t xml:space="preserve">Module TRK/EXE — Suivi et exécution</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440"/>
        <w:gridCol w:w="6120"/>
        <w:gridCol w:w="1440"/>
      </w:tblGrid>
      <w:tr>
        <w:trPr>
          <w:tblHeader/>
        </w:trPr>
        <w:tc>
          <w:tcPr>
            <w:tcW w:type="pct" w:w="16%"/>
            <w:shd w:fill="2B2B2B" w:val="clear"/>
            <w:tcMar>
              <w:top w:type="dxa" w:w="80"/>
              <w:left w:type="dxa" w:w="100"/>
              <w:bottom w:type="dxa" w:w="80"/>
              <w:right w:type="dxa" w:w="100"/>
            </w:tcMar>
            <w:vAlign w:val="center"/>
          </w:tcPr>
          <w:p>
            <w:r>
              <w:rPr>
                <w:b/>
                <w:bCs/>
                <w:color w:val="FFFFFF"/>
                <w:sz w:val="18"/>
                <w:szCs w:val="18"/>
              </w:rPr>
              <w:t xml:space="preserve">Réf.</w:t>
            </w:r>
          </w:p>
        </w:tc>
        <w:tc>
          <w:tcPr>
            <w:tcW w:type="pct" w:w="68%"/>
            <w:shd w:fill="2B2B2B" w:val="clear"/>
            <w:tcMar>
              <w:top w:type="dxa" w:w="80"/>
              <w:left w:type="dxa" w:w="100"/>
              <w:bottom w:type="dxa" w:w="80"/>
              <w:right w:type="dxa" w:w="100"/>
            </w:tcMar>
            <w:vAlign w:val="center"/>
          </w:tcPr>
          <w:p>
            <w:r>
              <w:rPr>
                <w:b/>
                <w:bCs/>
                <w:color w:val="FFFFFF"/>
                <w:sz w:val="18"/>
                <w:szCs w:val="18"/>
              </w:rPr>
              <w:t xml:space="preserve">Exigence (résumé)</w:t>
            </w:r>
          </w:p>
        </w:tc>
        <w:tc>
          <w:tcPr>
            <w:tcW w:type="pct" w:w="16%"/>
            <w:shd w:fill="2B2B2B" w:val="clear"/>
            <w:tcMar>
              <w:top w:type="dxa" w:w="80"/>
              <w:left w:type="dxa" w:w="100"/>
              <w:bottom w:type="dxa" w:w="80"/>
              <w:right w:type="dxa" w:w="100"/>
            </w:tcMar>
            <w:vAlign w:val="center"/>
          </w:tcPr>
          <w:p>
            <w:r>
              <w:rPr>
                <w:b/>
                <w:bCs/>
                <w:color w:val="FFFFFF"/>
                <w:sz w:val="18"/>
                <w:szCs w:val="18"/>
              </w:rPr>
              <w:t xml:space="preserve">Priorité</w:t>
            </w:r>
          </w:p>
        </w:tc>
      </w:tr>
      <w:tr>
        <w:tc>
          <w:tcPr>
            <w:tcW w:type="pct" w:w="16%"/>
            <w:tcMar>
              <w:top w:type="dxa" w:w="80"/>
              <w:left w:type="dxa" w:w="100"/>
              <w:bottom w:type="dxa" w:w="80"/>
              <w:right w:type="dxa" w:w="100"/>
            </w:tcMar>
            <w:vAlign w:val="center"/>
          </w:tcPr>
          <w:p>
            <w:r>
              <w:rPr>
                <w:b w:val="false"/>
                <w:bCs w:val="false"/>
                <w:sz w:val="18"/>
                <w:szCs w:val="18"/>
              </w:rPr>
              <w:t xml:space="preserve">EF-TRK-01/02</w:t>
            </w:r>
          </w:p>
        </w:tc>
        <w:tc>
          <w:tcPr>
            <w:tcW w:type="pct" w:w="68%"/>
            <w:tcMar>
              <w:top w:type="dxa" w:w="80"/>
              <w:left w:type="dxa" w:w="100"/>
              <w:bottom w:type="dxa" w:w="80"/>
              <w:right w:type="dxa" w:w="100"/>
            </w:tcMar>
            <w:vAlign w:val="center"/>
          </w:tcPr>
          <w:p>
            <w:r>
              <w:rPr>
                <w:b w:val="false"/>
                <w:bCs w:val="false"/>
                <w:sz w:val="18"/>
                <w:szCs w:val="18"/>
              </w:rPr>
              <w:t xml:space="preserve">Ingestion tolérante à la connectivité, ETA dynamique avec intervalle de confiance</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EF-TRK-03/04</w:t>
            </w:r>
          </w:p>
        </w:tc>
        <w:tc>
          <w:tcPr>
            <w:tcW w:type="pct" w:w="68%"/>
            <w:shd w:fill="F5F5F5" w:val="clear"/>
            <w:tcMar>
              <w:top w:type="dxa" w:w="80"/>
              <w:left w:type="dxa" w:w="100"/>
              <w:bottom w:type="dxa" w:w="80"/>
              <w:right w:type="dxa" w:w="100"/>
            </w:tcMar>
            <w:vAlign w:val="center"/>
          </w:tcPr>
          <w:p>
            <w:r>
              <w:rPr>
                <w:b w:val="false"/>
                <w:bCs w:val="false"/>
                <w:sz w:val="18"/>
                <w:szCs w:val="18"/>
              </w:rPr>
              <w:t xml:space="preserve">Détection d'anomalies, affichage de toute position avec âge</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w:t>
            </w:r>
          </w:p>
        </w:tc>
      </w:tr>
      <w:tr>
        <w:tc>
          <w:tcPr>
            <w:tcW w:type="pct" w:w="16%"/>
            <w:tcMar>
              <w:top w:type="dxa" w:w="80"/>
              <w:left w:type="dxa" w:w="100"/>
              <w:bottom w:type="dxa" w:w="80"/>
              <w:right w:type="dxa" w:w="100"/>
            </w:tcMar>
            <w:vAlign w:val="center"/>
          </w:tcPr>
          <w:p>
            <w:r>
              <w:rPr>
                <w:b w:val="false"/>
                <w:bCs w:val="false"/>
                <w:sz w:val="18"/>
                <w:szCs w:val="18"/>
              </w:rPr>
              <w:t xml:space="preserve">EF-EXE-01</w:t>
            </w:r>
          </w:p>
        </w:tc>
        <w:tc>
          <w:tcPr>
            <w:tcW w:type="pct" w:w="68%"/>
            <w:tcMar>
              <w:top w:type="dxa" w:w="80"/>
              <w:left w:type="dxa" w:w="100"/>
              <w:bottom w:type="dxa" w:w="80"/>
              <w:right w:type="dxa" w:w="100"/>
            </w:tcMar>
            <w:vAlign w:val="center"/>
          </w:tcPr>
          <w:p>
            <w:r>
              <w:rPr>
                <w:b w:val="false"/>
                <w:bCs w:val="false"/>
                <w:sz w:val="18"/>
                <w:szCs w:val="18"/>
              </w:rPr>
              <w:t xml:space="preserve">Application chauffeur intégralement fonctionnelle hors ligne</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EF-EXE-02/03</w:t>
            </w:r>
          </w:p>
        </w:tc>
        <w:tc>
          <w:tcPr>
            <w:tcW w:type="pct" w:w="68%"/>
            <w:shd w:fill="F5F5F5" w:val="clear"/>
            <w:tcMar>
              <w:top w:type="dxa" w:w="80"/>
              <w:left w:type="dxa" w:w="100"/>
              <w:bottom w:type="dxa" w:w="80"/>
              <w:right w:type="dxa" w:w="100"/>
            </w:tcMar>
            <w:vAlign w:val="center"/>
          </w:tcPr>
          <w:p>
            <w:r>
              <w:rPr>
                <w:b w:val="false"/>
                <w:bCs w:val="false"/>
                <w:sz w:val="18"/>
                <w:szCs w:val="18"/>
              </w:rPr>
              <w:t xml:space="preserve">Missions multi-étapes (une action affichée à la fois), preuve minimale à chaque étape</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w:t>
            </w:r>
          </w:p>
        </w:tc>
      </w:tr>
      <w:tr>
        <w:tc>
          <w:tcPr>
            <w:tcW w:type="pct" w:w="16%"/>
            <w:tcMar>
              <w:top w:type="dxa" w:w="80"/>
              <w:left w:type="dxa" w:w="100"/>
              <w:bottom w:type="dxa" w:w="80"/>
              <w:right w:type="dxa" w:w="100"/>
            </w:tcMar>
            <w:vAlign w:val="center"/>
          </w:tcPr>
          <w:p>
            <w:r>
              <w:rPr>
                <w:b w:val="false"/>
                <w:bCs w:val="false"/>
                <w:sz w:val="18"/>
                <w:szCs w:val="18"/>
              </w:rPr>
              <w:t xml:space="preserve">EF-EXE-04/05</w:t>
            </w:r>
          </w:p>
        </w:tc>
        <w:tc>
          <w:tcPr>
            <w:tcW w:type="pct" w:w="68%"/>
            <w:tcMar>
              <w:top w:type="dxa" w:w="80"/>
              <w:left w:type="dxa" w:w="100"/>
              <w:bottom w:type="dxa" w:w="80"/>
              <w:right w:type="dxa" w:w="100"/>
            </w:tcMar>
            <w:vAlign w:val="center"/>
          </w:tcPr>
          <w:p>
            <w:r>
              <w:rPr>
                <w:b w:val="false"/>
                <w:bCs w:val="false"/>
                <w:sz w:val="18"/>
                <w:szCs w:val="18"/>
              </w:rPr>
              <w:t xml:space="preserve">Horodatage de capture distinct de la transmission, stockage immuable à empreinte</w:t>
            </w:r>
          </w:p>
        </w:tc>
        <w:tc>
          <w:tcPr>
            <w:tcW w:type="pct" w:w="16%"/>
            <w:tcMar>
              <w:top w:type="dxa" w:w="80"/>
              <w:left w:type="dxa" w:w="100"/>
              <w:bottom w:type="dxa" w:w="80"/>
              <w:right w:type="dxa" w:w="100"/>
            </w:tcMar>
            <w:vAlign w:val="center"/>
          </w:tcPr>
          <w:p>
            <w:r>
              <w:rPr>
                <w:b w:val="false"/>
                <w:bCs w:val="false"/>
                <w:sz w:val="18"/>
                <w:szCs w:val="18"/>
              </w:rPr>
              <w:t xml:space="preserve">M</w:t>
            </w:r>
          </w:p>
        </w:tc>
      </w:tr>
    </w:tbl>
    <w:p>
      <w:pPr>
        <w:pStyle w:val="Heading3"/>
        <w:spacing w:after="100" w:before="200"/>
      </w:pPr>
      <w:r>
        <w:rPr>
          <w:b/>
          <w:bCs/>
          <w:color w:val="2B2B2B"/>
          <w:sz w:val="21"/>
          <w:szCs w:val="21"/>
        </w:rPr>
        <w:t xml:space="preserve">Module PAY — Paiement (orchestration de base)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440"/>
        <w:gridCol w:w="6120"/>
        <w:gridCol w:w="1440"/>
      </w:tblGrid>
      <w:tr>
        <w:trPr>
          <w:tblHeader/>
        </w:trPr>
        <w:tc>
          <w:tcPr>
            <w:tcW w:type="pct" w:w="16%"/>
            <w:shd w:fill="2B2B2B" w:val="clear"/>
            <w:tcMar>
              <w:top w:type="dxa" w:w="80"/>
              <w:left w:type="dxa" w:w="100"/>
              <w:bottom w:type="dxa" w:w="80"/>
              <w:right w:type="dxa" w:w="100"/>
            </w:tcMar>
            <w:vAlign w:val="center"/>
          </w:tcPr>
          <w:p>
            <w:r>
              <w:rPr>
                <w:b/>
                <w:bCs/>
                <w:color w:val="FFFFFF"/>
                <w:sz w:val="18"/>
                <w:szCs w:val="18"/>
              </w:rPr>
              <w:t xml:space="preserve">Réf.</w:t>
            </w:r>
          </w:p>
        </w:tc>
        <w:tc>
          <w:tcPr>
            <w:tcW w:type="pct" w:w="68%"/>
            <w:shd w:fill="2B2B2B" w:val="clear"/>
            <w:tcMar>
              <w:top w:type="dxa" w:w="80"/>
              <w:left w:type="dxa" w:w="100"/>
              <w:bottom w:type="dxa" w:w="80"/>
              <w:right w:type="dxa" w:w="100"/>
            </w:tcMar>
            <w:vAlign w:val="center"/>
          </w:tcPr>
          <w:p>
            <w:r>
              <w:rPr>
                <w:b/>
                <w:bCs/>
                <w:color w:val="FFFFFF"/>
                <w:sz w:val="18"/>
                <w:szCs w:val="18"/>
              </w:rPr>
              <w:t xml:space="preserve">Exigence (résumé)</w:t>
            </w:r>
          </w:p>
        </w:tc>
        <w:tc>
          <w:tcPr>
            <w:tcW w:type="pct" w:w="16%"/>
            <w:shd w:fill="2B2B2B" w:val="clear"/>
            <w:tcMar>
              <w:top w:type="dxa" w:w="80"/>
              <w:left w:type="dxa" w:w="100"/>
              <w:bottom w:type="dxa" w:w="80"/>
              <w:right w:type="dxa" w:w="100"/>
            </w:tcMar>
            <w:vAlign w:val="center"/>
          </w:tcPr>
          <w:p>
            <w:r>
              <w:rPr>
                <w:b/>
                <w:bCs/>
                <w:color w:val="FFFFFF"/>
                <w:sz w:val="18"/>
                <w:szCs w:val="18"/>
              </w:rPr>
              <w:t xml:space="preserve">Priorité</w:t>
            </w:r>
          </w:p>
        </w:tc>
      </w:tr>
      <w:tr>
        <w:tc>
          <w:tcPr>
            <w:tcW w:type="pct" w:w="16%"/>
            <w:tcMar>
              <w:top w:type="dxa" w:w="80"/>
              <w:left w:type="dxa" w:w="100"/>
              <w:bottom w:type="dxa" w:w="80"/>
              <w:right w:type="dxa" w:w="100"/>
            </w:tcMar>
            <w:vAlign w:val="center"/>
          </w:tcPr>
          <w:p>
            <w:r>
              <w:rPr>
                <w:b w:val="false"/>
                <w:bCs w:val="false"/>
                <w:sz w:val="18"/>
                <w:szCs w:val="18"/>
              </w:rPr>
              <w:t xml:space="preserve">EF-PAY-01/03</w:t>
            </w:r>
          </w:p>
        </w:tc>
        <w:tc>
          <w:tcPr>
            <w:tcW w:type="pct" w:w="68%"/>
            <w:tcMar>
              <w:top w:type="dxa" w:w="80"/>
              <w:left w:type="dxa" w:w="100"/>
              <w:bottom w:type="dxa" w:w="80"/>
              <w:right w:type="dxa" w:w="100"/>
            </w:tcMar>
            <w:vAlign w:val="center"/>
          </w:tcPr>
          <w:p>
            <w:r>
              <w:rPr>
                <w:b w:val="false"/>
                <w:bCs w:val="false"/>
                <w:sz w:val="18"/>
                <w:szCs w:val="18"/>
              </w:rPr>
              <w:t xml:space="preserve">Encaissement orchestré via prestataire agréé, séquestre logique</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EF-PAY-02/04</w:t>
            </w:r>
          </w:p>
        </w:tc>
        <w:tc>
          <w:tcPr>
            <w:tcW w:type="pct" w:w="68%"/>
            <w:shd w:fill="F5F5F5" w:val="clear"/>
            <w:tcMar>
              <w:top w:type="dxa" w:w="80"/>
              <w:left w:type="dxa" w:w="100"/>
              <w:bottom w:type="dxa" w:w="80"/>
              <w:right w:type="dxa" w:w="100"/>
            </w:tcMar>
            <w:vAlign w:val="center"/>
          </w:tcPr>
          <w:p>
            <w:r>
              <w:rPr>
                <w:b w:val="false"/>
                <w:bCs w:val="false"/>
                <w:sz w:val="18"/>
                <w:szCs w:val="18"/>
              </w:rPr>
              <w:t xml:space="preserve">Grand livre en partie double immuable, reversement techniquement impossible avant encaissement</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w:t>
            </w:r>
          </w:p>
        </w:tc>
      </w:tr>
      <w:tr>
        <w:tc>
          <w:tcPr>
            <w:tcW w:type="pct" w:w="16%"/>
            <w:tcMar>
              <w:top w:type="dxa" w:w="80"/>
              <w:left w:type="dxa" w:w="100"/>
              <w:bottom w:type="dxa" w:w="80"/>
              <w:right w:type="dxa" w:w="100"/>
            </w:tcMar>
            <w:vAlign w:val="center"/>
          </w:tcPr>
          <w:p>
            <w:r>
              <w:rPr>
                <w:b w:val="false"/>
                <w:bCs w:val="false"/>
                <w:sz w:val="18"/>
                <w:szCs w:val="18"/>
              </w:rPr>
              <w:t xml:space="preserve">EF-PAY-05</w:t>
            </w:r>
          </w:p>
        </w:tc>
        <w:tc>
          <w:tcPr>
            <w:tcW w:type="pct" w:w="68%"/>
            <w:tcMar>
              <w:top w:type="dxa" w:w="80"/>
              <w:left w:type="dxa" w:w="100"/>
              <w:bottom w:type="dxa" w:w="80"/>
              <w:right w:type="dxa" w:w="100"/>
            </w:tcMar>
            <w:vAlign w:val="center"/>
          </w:tcPr>
          <w:p>
            <w:r>
              <w:rPr>
                <w:b w:val="false"/>
                <w:bCs w:val="false"/>
                <w:sz w:val="18"/>
                <w:szCs w:val="18"/>
              </w:rPr>
              <w:t xml:space="preserve">Vérification cryptographique et traitement idempotent des notifications entrantes</w:t>
            </w:r>
          </w:p>
        </w:tc>
        <w:tc>
          <w:tcPr>
            <w:tcW w:type="pct" w:w="16%"/>
            <w:tcMar>
              <w:top w:type="dxa" w:w="80"/>
              <w:left w:type="dxa" w:w="100"/>
              <w:bottom w:type="dxa" w:w="80"/>
              <w:right w:type="dxa" w:w="100"/>
            </w:tcMar>
            <w:vAlign w:val="center"/>
          </w:tcPr>
          <w:p>
            <w:r>
              <w:rPr>
                <w:b w:val="false"/>
                <w:bCs w:val="false"/>
                <w:sz w:val="18"/>
                <w:szCs w:val="18"/>
              </w:rPr>
              <w:t xml:space="preserve">M</w:t>
            </w:r>
          </w:p>
        </w:tc>
      </w:tr>
    </w:tbl>
    <w:p>
      <w:pPr>
        <w:pStyle w:val="Heading3"/>
        <w:spacing w:after="100" w:before="200"/>
      </w:pPr>
      <w:r>
        <w:rPr>
          <w:b/>
          <w:bCs/>
          <w:color w:val="2B2B2B"/>
          <w:sz w:val="21"/>
          <w:szCs w:val="21"/>
        </w:rPr>
        <w:t xml:space="preserve">Modules FLT, BUR, GEO, NOT, ADM — socle transversal</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440"/>
        <w:gridCol w:w="6120"/>
        <w:gridCol w:w="1440"/>
      </w:tblGrid>
      <w:tr>
        <w:trPr>
          <w:tblHeader/>
        </w:trPr>
        <w:tc>
          <w:tcPr>
            <w:tcW w:type="pct" w:w="16%"/>
            <w:shd w:fill="2B2B2B" w:val="clear"/>
            <w:tcMar>
              <w:top w:type="dxa" w:w="80"/>
              <w:left w:type="dxa" w:w="100"/>
              <w:bottom w:type="dxa" w:w="80"/>
              <w:right w:type="dxa" w:w="100"/>
            </w:tcMar>
            <w:vAlign w:val="center"/>
          </w:tcPr>
          <w:p>
            <w:r>
              <w:rPr>
                <w:b/>
                <w:bCs/>
                <w:color w:val="FFFFFF"/>
                <w:sz w:val="18"/>
                <w:szCs w:val="18"/>
              </w:rPr>
              <w:t xml:space="preserve">Réf.</w:t>
            </w:r>
          </w:p>
        </w:tc>
        <w:tc>
          <w:tcPr>
            <w:tcW w:type="pct" w:w="68%"/>
            <w:shd w:fill="2B2B2B" w:val="clear"/>
            <w:tcMar>
              <w:top w:type="dxa" w:w="80"/>
              <w:left w:type="dxa" w:w="100"/>
              <w:bottom w:type="dxa" w:w="80"/>
              <w:right w:type="dxa" w:w="100"/>
            </w:tcMar>
            <w:vAlign w:val="center"/>
          </w:tcPr>
          <w:p>
            <w:r>
              <w:rPr>
                <w:b/>
                <w:bCs/>
                <w:color w:val="FFFFFF"/>
                <w:sz w:val="18"/>
                <w:szCs w:val="18"/>
              </w:rPr>
              <w:t xml:space="preserve">Exigence (résumé)</w:t>
            </w:r>
          </w:p>
        </w:tc>
        <w:tc>
          <w:tcPr>
            <w:tcW w:type="pct" w:w="16%"/>
            <w:shd w:fill="2B2B2B" w:val="clear"/>
            <w:tcMar>
              <w:top w:type="dxa" w:w="80"/>
              <w:left w:type="dxa" w:w="100"/>
              <w:bottom w:type="dxa" w:w="80"/>
              <w:right w:type="dxa" w:w="100"/>
            </w:tcMar>
            <w:vAlign w:val="center"/>
          </w:tcPr>
          <w:p>
            <w:r>
              <w:rPr>
                <w:b/>
                <w:bCs/>
                <w:color w:val="FFFFFF"/>
                <w:sz w:val="18"/>
                <w:szCs w:val="18"/>
              </w:rPr>
              <w:t xml:space="preserve">Priorité</w:t>
            </w:r>
          </w:p>
        </w:tc>
      </w:tr>
      <w:tr>
        <w:tc>
          <w:tcPr>
            <w:tcW w:type="pct" w:w="16%"/>
            <w:tcMar>
              <w:top w:type="dxa" w:w="80"/>
              <w:left w:type="dxa" w:w="100"/>
              <w:bottom w:type="dxa" w:w="80"/>
              <w:right w:type="dxa" w:w="100"/>
            </w:tcMar>
            <w:vAlign w:val="center"/>
          </w:tcPr>
          <w:p>
            <w:r>
              <w:rPr>
                <w:b w:val="false"/>
                <w:bCs w:val="false"/>
                <w:sz w:val="18"/>
                <w:szCs w:val="18"/>
              </w:rPr>
              <w:t xml:space="preserve">EF-FLT-01/02/03</w:t>
            </w:r>
          </w:p>
        </w:tc>
        <w:tc>
          <w:tcPr>
            <w:tcW w:type="pct" w:w="68%"/>
            <w:tcMar>
              <w:top w:type="dxa" w:w="80"/>
              <w:left w:type="dxa" w:w="100"/>
              <w:bottom w:type="dxa" w:w="80"/>
              <w:right w:type="dxa" w:w="100"/>
            </w:tcMar>
            <w:vAlign w:val="center"/>
          </w:tcPr>
          <w:p>
            <w:r>
              <w:rPr>
                <w:b w:val="false"/>
                <w:bCs w:val="false"/>
                <w:sz w:val="18"/>
                <w:szCs w:val="18"/>
              </w:rPr>
              <w:t xml:space="preserve">Parc de véhicules, distinction propriétaire/exploitant, unicité de flotte par immatriculation</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EF-BUR-01/02/03</w:t>
            </w:r>
          </w:p>
        </w:tc>
        <w:tc>
          <w:tcPr>
            <w:tcW w:type="pct" w:w="68%"/>
            <w:shd w:fill="F5F5F5" w:val="clear"/>
            <w:tcMar>
              <w:top w:type="dxa" w:w="80"/>
              <w:left w:type="dxa" w:w="100"/>
              <w:bottom w:type="dxa" w:w="80"/>
              <w:right w:type="dxa" w:w="100"/>
            </w:tcMar>
            <w:vAlign w:val="center"/>
          </w:tcPr>
          <w:p>
            <w:r>
              <w:rPr>
                <w:b w:val="false"/>
                <w:bCs w:val="false"/>
                <w:sz w:val="18"/>
                <w:szCs w:val="18"/>
              </w:rPr>
              <w:t xml:space="preserve">Supervision cartographique et tabulaire, export, observatoire de marché</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w:t>
            </w:r>
          </w:p>
        </w:tc>
      </w:tr>
      <w:tr>
        <w:tc>
          <w:tcPr>
            <w:tcW w:type="pct" w:w="16%"/>
            <w:tcMar>
              <w:top w:type="dxa" w:w="80"/>
              <w:left w:type="dxa" w:w="100"/>
              <w:bottom w:type="dxa" w:w="80"/>
              <w:right w:type="dxa" w:w="100"/>
            </w:tcMar>
            <w:vAlign w:val="center"/>
          </w:tcPr>
          <w:p>
            <w:r>
              <w:rPr>
                <w:b w:val="false"/>
                <w:bCs w:val="false"/>
                <w:sz w:val="18"/>
                <w:szCs w:val="18"/>
              </w:rPr>
              <w:t xml:space="preserve">EF-GEO-01/02/03</w:t>
            </w:r>
          </w:p>
        </w:tc>
        <w:tc>
          <w:tcPr>
            <w:tcW w:type="pct" w:w="68%"/>
            <w:tcMar>
              <w:top w:type="dxa" w:w="80"/>
              <w:left w:type="dxa" w:w="100"/>
              <w:bottom w:type="dxa" w:w="80"/>
              <w:right w:type="dxa" w:w="100"/>
            </w:tcMar>
            <w:vAlign w:val="center"/>
          </w:tcPr>
          <w:p>
            <w:r>
              <w:rPr>
                <w:b w:val="false"/>
                <w:bCs w:val="false"/>
                <w:sz w:val="18"/>
                <w:szCs w:val="18"/>
              </w:rPr>
              <w:t xml:space="preserve">Axe/Hub premier rang, paramétrage par axe, états d'activation indépendants (visibilité/matching/paiement)</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EF-NOT-01/02/03</w:t>
            </w:r>
          </w:p>
        </w:tc>
        <w:tc>
          <w:tcPr>
            <w:tcW w:type="pct" w:w="68%"/>
            <w:shd w:fill="F5F5F5" w:val="clear"/>
            <w:tcMar>
              <w:top w:type="dxa" w:w="80"/>
              <w:left w:type="dxa" w:w="100"/>
              <w:bottom w:type="dxa" w:w="80"/>
              <w:right w:type="dxa" w:w="100"/>
            </w:tcMar>
            <w:vAlign w:val="center"/>
          </w:tcPr>
          <w:p>
            <w:r>
              <w:rPr>
                <w:b w:val="false"/>
                <w:bCs w:val="false"/>
                <w:sz w:val="18"/>
                <w:szCs w:val="18"/>
              </w:rPr>
              <w:t xml:space="preserve">Multicanal, canaux gratuits privilégiés, repli inter-canaux et déduplication</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w:t>
            </w:r>
          </w:p>
        </w:tc>
      </w:tr>
      <w:tr>
        <w:tc>
          <w:tcPr>
            <w:tcW w:type="pct" w:w="16%"/>
            <w:tcMar>
              <w:top w:type="dxa" w:w="80"/>
              <w:left w:type="dxa" w:w="100"/>
              <w:bottom w:type="dxa" w:w="80"/>
              <w:right w:type="dxa" w:w="100"/>
            </w:tcMar>
            <w:vAlign w:val="center"/>
          </w:tcPr>
          <w:p>
            <w:r>
              <w:rPr>
                <w:b w:val="false"/>
                <w:bCs w:val="false"/>
                <w:sz w:val="18"/>
                <w:szCs w:val="18"/>
              </w:rPr>
              <w:t xml:space="preserve">EF-ADM-01/02/06</w:t>
            </w:r>
          </w:p>
        </w:tc>
        <w:tc>
          <w:tcPr>
            <w:tcW w:type="pct" w:w="68%"/>
            <w:tcMar>
              <w:top w:type="dxa" w:w="80"/>
              <w:left w:type="dxa" w:w="100"/>
              <w:bottom w:type="dxa" w:w="80"/>
              <w:right w:type="dxa" w:w="100"/>
            </w:tcMar>
            <w:vAlign w:val="center"/>
          </w:tcPr>
          <w:p>
            <w:r>
              <w:rPr>
                <w:b w:val="false"/>
                <w:bCs w:val="false"/>
                <w:sz w:val="18"/>
                <w:szCs w:val="18"/>
              </w:rPr>
              <w:t xml:space="preserve">File de travail priorisée, dossier consolidé, console de configuration versionnée</w:t>
            </w:r>
          </w:p>
        </w:tc>
        <w:tc>
          <w:tcPr>
            <w:tcW w:type="pct" w:w="16%"/>
            <w:tcMar>
              <w:top w:type="dxa" w:w="80"/>
              <w:left w:type="dxa" w:w="100"/>
              <w:bottom w:type="dxa" w:w="80"/>
              <w:right w:type="dxa" w:w="100"/>
            </w:tcMar>
            <w:vAlign w:val="center"/>
          </w:tcPr>
          <w:p>
            <w:r>
              <w:rPr>
                <w:b w:val="false"/>
                <w:bCs w:val="false"/>
                <w:sz w:val="18"/>
                <w:szCs w:val="18"/>
              </w:rPr>
              <w:t xml:space="preserve">M</w:t>
            </w:r>
          </w:p>
        </w:tc>
      </w:tr>
    </w:tbl>
    <w:p>
      <w:pPr>
        <w:pStyle w:val="Heading2"/>
        <w:spacing w:after="140" w:before="260"/>
      </w:pPr>
      <w:r>
        <w:rPr>
          <w:b/>
          <w:bCs/>
          <w:color w:val="8A0F13"/>
          <w:sz w:val="24"/>
          <w:szCs w:val="24"/>
        </w:rPr>
        <w:t xml:space="preserve">5.2 Phase 2 — Groupage et second axe</w:t>
      </w:r>
    </w:p>
    <w:tbl>
      <w:tblPr>
        <w:tblW w:type="pct" w:w="100%"/>
        <w:tblBorders>
          <w:top w:val="single" w:color="D68910" w:sz="4"/>
          <w:left w:val="single" w:color="D68910" w:sz="4"/>
          <w:bottom w:val="single" w:color="D68910" w:sz="4"/>
          <w:right w:val="single" w:color="D68910"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D68910"/>
                <w:sz w:val="20"/>
                <w:szCs w:val="20"/>
              </w:rPr>
              <w:t xml:space="preserve">🟡 Objectif Phase 2</w:t>
            </w:r>
          </w:p>
          <w:p>
            <w:r>
              <w:rPr>
                <w:sz w:val="19"/>
                <w:szCs w:val="19"/>
              </w:rPr>
              <w:t xml:space="preserve">Moteur V1 (séquencement, tournées multi-étapes, retour à vide) ; début du moteur V2 (oracle de chargement, contraintes d'essieu) ; connecteurs de flotte tiers ; ouverture d'un second axe.</w:t>
            </w:r>
          </w:p>
        </w:tc>
      </w:tr>
    </w:tbl>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080"/>
        <w:gridCol w:w="1350"/>
        <w:gridCol w:w="5130"/>
        <w:gridCol w:w="1440"/>
      </w:tblGrid>
      <w:tr>
        <w:trPr>
          <w:tblHeader/>
        </w:trPr>
        <w:tc>
          <w:tcPr>
            <w:tcW w:type="pct" w:w="12%"/>
            <w:shd w:fill="2B2B2B" w:val="clear"/>
            <w:tcMar>
              <w:top w:type="dxa" w:w="80"/>
              <w:left w:type="dxa" w:w="100"/>
              <w:bottom w:type="dxa" w:w="80"/>
              <w:right w:type="dxa" w:w="100"/>
            </w:tcMar>
            <w:vAlign w:val="center"/>
          </w:tcPr>
          <w:p>
            <w:r>
              <w:rPr>
                <w:b/>
                <w:bCs/>
                <w:color w:val="FFFFFF"/>
                <w:sz w:val="18"/>
                <w:szCs w:val="18"/>
              </w:rPr>
              <w:t xml:space="preserve">Module</w:t>
            </w:r>
          </w:p>
        </w:tc>
        <w:tc>
          <w:tcPr>
            <w:tcW w:type="pct" w:w="15%"/>
            <w:shd w:fill="2B2B2B" w:val="clear"/>
            <w:tcMar>
              <w:top w:type="dxa" w:w="80"/>
              <w:left w:type="dxa" w:w="100"/>
              <w:bottom w:type="dxa" w:w="80"/>
              <w:right w:type="dxa" w:w="100"/>
            </w:tcMar>
            <w:vAlign w:val="center"/>
          </w:tcPr>
          <w:p>
            <w:r>
              <w:rPr>
                <w:b/>
                <w:bCs/>
                <w:color w:val="FFFFFF"/>
                <w:sz w:val="18"/>
                <w:szCs w:val="18"/>
              </w:rPr>
              <w:t xml:space="preserve">Réf.</w:t>
            </w:r>
          </w:p>
        </w:tc>
        <w:tc>
          <w:tcPr>
            <w:tcW w:type="pct" w:w="57%"/>
            <w:shd w:fill="2B2B2B" w:val="clear"/>
            <w:tcMar>
              <w:top w:type="dxa" w:w="80"/>
              <w:left w:type="dxa" w:w="100"/>
              <w:bottom w:type="dxa" w:w="80"/>
              <w:right w:type="dxa" w:w="100"/>
            </w:tcMar>
            <w:vAlign w:val="center"/>
          </w:tcPr>
          <w:p>
            <w:r>
              <w:rPr>
                <w:b/>
                <w:bCs/>
                <w:color w:val="FFFFFF"/>
                <w:sz w:val="18"/>
                <w:szCs w:val="18"/>
              </w:rPr>
              <w:t xml:space="preserve">Exigence (résumé)</w:t>
            </w:r>
          </w:p>
        </w:tc>
        <w:tc>
          <w:tcPr>
            <w:tcW w:type="pct" w:w="16%"/>
            <w:shd w:fill="2B2B2B" w:val="clear"/>
            <w:tcMar>
              <w:top w:type="dxa" w:w="80"/>
              <w:left w:type="dxa" w:w="100"/>
              <w:bottom w:type="dxa" w:w="80"/>
              <w:right w:type="dxa" w:w="100"/>
            </w:tcMar>
            <w:vAlign w:val="center"/>
          </w:tcPr>
          <w:p>
            <w:r>
              <w:rPr>
                <w:b/>
                <w:bCs/>
                <w:color w:val="FFFFFF"/>
                <w:sz w:val="18"/>
                <w:szCs w:val="18"/>
              </w:rPr>
              <w:t xml:space="preserve">Priorité</w:t>
            </w:r>
          </w:p>
        </w:tc>
      </w:tr>
      <w:tr>
        <w:tc>
          <w:tcPr>
            <w:tcW w:type="pct" w:w="12%"/>
            <w:tcMar>
              <w:top w:type="dxa" w:w="80"/>
              <w:left w:type="dxa" w:w="100"/>
              <w:bottom w:type="dxa" w:w="80"/>
              <w:right w:type="dxa" w:w="100"/>
            </w:tcMar>
            <w:vAlign w:val="center"/>
          </w:tcPr>
          <w:p>
            <w:r>
              <w:rPr>
                <w:b w:val="false"/>
                <w:bCs w:val="false"/>
                <w:sz w:val="18"/>
                <w:szCs w:val="18"/>
              </w:rPr>
              <w:t xml:space="preserve">MAT/OPT</w:t>
            </w:r>
          </w:p>
        </w:tc>
        <w:tc>
          <w:tcPr>
            <w:tcW w:type="pct" w:w="15%"/>
            <w:tcMar>
              <w:top w:type="dxa" w:w="80"/>
              <w:left w:type="dxa" w:w="100"/>
              <w:bottom w:type="dxa" w:w="80"/>
              <w:right w:type="dxa" w:w="100"/>
            </w:tcMar>
            <w:vAlign w:val="center"/>
          </w:tcPr>
          <w:p>
            <w:r>
              <w:rPr>
                <w:b w:val="false"/>
                <w:bCs w:val="false"/>
                <w:sz w:val="18"/>
                <w:szCs w:val="18"/>
              </w:rPr>
              <w:t xml:space="preserve">EF-MAT-05/06</w:t>
            </w:r>
          </w:p>
        </w:tc>
        <w:tc>
          <w:tcPr>
            <w:tcW w:type="pct" w:w="57%"/>
            <w:tcMar>
              <w:top w:type="dxa" w:w="80"/>
              <w:left w:type="dxa" w:w="100"/>
              <w:bottom w:type="dxa" w:w="80"/>
              <w:right w:type="dxa" w:w="100"/>
            </w:tcMar>
            <w:vAlign w:val="center"/>
          </w:tcPr>
          <w:p>
            <w:r>
              <w:rPr>
                <w:b w:val="false"/>
                <w:bCs w:val="false"/>
                <w:sz w:val="18"/>
                <w:szCs w:val="18"/>
              </w:rPr>
              <w:t xml:space="preserve">Consolidation de plusieurs demandes après vérification de faisabilité ; séquences enlèvement-livraison</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2%"/>
            <w:shd w:fill="F5F5F5" w:val="clear"/>
            <w:tcMar>
              <w:top w:type="dxa" w:w="80"/>
              <w:left w:type="dxa" w:w="100"/>
              <w:bottom w:type="dxa" w:w="80"/>
              <w:right w:type="dxa" w:w="100"/>
            </w:tcMar>
            <w:vAlign w:val="center"/>
          </w:tcPr>
          <w:p>
            <w:r>
              <w:rPr>
                <w:b w:val="false"/>
                <w:bCs w:val="false"/>
                <w:sz w:val="18"/>
                <w:szCs w:val="18"/>
              </w:rPr>
              <w:t xml:space="preserve">MAT/OPT</w:t>
            </w:r>
          </w:p>
        </w:tc>
        <w:tc>
          <w:tcPr>
            <w:tcW w:type="pct" w:w="15%"/>
            <w:shd w:fill="F5F5F5" w:val="clear"/>
            <w:tcMar>
              <w:top w:type="dxa" w:w="80"/>
              <w:left w:type="dxa" w:w="100"/>
              <w:bottom w:type="dxa" w:w="80"/>
              <w:right w:type="dxa" w:w="100"/>
            </w:tcMar>
            <w:vAlign w:val="center"/>
          </w:tcPr>
          <w:p>
            <w:r>
              <w:rPr>
                <w:b w:val="false"/>
                <w:bCs w:val="false"/>
                <w:sz w:val="18"/>
                <w:szCs w:val="18"/>
              </w:rPr>
              <w:t xml:space="preserve">EF-MAT-07/08/09</w:t>
            </w:r>
          </w:p>
        </w:tc>
        <w:tc>
          <w:tcPr>
            <w:tcW w:type="pct" w:w="57%"/>
            <w:shd w:fill="F5F5F5" w:val="clear"/>
            <w:tcMar>
              <w:top w:type="dxa" w:w="80"/>
              <w:left w:type="dxa" w:w="100"/>
              <w:bottom w:type="dxa" w:w="80"/>
              <w:right w:type="dxa" w:w="100"/>
            </w:tcMar>
            <w:vAlign w:val="center"/>
          </w:tcPr>
          <w:p>
            <w:r>
              <w:rPr>
                <w:b w:val="false"/>
                <w:bCs w:val="false"/>
                <w:sz w:val="18"/>
                <w:szCs w:val="18"/>
              </w:rPr>
              <w:t xml:space="preserve">Vérification des charges à l'essieu à chaque état intermédiaire ; retour à vide ; replanification</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w:t>
            </w:r>
          </w:p>
        </w:tc>
      </w:tr>
      <w:tr>
        <w:tc>
          <w:tcPr>
            <w:tcW w:type="pct" w:w="12%"/>
            <w:tcMar>
              <w:top w:type="dxa" w:w="80"/>
              <w:left w:type="dxa" w:w="100"/>
              <w:bottom w:type="dxa" w:w="80"/>
              <w:right w:type="dxa" w:w="100"/>
            </w:tcMar>
            <w:vAlign w:val="center"/>
          </w:tcPr>
          <w:p>
            <w:r>
              <w:rPr>
                <w:b w:val="false"/>
                <w:bCs w:val="false"/>
                <w:sz w:val="18"/>
                <w:szCs w:val="18"/>
              </w:rPr>
              <w:t xml:space="preserve">MAT/OPT</w:t>
            </w:r>
          </w:p>
        </w:tc>
        <w:tc>
          <w:tcPr>
            <w:tcW w:type="pct" w:w="15%"/>
            <w:tcMar>
              <w:top w:type="dxa" w:w="80"/>
              <w:left w:type="dxa" w:w="100"/>
              <w:bottom w:type="dxa" w:w="80"/>
              <w:right w:type="dxa" w:w="100"/>
            </w:tcMar>
            <w:vAlign w:val="center"/>
          </w:tcPr>
          <w:p>
            <w:r>
              <w:rPr>
                <w:b w:val="false"/>
                <w:bCs w:val="false"/>
                <w:sz w:val="18"/>
                <w:szCs w:val="18"/>
              </w:rPr>
              <w:t xml:space="preserve">EF-MAT-13</w:t>
            </w:r>
          </w:p>
        </w:tc>
        <w:tc>
          <w:tcPr>
            <w:tcW w:type="pct" w:w="57%"/>
            <w:tcMar>
              <w:top w:type="dxa" w:w="80"/>
              <w:left w:type="dxa" w:w="100"/>
              <w:bottom w:type="dxa" w:w="80"/>
              <w:right w:type="dxa" w:w="100"/>
            </w:tcMar>
            <w:vAlign w:val="center"/>
          </w:tcPr>
          <w:p>
            <w:r>
              <w:rPr>
                <w:b w:val="false"/>
                <w:bCs w:val="false"/>
                <w:sz w:val="18"/>
                <w:szCs w:val="18"/>
              </w:rPr>
              <w:t xml:space="preserve">Plan de chargement exploitable restitué au chauffeur (palier V2)</w:t>
            </w:r>
          </w:p>
        </w:tc>
        <w:tc>
          <w:tcPr>
            <w:tcW w:type="pct" w:w="16%"/>
            <w:tcMar>
              <w:top w:type="dxa" w:w="80"/>
              <w:left w:type="dxa" w:w="100"/>
              <w:bottom w:type="dxa" w:w="80"/>
              <w:right w:type="dxa" w:w="100"/>
            </w:tcMar>
            <w:vAlign w:val="center"/>
          </w:tcPr>
          <w:p>
            <w:r>
              <w:rPr>
                <w:b w:val="false"/>
                <w:bCs w:val="false"/>
                <w:sz w:val="18"/>
                <w:szCs w:val="18"/>
              </w:rPr>
              <w:t xml:space="preserve">S</w:t>
            </w:r>
          </w:p>
        </w:tc>
      </w:tr>
      <w:tr>
        <w:tc>
          <w:tcPr>
            <w:tcW w:type="pct" w:w="12%"/>
            <w:shd w:fill="F5F5F5" w:val="clear"/>
            <w:tcMar>
              <w:top w:type="dxa" w:w="80"/>
              <w:left w:type="dxa" w:w="100"/>
              <w:bottom w:type="dxa" w:w="80"/>
              <w:right w:type="dxa" w:w="100"/>
            </w:tcMar>
            <w:vAlign w:val="center"/>
          </w:tcPr>
          <w:p>
            <w:r>
              <w:rPr>
                <w:b w:val="false"/>
                <w:bCs w:val="false"/>
                <w:sz w:val="18"/>
                <w:szCs w:val="18"/>
              </w:rPr>
              <w:t xml:space="preserve">MKT</w:t>
            </w:r>
          </w:p>
        </w:tc>
        <w:tc>
          <w:tcPr>
            <w:tcW w:type="pct" w:w="15%"/>
            <w:shd w:fill="F5F5F5" w:val="clear"/>
            <w:tcMar>
              <w:top w:type="dxa" w:w="80"/>
              <w:left w:type="dxa" w:w="100"/>
              <w:bottom w:type="dxa" w:w="80"/>
              <w:right w:type="dxa" w:w="100"/>
            </w:tcMar>
            <w:vAlign w:val="center"/>
          </w:tcPr>
          <w:p>
            <w:r>
              <w:rPr>
                <w:b w:val="false"/>
                <w:bCs w:val="false"/>
                <w:sz w:val="18"/>
                <w:szCs w:val="18"/>
              </w:rPr>
              <w:t xml:space="preserve">EF-MKT-05</w:t>
            </w:r>
          </w:p>
        </w:tc>
        <w:tc>
          <w:tcPr>
            <w:tcW w:type="pct" w:w="57%"/>
            <w:shd w:fill="F5F5F5" w:val="clear"/>
            <w:tcMar>
              <w:top w:type="dxa" w:w="80"/>
              <w:left w:type="dxa" w:w="100"/>
              <w:bottom w:type="dxa" w:w="80"/>
              <w:right w:type="dxa" w:w="100"/>
            </w:tcMar>
            <w:vAlign w:val="center"/>
          </w:tcPr>
          <w:p>
            <w:r>
              <w:rPr>
                <w:b w:val="false"/>
                <w:bCs w:val="false"/>
                <w:sz w:val="18"/>
                <w:szCs w:val="18"/>
              </w:rPr>
              <w:t xml:space="preserve">Niveau de confiance dimensionnelle et marge de sécurité appliquée par le moteur</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w:t>
            </w:r>
          </w:p>
        </w:tc>
      </w:tr>
      <w:tr>
        <w:tc>
          <w:tcPr>
            <w:tcW w:type="pct" w:w="12%"/>
            <w:tcMar>
              <w:top w:type="dxa" w:w="80"/>
              <w:left w:type="dxa" w:w="100"/>
              <w:bottom w:type="dxa" w:w="80"/>
              <w:right w:type="dxa" w:w="100"/>
            </w:tcMar>
            <w:vAlign w:val="center"/>
          </w:tcPr>
          <w:p>
            <w:r>
              <w:rPr>
                <w:b w:val="false"/>
                <w:bCs w:val="false"/>
                <w:sz w:val="18"/>
                <w:szCs w:val="18"/>
              </w:rPr>
              <w:t xml:space="preserve">FLT</w:t>
            </w:r>
          </w:p>
        </w:tc>
        <w:tc>
          <w:tcPr>
            <w:tcW w:type="pct" w:w="15%"/>
            <w:tcMar>
              <w:top w:type="dxa" w:w="80"/>
              <w:left w:type="dxa" w:w="100"/>
              <w:bottom w:type="dxa" w:w="80"/>
              <w:right w:type="dxa" w:w="100"/>
            </w:tcMar>
            <w:vAlign w:val="center"/>
          </w:tcPr>
          <w:p>
            <w:r>
              <w:rPr>
                <w:b w:val="false"/>
                <w:bCs w:val="false"/>
                <w:sz w:val="18"/>
                <w:szCs w:val="18"/>
              </w:rPr>
              <w:t xml:space="preserve">EF-FLT-04/05/06</w:t>
            </w:r>
          </w:p>
        </w:tc>
        <w:tc>
          <w:tcPr>
            <w:tcW w:type="pct" w:w="57%"/>
            <w:tcMar>
              <w:top w:type="dxa" w:w="80"/>
              <w:left w:type="dxa" w:w="100"/>
              <w:bottom w:type="dxa" w:w="80"/>
              <w:right w:type="dxa" w:w="100"/>
            </w:tcMar>
            <w:vAlign w:val="center"/>
          </w:tcPr>
          <w:p>
            <w:r>
              <w:rPr>
                <w:b w:val="false"/>
                <w:bCs w:val="false"/>
                <w:sz w:val="18"/>
                <w:szCs w:val="18"/>
              </w:rPr>
              <w:t xml:space="preserve">Connecteurs tiers à trois niveaux, connecteur générique par fichier, bascule automatique sur défaillance</w:t>
            </w:r>
          </w:p>
        </w:tc>
        <w:tc>
          <w:tcPr>
            <w:tcW w:type="pct" w:w="16%"/>
            <w:tcMar>
              <w:top w:type="dxa" w:w="80"/>
              <w:left w:type="dxa" w:w="100"/>
              <w:bottom w:type="dxa" w:w="80"/>
              <w:right w:type="dxa" w:w="100"/>
            </w:tcMar>
            <w:vAlign w:val="center"/>
          </w:tcPr>
          <w:p>
            <w:r>
              <w:rPr>
                <w:b w:val="false"/>
                <w:bCs w:val="false"/>
                <w:sz w:val="18"/>
                <w:szCs w:val="18"/>
              </w:rPr>
              <w:t xml:space="preserve">M</w:t>
            </w:r>
          </w:p>
        </w:tc>
      </w:tr>
      <w:tr>
        <w:tc>
          <w:tcPr>
            <w:tcW w:type="pct" w:w="12%"/>
            <w:shd w:fill="F5F5F5" w:val="clear"/>
            <w:tcMar>
              <w:top w:type="dxa" w:w="80"/>
              <w:left w:type="dxa" w:w="100"/>
              <w:bottom w:type="dxa" w:w="80"/>
              <w:right w:type="dxa" w:w="100"/>
            </w:tcMar>
            <w:vAlign w:val="center"/>
          </w:tcPr>
          <w:p>
            <w:r>
              <w:rPr>
                <w:b w:val="false"/>
                <w:bCs w:val="false"/>
                <w:sz w:val="18"/>
                <w:szCs w:val="18"/>
              </w:rPr>
              <w:t xml:space="preserve">PAY</w:t>
            </w:r>
          </w:p>
        </w:tc>
        <w:tc>
          <w:tcPr>
            <w:tcW w:type="pct" w:w="15%"/>
            <w:shd w:fill="F5F5F5" w:val="clear"/>
            <w:tcMar>
              <w:top w:type="dxa" w:w="80"/>
              <w:left w:type="dxa" w:w="100"/>
              <w:bottom w:type="dxa" w:w="80"/>
              <w:right w:type="dxa" w:w="100"/>
            </w:tcMar>
            <w:vAlign w:val="center"/>
          </w:tcPr>
          <w:p>
            <w:r>
              <w:rPr>
                <w:b w:val="false"/>
                <w:bCs w:val="false"/>
                <w:sz w:val="18"/>
                <w:szCs w:val="18"/>
              </w:rPr>
              <w:t xml:space="preserve">EF-PAY-06/07/08/09</w:t>
            </w:r>
          </w:p>
        </w:tc>
        <w:tc>
          <w:tcPr>
            <w:tcW w:type="pct" w:w="57%"/>
            <w:shd w:fill="F5F5F5" w:val="clear"/>
            <w:tcMar>
              <w:top w:type="dxa" w:w="80"/>
              <w:left w:type="dxa" w:w="100"/>
              <w:bottom w:type="dxa" w:w="80"/>
              <w:right w:type="dxa" w:w="100"/>
            </w:tcMar>
            <w:vAlign w:val="center"/>
          </w:tcPr>
          <w:p>
            <w:r>
              <w:rPr>
                <w:b w:val="false"/>
                <w:bCs w:val="false"/>
                <w:sz w:val="18"/>
                <w:szCs w:val="18"/>
              </w:rPr>
              <w:t xml:space="preserve">Monnaie électronique/virement/terme, mode espèces signalé, reversement auto à expiration du délai de contestation</w:t>
            </w:r>
          </w:p>
        </w:tc>
        <w:tc>
          <w:tcPr>
            <w:tcW w:type="pct" w:w="16%"/>
            <w:shd w:fill="F5F5F5" w:val="clear"/>
            <w:tcMar>
              <w:top w:type="dxa" w:w="80"/>
              <w:left w:type="dxa" w:w="100"/>
              <w:bottom w:type="dxa" w:w="80"/>
              <w:right w:type="dxa" w:w="100"/>
            </w:tcMar>
            <w:vAlign w:val="center"/>
          </w:tcPr>
          <w:p>
            <w:r>
              <w:rPr>
                <w:b w:val="false"/>
                <w:bCs w:val="false"/>
                <w:sz w:val="18"/>
                <w:szCs w:val="18"/>
              </w:rPr>
              <w:t xml:space="preserve">M/S</w:t>
            </w:r>
          </w:p>
        </w:tc>
      </w:tr>
      <w:tr>
        <w:tc>
          <w:tcPr>
            <w:tcW w:type="pct" w:w="12%"/>
            <w:tcMar>
              <w:top w:type="dxa" w:w="80"/>
              <w:left w:type="dxa" w:w="100"/>
              <w:bottom w:type="dxa" w:w="80"/>
              <w:right w:type="dxa" w:w="100"/>
            </w:tcMar>
            <w:vAlign w:val="center"/>
          </w:tcPr>
          <w:p>
            <w:r>
              <w:rPr>
                <w:b w:val="false"/>
                <w:bCs w:val="false"/>
                <w:sz w:val="18"/>
                <w:szCs w:val="18"/>
              </w:rPr>
              <w:t xml:space="preserve">GEO</w:t>
            </w:r>
          </w:p>
        </w:tc>
        <w:tc>
          <w:tcPr>
            <w:tcW w:type="pct" w:w="15%"/>
            <w:tcMar>
              <w:top w:type="dxa" w:w="80"/>
              <w:left w:type="dxa" w:w="100"/>
              <w:bottom w:type="dxa" w:w="80"/>
              <w:right w:type="dxa" w:w="100"/>
            </w:tcMar>
            <w:vAlign w:val="center"/>
          </w:tcPr>
          <w:p>
            <w:r>
              <w:rPr>
                <w:b w:val="false"/>
                <w:bCs w:val="false"/>
                <w:sz w:val="18"/>
                <w:szCs w:val="18"/>
              </w:rPr>
              <w:t xml:space="preserve">EF-GEO-04</w:t>
            </w:r>
          </w:p>
        </w:tc>
        <w:tc>
          <w:tcPr>
            <w:tcW w:type="pct" w:w="57%"/>
            <w:tcMar>
              <w:top w:type="dxa" w:w="80"/>
              <w:left w:type="dxa" w:w="100"/>
              <w:bottom w:type="dxa" w:w="80"/>
              <w:right w:type="dxa" w:w="100"/>
            </w:tcMar>
            <w:vAlign w:val="center"/>
          </w:tcPr>
          <w:p>
            <w:r>
              <w:rPr>
                <w:b w:val="false"/>
                <w:bCs w:val="false"/>
                <w:sz w:val="18"/>
                <w:szCs w:val="18"/>
              </w:rPr>
              <w:t xml:space="preserve">Surcouche de risque sécuritaire par segment (second axe)</w:t>
            </w:r>
          </w:p>
        </w:tc>
        <w:tc>
          <w:tcPr>
            <w:tcW w:type="pct" w:w="16%"/>
            <w:tcMar>
              <w:top w:type="dxa" w:w="80"/>
              <w:left w:type="dxa" w:w="100"/>
              <w:bottom w:type="dxa" w:w="80"/>
              <w:right w:type="dxa" w:w="100"/>
            </w:tcMar>
            <w:vAlign w:val="center"/>
          </w:tcPr>
          <w:p>
            <w:r>
              <w:rPr>
                <w:b w:val="false"/>
                <w:bCs w:val="false"/>
                <w:sz w:val="18"/>
                <w:szCs w:val="18"/>
              </w:rPr>
              <w:t xml:space="preserve">M</w:t>
            </w:r>
          </w:p>
        </w:tc>
      </w:tr>
    </w:tbl>
    <w:p>
      <w:pPr>
        <w:pStyle w:val="Heading2"/>
        <w:spacing w:after="140" w:before="260"/>
      </w:pPr>
      <w:r>
        <w:rPr>
          <w:b/>
          <w:bCs/>
          <w:color w:val="8A0F13"/>
          <w:sz w:val="24"/>
          <w:szCs w:val="24"/>
        </w:rPr>
        <w:t xml:space="preserve">5.3 Phase 3 — Densification et observatoire</w:t>
      </w:r>
    </w:p>
    <w:tbl>
      <w:tblPr>
        <w:tblW w:type="pct" w:w="10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C0392B"/>
                <w:sz w:val="20"/>
                <w:szCs w:val="20"/>
              </w:rPr>
              <w:t xml:space="preserve">🔴 Objectif Phase 3</w:t>
            </w:r>
          </w:p>
          <w:p>
            <w:r>
              <w:rPr>
                <w:sz w:val="19"/>
                <w:szCs w:val="19"/>
              </w:rPr>
              <w:t xml:space="preserve">Moteur V2 complet (oracle 3D) ; observatoire de marché en production ; extension aux axes suivants selon sécurité et densité ; second tenant institutionnel.</w:t>
            </w:r>
          </w:p>
        </w:tc>
      </w:tr>
    </w:tbl>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080"/>
        <w:gridCol w:w="1350"/>
        <w:gridCol w:w="5130"/>
        <w:gridCol w:w="1440"/>
      </w:tblGrid>
      <w:tr>
        <w:trPr>
          <w:tblHeader/>
        </w:trPr>
        <w:tc>
          <w:tcPr>
            <w:tcW w:type="pct" w:w="12%"/>
            <w:shd w:fill="2B2B2B" w:val="clear"/>
            <w:tcMar>
              <w:top w:type="dxa" w:w="80"/>
              <w:left w:type="dxa" w:w="100"/>
              <w:bottom w:type="dxa" w:w="80"/>
              <w:right w:type="dxa" w:w="100"/>
            </w:tcMar>
            <w:vAlign w:val="center"/>
          </w:tcPr>
          <w:p>
            <w:r>
              <w:rPr>
                <w:b/>
                <w:bCs/>
                <w:color w:val="FFFFFF"/>
                <w:sz w:val="18"/>
                <w:szCs w:val="18"/>
              </w:rPr>
              <w:t xml:space="preserve">Module</w:t>
            </w:r>
          </w:p>
        </w:tc>
        <w:tc>
          <w:tcPr>
            <w:tcW w:type="pct" w:w="15%"/>
            <w:shd w:fill="2B2B2B" w:val="clear"/>
            <w:tcMar>
              <w:top w:type="dxa" w:w="80"/>
              <w:left w:type="dxa" w:w="100"/>
              <w:bottom w:type="dxa" w:w="80"/>
              <w:right w:type="dxa" w:w="100"/>
            </w:tcMar>
            <w:vAlign w:val="center"/>
          </w:tcPr>
          <w:p>
            <w:r>
              <w:rPr>
                <w:b/>
                <w:bCs/>
                <w:color w:val="FFFFFF"/>
                <w:sz w:val="18"/>
                <w:szCs w:val="18"/>
              </w:rPr>
              <w:t xml:space="preserve">Réf.</w:t>
            </w:r>
          </w:p>
        </w:tc>
        <w:tc>
          <w:tcPr>
            <w:tcW w:type="pct" w:w="57%"/>
            <w:shd w:fill="2B2B2B" w:val="clear"/>
            <w:tcMar>
              <w:top w:type="dxa" w:w="80"/>
              <w:left w:type="dxa" w:w="100"/>
              <w:bottom w:type="dxa" w:w="80"/>
              <w:right w:type="dxa" w:w="100"/>
            </w:tcMar>
            <w:vAlign w:val="center"/>
          </w:tcPr>
          <w:p>
            <w:r>
              <w:rPr>
                <w:b/>
                <w:bCs/>
                <w:color w:val="FFFFFF"/>
                <w:sz w:val="18"/>
                <w:szCs w:val="18"/>
              </w:rPr>
              <w:t xml:space="preserve">Exigence (résumé)</w:t>
            </w:r>
          </w:p>
        </w:tc>
        <w:tc>
          <w:tcPr>
            <w:tcW w:type="pct" w:w="16%"/>
            <w:shd w:fill="2B2B2B" w:val="clear"/>
            <w:tcMar>
              <w:top w:type="dxa" w:w="80"/>
              <w:left w:type="dxa" w:w="100"/>
              <w:bottom w:type="dxa" w:w="80"/>
              <w:right w:type="dxa" w:w="100"/>
            </w:tcMar>
            <w:vAlign w:val="center"/>
          </w:tcPr>
          <w:p>
            <w:r>
              <w:rPr>
                <w:b/>
                <w:bCs/>
                <w:color w:val="FFFFFF"/>
                <w:sz w:val="18"/>
                <w:szCs w:val="18"/>
              </w:rPr>
              <w:t xml:space="preserve">Priorité</w:t>
            </w:r>
          </w:p>
        </w:tc>
      </w:tr>
      <w:tr>
        <w:tc>
          <w:tcPr>
            <w:tcW w:type="pct" w:w="12%"/>
            <w:tcMar>
              <w:top w:type="dxa" w:w="80"/>
              <w:left w:type="dxa" w:w="100"/>
              <w:bottom w:type="dxa" w:w="80"/>
              <w:right w:type="dxa" w:w="100"/>
            </w:tcMar>
            <w:vAlign w:val="center"/>
          </w:tcPr>
          <w:p>
            <w:r>
              <w:rPr>
                <w:b w:val="false"/>
                <w:bCs w:val="false"/>
                <w:sz w:val="18"/>
                <w:szCs w:val="18"/>
              </w:rPr>
              <w:t xml:space="preserve">BUR</w:t>
            </w:r>
          </w:p>
        </w:tc>
        <w:tc>
          <w:tcPr>
            <w:tcW w:type="pct" w:w="15%"/>
            <w:tcMar>
              <w:top w:type="dxa" w:w="80"/>
              <w:left w:type="dxa" w:w="100"/>
              <w:bottom w:type="dxa" w:w="80"/>
              <w:right w:type="dxa" w:w="100"/>
            </w:tcMar>
            <w:vAlign w:val="center"/>
          </w:tcPr>
          <w:p>
            <w:r>
              <w:rPr>
                <w:b w:val="false"/>
                <w:bCs w:val="false"/>
                <w:sz w:val="18"/>
                <w:szCs w:val="18"/>
              </w:rPr>
              <w:t xml:space="preserve">EF-BUR-04/05/06/07</w:t>
            </w:r>
          </w:p>
        </w:tc>
        <w:tc>
          <w:tcPr>
            <w:tcW w:type="pct" w:w="57%"/>
            <w:tcMar>
              <w:top w:type="dxa" w:w="80"/>
              <w:left w:type="dxa" w:w="100"/>
              <w:bottom w:type="dxa" w:w="80"/>
              <w:right w:type="dxa" w:w="100"/>
            </w:tcMar>
            <w:vAlign w:val="center"/>
          </w:tcPr>
          <w:p>
            <w:r>
              <w:rPr>
                <w:b w:val="false"/>
                <w:bCs w:val="false"/>
                <w:sz w:val="18"/>
                <w:szCs w:val="18"/>
              </w:rPr>
              <w:t xml:space="preserve">Seuil d'agrégation minimal, couverture d'échantillon affichée, journal nominatif des consultations, alertes configurables</w:t>
            </w:r>
          </w:p>
        </w:tc>
        <w:tc>
          <w:tcPr>
            <w:tcW w:type="pct" w:w="16%"/>
            <w:tcMar>
              <w:top w:type="dxa" w:w="80"/>
              <w:left w:type="dxa" w:w="100"/>
              <w:bottom w:type="dxa" w:w="80"/>
              <w:right w:type="dxa" w:w="100"/>
            </w:tcMar>
            <w:vAlign w:val="center"/>
          </w:tcPr>
          <w:p>
            <w:r>
              <w:rPr>
                <w:b w:val="false"/>
                <w:bCs w:val="false"/>
                <w:sz w:val="18"/>
                <w:szCs w:val="18"/>
              </w:rPr>
              <w:t xml:space="preserve">M/S</w:t>
            </w:r>
          </w:p>
        </w:tc>
      </w:tr>
      <w:tr>
        <w:tc>
          <w:tcPr>
            <w:tcW w:type="pct" w:w="12%"/>
            <w:shd w:fill="F5F5F5" w:val="clear"/>
            <w:tcMar>
              <w:top w:type="dxa" w:w="80"/>
              <w:left w:type="dxa" w:w="100"/>
              <w:bottom w:type="dxa" w:w="80"/>
              <w:right w:type="dxa" w:w="100"/>
            </w:tcMar>
            <w:vAlign w:val="center"/>
          </w:tcPr>
          <w:p>
            <w:r>
              <w:rPr>
                <w:b w:val="false"/>
                <w:bCs w:val="false"/>
                <w:sz w:val="18"/>
                <w:szCs w:val="18"/>
              </w:rPr>
              <w:t xml:space="preserve">INT</w:t>
            </w:r>
          </w:p>
        </w:tc>
        <w:tc>
          <w:tcPr>
            <w:tcW w:type="pct" w:w="15%"/>
            <w:shd w:fill="F5F5F5" w:val="clear"/>
            <w:tcMar>
              <w:top w:type="dxa" w:w="80"/>
              <w:left w:type="dxa" w:w="100"/>
              <w:bottom w:type="dxa" w:w="80"/>
              <w:right w:type="dxa" w:w="100"/>
            </w:tcMar>
            <w:vAlign w:val="center"/>
          </w:tcPr>
          <w:p>
            <w:r>
              <w:rPr>
                <w:b w:val="false"/>
                <w:bCs w:val="false"/>
                <w:sz w:val="18"/>
                <w:szCs w:val="18"/>
              </w:rPr>
              <w:t xml:space="preserve">EF-INT-01/03/04</w:t>
            </w:r>
          </w:p>
        </w:tc>
        <w:tc>
          <w:tcPr>
            <w:tcW w:type="pct" w:w="57%"/>
            <w:shd w:fill="F5F5F5" w:val="clear"/>
            <w:tcMar>
              <w:top w:type="dxa" w:w="80"/>
              <w:left w:type="dxa" w:w="100"/>
              <w:bottom w:type="dxa" w:w="80"/>
              <w:right w:type="dxa" w:w="100"/>
            </w:tcMar>
            <w:vAlign w:val="center"/>
          </w:tcPr>
          <w:p>
            <w:r>
              <w:rPr>
                <w:b w:val="false"/>
                <w:bCs w:val="false"/>
                <w:sz w:val="18"/>
                <w:szCs w:val="18"/>
              </w:rPr>
              <w:t xml:space="preserve">API partenaire documentée, référentiel de licences par tenant, export complet à tout moment</w:t>
            </w:r>
          </w:p>
        </w:tc>
        <w:tc>
          <w:tcPr>
            <w:tcW w:type="pct" w:w="16%"/>
            <w:shd w:fill="F5F5F5" w:val="clear"/>
            <w:tcMar>
              <w:top w:type="dxa" w:w="80"/>
              <w:left w:type="dxa" w:w="100"/>
              <w:bottom w:type="dxa" w:w="80"/>
              <w:right w:type="dxa" w:w="100"/>
            </w:tcMar>
            <w:vAlign w:val="center"/>
          </w:tcPr>
          <w:p>
            <w:r>
              <w:rPr>
                <w:b w:val="false"/>
                <w:bCs w:val="false"/>
                <w:sz w:val="18"/>
                <w:szCs w:val="18"/>
              </w:rPr>
              <w:t xml:space="preserve">S/M</w:t>
            </w:r>
          </w:p>
        </w:tc>
      </w:tr>
      <w:tr>
        <w:tc>
          <w:tcPr>
            <w:tcW w:type="pct" w:w="12%"/>
            <w:tcMar>
              <w:top w:type="dxa" w:w="80"/>
              <w:left w:type="dxa" w:w="100"/>
              <w:bottom w:type="dxa" w:w="80"/>
              <w:right w:type="dxa" w:w="100"/>
            </w:tcMar>
            <w:vAlign w:val="center"/>
          </w:tcPr>
          <w:p>
            <w:r>
              <w:rPr>
                <w:b w:val="false"/>
                <w:bCs w:val="false"/>
                <w:sz w:val="18"/>
                <w:szCs w:val="18"/>
              </w:rPr>
              <w:t xml:space="preserve">ADM</w:t>
            </w:r>
          </w:p>
        </w:tc>
        <w:tc>
          <w:tcPr>
            <w:tcW w:type="pct" w:w="15%"/>
            <w:tcMar>
              <w:top w:type="dxa" w:w="80"/>
              <w:left w:type="dxa" w:w="100"/>
              <w:bottom w:type="dxa" w:w="80"/>
              <w:right w:type="dxa" w:w="100"/>
            </w:tcMar>
            <w:vAlign w:val="center"/>
          </w:tcPr>
          <w:p>
            <w:r>
              <w:rPr>
                <w:b w:val="false"/>
                <w:bCs w:val="false"/>
                <w:sz w:val="18"/>
                <w:szCs w:val="18"/>
              </w:rPr>
              <w:t xml:space="preserve">EF-ADM-03/04/05</w:t>
            </w:r>
          </w:p>
        </w:tc>
        <w:tc>
          <w:tcPr>
            <w:tcW w:type="pct" w:w="57%"/>
            <w:tcMar>
              <w:top w:type="dxa" w:w="80"/>
              <w:left w:type="dxa" w:w="100"/>
              <w:bottom w:type="dxa" w:w="80"/>
              <w:right w:type="dxa" w:w="100"/>
            </w:tcMar>
            <w:vAlign w:val="center"/>
          </w:tcPr>
          <w:p>
            <w:r>
              <w:rPr>
                <w:b w:val="false"/>
                <w:bCs w:val="false"/>
                <w:sz w:val="18"/>
                <w:szCs w:val="18"/>
              </w:rPr>
              <w:t xml:space="preserve">Grille de décision versionnée, recours instruit par un opérateur différent, escalade automatique sur délai plafond</w:t>
            </w:r>
          </w:p>
        </w:tc>
        <w:tc>
          <w:tcPr>
            <w:tcW w:type="pct" w:w="16%"/>
            <w:tcMar>
              <w:top w:type="dxa" w:w="80"/>
              <w:left w:type="dxa" w:w="100"/>
              <w:bottom w:type="dxa" w:w="80"/>
              <w:right w:type="dxa" w:w="100"/>
            </w:tcMar>
            <w:vAlign w:val="center"/>
          </w:tcPr>
          <w:p>
            <w:r>
              <w:rPr>
                <w:b w:val="false"/>
                <w:bCs w:val="false"/>
                <w:sz w:val="18"/>
                <w:szCs w:val="18"/>
              </w:rPr>
              <w:t xml:space="preserve">M</w:t>
            </w:r>
          </w:p>
        </w:tc>
      </w:tr>
    </w:tbl>
    <w:p>
      <w:pPr>
        <w:pStyle w:val="Heading2"/>
        <w:spacing w:after="140" w:before="260"/>
      </w:pPr>
      <w:r>
        <w:rPr>
          <w:b/>
          <w:bCs/>
          <w:color w:val="8A0F13"/>
          <w:sz w:val="24"/>
          <w:szCs w:val="24"/>
        </w:rPr>
        <w:t xml:space="preserve">5.4 Phase 4 — Anticipation et régionalisation</w:t>
      </w:r>
    </w:p>
    <w:tbl>
      <w:tblPr>
        <w:tblW w:type="pct" w:w="100%"/>
        <w:tblBorders>
          <w:top w:val="single" w:color="2B2B2B" w:sz="4"/>
          <w:left w:val="single" w:color="2B2B2B" w:sz="4"/>
          <w:bottom w:val="single" w:color="2B2B2B" w:sz="4"/>
          <w:right w:val="single" w:color="2B2B2B"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2B2B2B"/>
                <w:sz w:val="20"/>
                <w:szCs w:val="20"/>
              </w:rPr>
              <w:t xml:space="preserve">Objectif Phase 4</w:t>
            </w:r>
          </w:p>
          <w:p>
            <w:r>
              <w:rPr>
                <w:sz w:val="19"/>
                <w:szCs w:val="19"/>
              </w:rPr>
              <w:t xml:space="preserve">Moteur V3 (apprentissage sur traces propres, prévision de demande) ; premiers axes transfrontaliers avec conventions bilatérales (retour du réseau CEMAC, différé et non abandonné).</w:t>
            </w:r>
          </w:p>
        </w:tc>
      </w:tr>
    </w:tbl>
    <w:p>
      <w:pPr>
        <w:pStyle w:val="ListParagraph"/>
        <w:numPr>
          <w:ilvl w:val="0"/>
          <w:numId w:val="1"/>
        </w:numPr>
        <w:spacing w:after="80"/>
      </w:pPr>
      <w:r>
        <w:rPr>
          <w:sz w:val="20"/>
          <w:szCs w:val="20"/>
        </w:rPr>
        <w:t xml:space="preserve">Module GEO — EF-GEO-05 : gestion de plusieurs pays et conventions bilatérales de répartition, chacune avec sa propre clé.</w:t>
      </w:r>
    </w:p>
    <w:p>
      <w:pPr>
        <w:pStyle w:val="ListParagraph"/>
        <w:numPr>
          <w:ilvl w:val="0"/>
          <w:numId w:val="1"/>
        </w:numPr>
        <w:spacing w:after="80"/>
      </w:pPr>
      <w:r>
        <w:rPr>
          <w:sz w:val="20"/>
          <w:szCs w:val="20"/>
        </w:rPr>
        <w:t xml:space="preserve">Module INT — EF-INT-02 : consommation des interfaces des dispositifs d'État lorsqu'elles existent, en mode dégradé si l'ouverture est partielle (jamais bloquant, EF-INT-05).</w:t>
      </w:r>
    </w:p>
    <w:p>
      <w:r>
        <w:br w:type="page"/>
      </w:r>
    </w:p>
    <w:p>
      <w:pPr>
        <w:pStyle w:val="Heading1"/>
        <w:spacing w:after="180" w:before="360"/>
      </w:pPr>
      <w:r>
        <w:rPr>
          <w:b/>
          <w:bCs/>
          <w:color w:val="D40F16"/>
          <w:sz w:val="30"/>
          <w:szCs w:val="30"/>
        </w:rPr>
        <w:t xml:space="preserve">6. Exigences non fonctionnelles</w:t>
      </w:r>
    </w:p>
    <w:p>
      <w:pPr>
        <w:spacing w:after="160"/>
      </w:pPr>
      <w:r>
        <w:rPr>
          <w:sz w:val="20"/>
          <w:szCs w:val="20"/>
        </w:rPr>
        <w:t xml:space="preserve">Extraites du §10 du CDC v4.0. Elles s'appliquent transversalement a tous les microservices et aux deux clients.</w:t>
      </w:r>
    </w:p>
    <w:p>
      <w:pPr>
        <w:pStyle w:val="Heading2"/>
        <w:spacing w:after="140" w:before="260"/>
      </w:pPr>
      <w:r>
        <w:rPr>
          <w:b/>
          <w:bCs/>
          <w:color w:val="8A0F13"/>
          <w:sz w:val="24"/>
          <w:szCs w:val="24"/>
        </w:rPr>
        <w:t xml:space="preserve">6.1 Performance et connectivite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440"/>
        <w:gridCol w:w="7560"/>
      </w:tblGrid>
      <w:tr>
        <w:trPr>
          <w:tblHeader/>
        </w:trPr>
        <w:tc>
          <w:tcPr>
            <w:tcW w:type="pct" w:w="16%"/>
            <w:shd w:fill="2B2B2B" w:val="clear"/>
            <w:tcMar>
              <w:top w:type="dxa" w:w="80"/>
              <w:left w:type="dxa" w:w="100"/>
              <w:bottom w:type="dxa" w:w="80"/>
              <w:right w:type="dxa" w:w="100"/>
            </w:tcMar>
            <w:vAlign w:val="center"/>
          </w:tcPr>
          <w:p>
            <w:r>
              <w:rPr>
                <w:b/>
                <w:bCs/>
                <w:color w:val="FFFFFF"/>
                <w:sz w:val="18"/>
                <w:szCs w:val="18"/>
              </w:rPr>
              <w:t xml:space="preserve">Ref.</w:t>
            </w:r>
          </w:p>
        </w:tc>
        <w:tc>
          <w:tcPr>
            <w:tcW w:type="pct" w:w="84%"/>
            <w:shd w:fill="2B2B2B" w:val="clear"/>
            <w:tcMar>
              <w:top w:type="dxa" w:w="80"/>
              <w:left w:type="dxa" w:w="100"/>
              <w:bottom w:type="dxa" w:w="80"/>
              <w:right w:type="dxa" w:w="100"/>
            </w:tcMar>
            <w:vAlign w:val="center"/>
          </w:tcPr>
          <w:p>
            <w:r>
              <w:rPr>
                <w:b/>
                <w:bCs/>
                <w:color w:val="FFFFFF"/>
                <w:sz w:val="18"/>
                <w:szCs w:val="18"/>
              </w:rPr>
              <w:t xml:space="preserve">Exigence</w:t>
            </w:r>
          </w:p>
        </w:tc>
      </w:tr>
      <w:tr>
        <w:tc>
          <w:tcPr>
            <w:tcW w:type="pct" w:w="16%"/>
            <w:tcMar>
              <w:top w:type="dxa" w:w="80"/>
              <w:left w:type="dxa" w:w="100"/>
              <w:bottom w:type="dxa" w:w="80"/>
              <w:right w:type="dxa" w:w="100"/>
            </w:tcMar>
            <w:vAlign w:val="center"/>
          </w:tcPr>
          <w:p>
            <w:r>
              <w:rPr>
                <w:b w:val="false"/>
                <w:bCs w:val="false"/>
                <w:sz w:val="18"/>
                <w:szCs w:val="18"/>
              </w:rPr>
              <w:t xml:space="preserve">ENF-PRF-01</w:t>
            </w:r>
          </w:p>
        </w:tc>
        <w:tc>
          <w:tcPr>
            <w:tcW w:type="pct" w:w="84%"/>
            <w:tcMar>
              <w:top w:type="dxa" w:w="80"/>
              <w:left w:type="dxa" w:w="100"/>
              <w:bottom w:type="dxa" w:w="80"/>
              <w:right w:type="dxa" w:w="100"/>
            </w:tcMar>
            <w:vAlign w:val="center"/>
          </w:tcPr>
          <w:p>
            <w:r>
              <w:rPr>
                <w:b w:val="false"/>
                <w:bCs w:val="false"/>
                <w:sz w:val="18"/>
                <w:szCs w:val="18"/>
              </w:rPr>
              <w:t xml:space="preserve">Operations interactives critiques &lt; 2 s au 95e centile sur reseau 3G.</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ENF-PRF-02</w:t>
            </w:r>
          </w:p>
        </w:tc>
        <w:tc>
          <w:tcPr>
            <w:tcW w:type="pct" w:w="84%"/>
            <w:shd w:fill="F5F5F5" w:val="clear"/>
            <w:tcMar>
              <w:top w:type="dxa" w:w="80"/>
              <w:left w:type="dxa" w:w="100"/>
              <w:bottom w:type="dxa" w:w="80"/>
              <w:right w:type="dxa" w:w="100"/>
            </w:tcMar>
            <w:vAlign w:val="center"/>
          </w:tcPr>
          <w:p>
            <w:r>
              <w:rPr>
                <w:b w:val="false"/>
                <w:bCs w:val="false"/>
                <w:sz w:val="18"/>
                <w:szCs w:val="18"/>
              </w:rPr>
              <w:t xml:space="preserve">Delai capture position -&gt; disponibilite en suivi &lt; 60 s au 95e centile, connectivite nominale.</w:t>
            </w:r>
          </w:p>
        </w:tc>
      </w:tr>
      <w:tr>
        <w:tc>
          <w:tcPr>
            <w:tcW w:type="pct" w:w="16%"/>
            <w:tcMar>
              <w:top w:type="dxa" w:w="80"/>
              <w:left w:type="dxa" w:w="100"/>
              <w:bottom w:type="dxa" w:w="80"/>
              <w:right w:type="dxa" w:w="100"/>
            </w:tcMar>
            <w:vAlign w:val="center"/>
          </w:tcPr>
          <w:p>
            <w:r>
              <w:rPr>
                <w:b w:val="false"/>
                <w:bCs w:val="false"/>
                <w:sz w:val="18"/>
                <w:szCs w:val="18"/>
              </w:rPr>
              <w:t xml:space="preserve">ENF-OFF-01</w:t>
            </w:r>
          </w:p>
        </w:tc>
        <w:tc>
          <w:tcPr>
            <w:tcW w:type="pct" w:w="84%"/>
            <w:tcMar>
              <w:top w:type="dxa" w:w="80"/>
              <w:left w:type="dxa" w:w="100"/>
              <w:bottom w:type="dxa" w:w="80"/>
              <w:right w:type="dxa" w:w="100"/>
            </w:tcMar>
            <w:vAlign w:val="center"/>
          </w:tcPr>
          <w:p>
            <w:r>
              <w:rPr>
                <w:b w:val="false"/>
                <w:bCs w:val="false"/>
                <w:sz w:val="18"/>
                <w:szCs w:val="18"/>
              </w:rPr>
              <w:t xml:space="preserve">App chauffeur hors ligne d'abord : capture locale, file persistante, synchro idempotente, sans perte ni doublon.</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ENF-OFF-02</w:t>
            </w:r>
          </w:p>
        </w:tc>
        <w:tc>
          <w:tcPr>
            <w:tcW w:type="pct" w:w="84%"/>
            <w:shd w:fill="F5F5F5" w:val="clear"/>
            <w:tcMar>
              <w:top w:type="dxa" w:w="80"/>
              <w:left w:type="dxa" w:w="100"/>
              <w:bottom w:type="dxa" w:w="80"/>
              <w:right w:type="dxa" w:w="100"/>
            </w:tcMar>
            <w:vAlign w:val="center"/>
          </w:tcPr>
          <w:p>
            <w:r>
              <w:rPr>
                <w:b w:val="false"/>
                <w:bCs w:val="false"/>
                <w:sz w:val="18"/>
                <w:szCs w:val="18"/>
              </w:rPr>
              <w:t xml:space="preserve">Autonomie &gt;= 10 h en continu sur appareil d'entree de gamme, suivi de position actif.</w:t>
            </w:r>
          </w:p>
        </w:tc>
      </w:tr>
    </w:tbl>
    <w:p>
      <w:pPr>
        <w:pStyle w:val="Heading2"/>
        <w:spacing w:after="140" w:before="260"/>
      </w:pPr>
      <w:r>
        <w:rPr>
          <w:b/>
          <w:bCs/>
          <w:color w:val="8A0F13"/>
          <w:sz w:val="24"/>
          <w:szCs w:val="24"/>
        </w:rPr>
        <w:t xml:space="preserve">6.2 Disponibilite et resilience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440"/>
        <w:gridCol w:w="7560"/>
      </w:tblGrid>
      <w:tr>
        <w:trPr>
          <w:tblHeader/>
        </w:trPr>
        <w:tc>
          <w:tcPr>
            <w:tcW w:type="pct" w:w="16%"/>
            <w:shd w:fill="2B2B2B" w:val="clear"/>
            <w:tcMar>
              <w:top w:type="dxa" w:w="80"/>
              <w:left w:type="dxa" w:w="100"/>
              <w:bottom w:type="dxa" w:w="80"/>
              <w:right w:type="dxa" w:w="100"/>
            </w:tcMar>
            <w:vAlign w:val="center"/>
          </w:tcPr>
          <w:p>
            <w:r>
              <w:rPr>
                <w:b/>
                <w:bCs/>
                <w:color w:val="FFFFFF"/>
                <w:sz w:val="18"/>
                <w:szCs w:val="18"/>
              </w:rPr>
              <w:t xml:space="preserve">Ref.</w:t>
            </w:r>
          </w:p>
        </w:tc>
        <w:tc>
          <w:tcPr>
            <w:tcW w:type="pct" w:w="84%"/>
            <w:shd w:fill="2B2B2B" w:val="clear"/>
            <w:tcMar>
              <w:top w:type="dxa" w:w="80"/>
              <w:left w:type="dxa" w:w="100"/>
              <w:bottom w:type="dxa" w:w="80"/>
              <w:right w:type="dxa" w:w="100"/>
            </w:tcMar>
            <w:vAlign w:val="center"/>
          </w:tcPr>
          <w:p>
            <w:r>
              <w:rPr>
                <w:b/>
                <w:bCs/>
                <w:color w:val="FFFFFF"/>
                <w:sz w:val="18"/>
                <w:szCs w:val="18"/>
              </w:rPr>
              <w:t xml:space="preserve">Exigence</w:t>
            </w:r>
          </w:p>
        </w:tc>
      </w:tr>
      <w:tr>
        <w:tc>
          <w:tcPr>
            <w:tcW w:type="pct" w:w="16%"/>
            <w:tcMar>
              <w:top w:type="dxa" w:w="80"/>
              <w:left w:type="dxa" w:w="100"/>
              <w:bottom w:type="dxa" w:w="80"/>
              <w:right w:type="dxa" w:w="100"/>
            </w:tcMar>
            <w:vAlign w:val="center"/>
          </w:tcPr>
          <w:p>
            <w:r>
              <w:rPr>
                <w:b w:val="false"/>
                <w:bCs w:val="false"/>
                <w:sz w:val="18"/>
                <w:szCs w:val="18"/>
              </w:rPr>
              <w:t xml:space="preserve">ENF-DIS-01</w:t>
            </w:r>
          </w:p>
        </w:tc>
        <w:tc>
          <w:tcPr>
            <w:tcW w:type="pct" w:w="84%"/>
            <w:tcMar>
              <w:top w:type="dxa" w:w="80"/>
              <w:left w:type="dxa" w:w="100"/>
              <w:bottom w:type="dxa" w:w="80"/>
              <w:right w:type="dxa" w:w="100"/>
            </w:tcMar>
            <w:vAlign w:val="center"/>
          </w:tcPr>
          <w:p>
            <w:r>
              <w:rPr>
                <w:b w:val="false"/>
                <w:bCs w:val="false"/>
                <w:sz w:val="18"/>
                <w:szCs w:val="18"/>
              </w:rPr>
              <w:t xml:space="preserve">Disponibilite du back-end &gt;= 99,5 % en heures ouvrees.</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ENF-DIS-02</w:t>
            </w:r>
          </w:p>
        </w:tc>
        <w:tc>
          <w:tcPr>
            <w:tcW w:type="pct" w:w="84%"/>
            <w:shd w:fill="F5F5F5" w:val="clear"/>
            <w:tcMar>
              <w:top w:type="dxa" w:w="80"/>
              <w:left w:type="dxa" w:w="100"/>
              <w:bottom w:type="dxa" w:w="80"/>
              <w:right w:type="dxa" w:w="100"/>
            </w:tcMar>
            <w:vAlign w:val="center"/>
          </w:tcPr>
          <w:p>
            <w:r>
              <w:rPr>
                <w:b w:val="false"/>
                <w:bCs w:val="false"/>
                <w:sz w:val="18"/>
                <w:szCs w:val="18"/>
              </w:rPr>
              <w:t xml:space="preserve">Aucune perte de position ni de preuve ; RPO &lt;= 1 h (transactionnel/financier), &lt;= 24 h (analytique).</w:t>
            </w:r>
          </w:p>
        </w:tc>
      </w:tr>
      <w:tr>
        <w:tc>
          <w:tcPr>
            <w:tcW w:type="pct" w:w="16%"/>
            <w:tcMar>
              <w:top w:type="dxa" w:w="80"/>
              <w:left w:type="dxa" w:w="100"/>
              <w:bottom w:type="dxa" w:w="80"/>
              <w:right w:type="dxa" w:w="100"/>
            </w:tcMar>
            <w:vAlign w:val="center"/>
          </w:tcPr>
          <w:p>
            <w:r>
              <w:rPr>
                <w:b w:val="false"/>
                <w:bCs w:val="false"/>
                <w:sz w:val="18"/>
                <w:szCs w:val="18"/>
              </w:rPr>
              <w:t xml:space="preserve">ENF-DIS-03</w:t>
            </w:r>
          </w:p>
        </w:tc>
        <w:tc>
          <w:tcPr>
            <w:tcW w:type="pct" w:w="84%"/>
            <w:tcMar>
              <w:top w:type="dxa" w:w="80"/>
              <w:left w:type="dxa" w:w="100"/>
              <w:bottom w:type="dxa" w:w="80"/>
              <w:right w:type="dxa" w:w="100"/>
            </w:tcMar>
            <w:vAlign w:val="center"/>
          </w:tcPr>
          <w:p>
            <w:r>
              <w:rPr>
                <w:b w:val="false"/>
                <w:bCs w:val="false"/>
                <w:sz w:val="18"/>
                <w:szCs w:val="18"/>
              </w:rPr>
              <w:t xml:space="preserve">RTO &lt;= 4 h.</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ENF-DIS-04</w:t>
            </w:r>
          </w:p>
        </w:tc>
        <w:tc>
          <w:tcPr>
            <w:tcW w:type="pct" w:w="84%"/>
            <w:shd w:fill="F5F5F5" w:val="clear"/>
            <w:tcMar>
              <w:top w:type="dxa" w:w="80"/>
              <w:left w:type="dxa" w:w="100"/>
              <w:bottom w:type="dxa" w:w="80"/>
              <w:right w:type="dxa" w:w="100"/>
            </w:tcMar>
            <w:vAlign w:val="center"/>
          </w:tcPr>
          <w:p>
            <w:r>
              <w:rPr>
                <w:b w:val="false"/>
                <w:bCs w:val="false"/>
                <w:sz w:val="18"/>
                <w:szCs w:val="18"/>
              </w:rPr>
              <w:t xml:space="preserve">L'indisponibilite du moteur ne doit jamais empecher consultation, publication ou suivi.</w:t>
            </w:r>
          </w:p>
        </w:tc>
      </w:tr>
    </w:tbl>
    <w:p>
      <w:pPr>
        <w:pStyle w:val="Heading2"/>
        <w:spacing w:after="140" w:before="260"/>
      </w:pPr>
      <w:r>
        <w:rPr>
          <w:b/>
          <w:bCs/>
          <w:color w:val="8A0F13"/>
          <w:sz w:val="24"/>
          <w:szCs w:val="24"/>
        </w:rPr>
        <w:t xml:space="preserve">6.3 Securite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440"/>
        <w:gridCol w:w="7560"/>
      </w:tblGrid>
      <w:tr>
        <w:trPr>
          <w:tblHeader/>
        </w:trPr>
        <w:tc>
          <w:tcPr>
            <w:tcW w:type="pct" w:w="16%"/>
            <w:shd w:fill="2B2B2B" w:val="clear"/>
            <w:tcMar>
              <w:top w:type="dxa" w:w="80"/>
              <w:left w:type="dxa" w:w="100"/>
              <w:bottom w:type="dxa" w:w="80"/>
              <w:right w:type="dxa" w:w="100"/>
            </w:tcMar>
            <w:vAlign w:val="center"/>
          </w:tcPr>
          <w:p>
            <w:r>
              <w:rPr>
                <w:b/>
                <w:bCs/>
                <w:color w:val="FFFFFF"/>
                <w:sz w:val="18"/>
                <w:szCs w:val="18"/>
              </w:rPr>
              <w:t xml:space="preserve">Ref.</w:t>
            </w:r>
          </w:p>
        </w:tc>
        <w:tc>
          <w:tcPr>
            <w:tcW w:type="pct" w:w="84%"/>
            <w:shd w:fill="2B2B2B" w:val="clear"/>
            <w:tcMar>
              <w:top w:type="dxa" w:w="80"/>
              <w:left w:type="dxa" w:w="100"/>
              <w:bottom w:type="dxa" w:w="80"/>
              <w:right w:type="dxa" w:w="100"/>
            </w:tcMar>
            <w:vAlign w:val="center"/>
          </w:tcPr>
          <w:p>
            <w:r>
              <w:rPr>
                <w:b/>
                <w:bCs/>
                <w:color w:val="FFFFFF"/>
                <w:sz w:val="18"/>
                <w:szCs w:val="18"/>
              </w:rPr>
              <w:t xml:space="preserve">Exigence</w:t>
            </w:r>
          </w:p>
        </w:tc>
      </w:tr>
      <w:tr>
        <w:tc>
          <w:tcPr>
            <w:tcW w:type="pct" w:w="16%"/>
            <w:tcMar>
              <w:top w:type="dxa" w:w="80"/>
              <w:left w:type="dxa" w:w="100"/>
              <w:bottom w:type="dxa" w:w="80"/>
              <w:right w:type="dxa" w:w="100"/>
            </w:tcMar>
            <w:vAlign w:val="center"/>
          </w:tcPr>
          <w:p>
            <w:r>
              <w:rPr>
                <w:b w:val="false"/>
                <w:bCs w:val="false"/>
                <w:sz w:val="18"/>
                <w:szCs w:val="18"/>
              </w:rPr>
              <w:t xml:space="preserve">ENF-SEC-01</w:t>
            </w:r>
          </w:p>
        </w:tc>
        <w:tc>
          <w:tcPr>
            <w:tcW w:type="pct" w:w="84%"/>
            <w:tcMar>
              <w:top w:type="dxa" w:w="80"/>
              <w:left w:type="dxa" w:w="100"/>
              <w:bottom w:type="dxa" w:w="80"/>
              <w:right w:type="dxa" w:w="100"/>
            </w:tcMar>
            <w:vAlign w:val="center"/>
          </w:tcPr>
          <w:p>
            <w:r>
              <w:rPr>
                <w:b w:val="false"/>
                <w:bCs w:val="false"/>
                <w:sz w:val="18"/>
                <w:szCs w:val="18"/>
              </w:rPr>
              <w:t xml:space="preserve">Chiffrement en transit et au repos ; authentification forte back-office/portails institutionnels ; moindre privilege.</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ENF-SEC-02</w:t>
            </w:r>
          </w:p>
        </w:tc>
        <w:tc>
          <w:tcPr>
            <w:tcW w:type="pct" w:w="84%"/>
            <w:shd w:fill="F5F5F5" w:val="clear"/>
            <w:tcMar>
              <w:top w:type="dxa" w:w="80"/>
              <w:left w:type="dxa" w:w="100"/>
              <w:bottom w:type="dxa" w:w="80"/>
              <w:right w:type="dxa" w:w="100"/>
            </w:tcMar>
            <w:vAlign w:val="center"/>
          </w:tcPr>
          <w:p>
            <w:r>
              <w:rPr>
                <w:b w:val="false"/>
                <w:bCs w:val="false"/>
                <w:sz w:val="18"/>
                <w:szCs w:val="18"/>
              </w:rPr>
              <w:t xml:space="preserve">Journal d'audit en ajout seul, inviolable (financier, verification, consultations de donnees personnelles).</w:t>
            </w:r>
          </w:p>
        </w:tc>
      </w:tr>
      <w:tr>
        <w:tc>
          <w:tcPr>
            <w:tcW w:type="pct" w:w="16%"/>
            <w:tcMar>
              <w:top w:type="dxa" w:w="80"/>
              <w:left w:type="dxa" w:w="100"/>
              <w:bottom w:type="dxa" w:w="80"/>
              <w:right w:type="dxa" w:w="100"/>
            </w:tcMar>
            <w:vAlign w:val="center"/>
          </w:tcPr>
          <w:p>
            <w:r>
              <w:rPr>
                <w:b w:val="false"/>
                <w:bCs w:val="false"/>
                <w:sz w:val="18"/>
                <w:szCs w:val="18"/>
              </w:rPr>
              <w:t xml:space="preserve">ENF-SEC-03</w:t>
            </w:r>
          </w:p>
        </w:tc>
        <w:tc>
          <w:tcPr>
            <w:tcW w:type="pct" w:w="84%"/>
            <w:tcMar>
              <w:top w:type="dxa" w:w="80"/>
              <w:left w:type="dxa" w:w="100"/>
              <w:bottom w:type="dxa" w:w="80"/>
              <w:right w:type="dxa" w:w="100"/>
            </w:tcMar>
            <w:vAlign w:val="center"/>
          </w:tcPr>
          <w:p>
            <w:r>
              <w:rPr>
                <w:b w:val="false"/>
                <w:bCs w:val="false"/>
                <w:sz w:val="18"/>
                <w:szCs w:val="18"/>
              </w:rPr>
              <w:t xml:space="preserve">Idempotence et signature de tous les echanges avec les partenaires externes.</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ENF-SEC-04</w:t>
            </w:r>
          </w:p>
        </w:tc>
        <w:tc>
          <w:tcPr>
            <w:tcW w:type="pct" w:w="84%"/>
            <w:shd w:fill="F5F5F5" w:val="clear"/>
            <w:tcMar>
              <w:top w:type="dxa" w:w="80"/>
              <w:left w:type="dxa" w:w="100"/>
              <w:bottom w:type="dxa" w:w="80"/>
              <w:right w:type="dxa" w:w="100"/>
            </w:tcMar>
            <w:vAlign w:val="center"/>
          </w:tcPr>
          <w:p>
            <w:r>
              <w:rPr>
                <w:b w:val="false"/>
                <w:bCs w:val="false"/>
                <w:sz w:val="18"/>
                <w:szCs w:val="18"/>
              </w:rPr>
              <w:t xml:space="preserve">Suite de tests d'isolation a chaque livraison, tentant activement des acces transverses depuis chaque role - echec bloquant.</w:t>
            </w:r>
          </w:p>
        </w:tc>
      </w:tr>
      <w:tr>
        <w:tc>
          <w:tcPr>
            <w:tcW w:type="pct" w:w="16%"/>
            <w:tcMar>
              <w:top w:type="dxa" w:w="80"/>
              <w:left w:type="dxa" w:w="100"/>
              <w:bottom w:type="dxa" w:w="80"/>
              <w:right w:type="dxa" w:w="100"/>
            </w:tcMar>
            <w:vAlign w:val="center"/>
          </w:tcPr>
          <w:p>
            <w:r>
              <w:rPr>
                <w:b w:val="false"/>
                <w:bCs w:val="false"/>
                <w:sz w:val="18"/>
                <w:szCs w:val="18"/>
              </w:rPr>
              <w:t xml:space="preserve">ENF-SEC-05</w:t>
            </w:r>
          </w:p>
        </w:tc>
        <w:tc>
          <w:tcPr>
            <w:tcW w:type="pct" w:w="84%"/>
            <w:tcMar>
              <w:top w:type="dxa" w:w="80"/>
              <w:left w:type="dxa" w:w="100"/>
              <w:bottom w:type="dxa" w:w="80"/>
              <w:right w:type="dxa" w:w="100"/>
            </w:tcMar>
            <w:vAlign w:val="center"/>
          </w:tcPr>
          <w:p>
            <w:r>
              <w:rPr>
                <w:b w:val="false"/>
                <w:bCs w:val="false"/>
                <w:sz w:val="18"/>
                <w:szCs w:val="18"/>
              </w:rPr>
              <w:t xml:space="preserve">Secrets centralises, jamais dans le code ni les images ; rotation periodique.</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ENF-SEC-06</w:t>
            </w:r>
          </w:p>
        </w:tc>
        <w:tc>
          <w:tcPr>
            <w:tcW w:type="pct" w:w="84%"/>
            <w:shd w:fill="F5F5F5" w:val="clear"/>
            <w:tcMar>
              <w:top w:type="dxa" w:w="80"/>
              <w:left w:type="dxa" w:w="100"/>
              <w:bottom w:type="dxa" w:w="80"/>
              <w:right w:type="dxa" w:w="100"/>
            </w:tcMar>
            <w:vAlign w:val="center"/>
          </w:tcPr>
          <w:p>
            <w:r>
              <w:rPr>
                <w:b w:val="false"/>
                <w:bCs w:val="false"/>
                <w:sz w:val="18"/>
                <w:szCs w:val="18"/>
              </w:rPr>
              <w:t xml:space="preserve">Test d'intrusion externe avant mise en production initiale, puis annuellement.</w:t>
            </w:r>
          </w:p>
        </w:tc>
      </w:tr>
    </w:tbl>
    <w:p>
      <w:pPr>
        <w:pStyle w:val="Heading2"/>
        <w:spacing w:after="140" w:before="260"/>
      </w:pPr>
      <w:r>
        <w:rPr>
          <w:b/>
          <w:bCs/>
          <w:color w:val="8A0F13"/>
          <w:sz w:val="24"/>
          <w:szCs w:val="24"/>
        </w:rPr>
        <w:t xml:space="preserve">6.4 Discipline financiere (garde-fou central de la V4)</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440"/>
        <w:gridCol w:w="7560"/>
      </w:tblGrid>
      <w:tr>
        <w:trPr>
          <w:tblHeader/>
        </w:trPr>
        <w:tc>
          <w:tcPr>
            <w:tcW w:type="pct" w:w="16%"/>
            <w:shd w:fill="2B2B2B" w:val="clear"/>
            <w:tcMar>
              <w:top w:type="dxa" w:w="80"/>
              <w:left w:type="dxa" w:w="100"/>
              <w:bottom w:type="dxa" w:w="80"/>
              <w:right w:type="dxa" w:w="100"/>
            </w:tcMar>
            <w:vAlign w:val="center"/>
          </w:tcPr>
          <w:p>
            <w:r>
              <w:rPr>
                <w:b/>
                <w:bCs/>
                <w:color w:val="FFFFFF"/>
                <w:sz w:val="18"/>
                <w:szCs w:val="18"/>
              </w:rPr>
              <w:t xml:space="preserve">Ref.</w:t>
            </w:r>
          </w:p>
        </w:tc>
        <w:tc>
          <w:tcPr>
            <w:tcW w:type="pct" w:w="84%"/>
            <w:shd w:fill="2B2B2B" w:val="clear"/>
            <w:tcMar>
              <w:top w:type="dxa" w:w="80"/>
              <w:left w:type="dxa" w:w="100"/>
              <w:bottom w:type="dxa" w:w="80"/>
              <w:right w:type="dxa" w:w="100"/>
            </w:tcMar>
            <w:vAlign w:val="center"/>
          </w:tcPr>
          <w:p>
            <w:r>
              <w:rPr>
                <w:b/>
                <w:bCs/>
                <w:color w:val="FFFFFF"/>
                <w:sz w:val="18"/>
                <w:szCs w:val="18"/>
              </w:rPr>
              <w:t xml:space="preserve">Exigence</w:t>
            </w:r>
          </w:p>
        </w:tc>
      </w:tr>
      <w:tr>
        <w:tc>
          <w:tcPr>
            <w:tcW w:type="pct" w:w="16%"/>
            <w:tcMar>
              <w:top w:type="dxa" w:w="80"/>
              <w:left w:type="dxa" w:w="100"/>
              <w:bottom w:type="dxa" w:w="80"/>
              <w:right w:type="dxa" w:w="100"/>
            </w:tcMar>
            <w:vAlign w:val="center"/>
          </w:tcPr>
          <w:p>
            <w:r>
              <w:rPr>
                <w:b w:val="false"/>
                <w:bCs w:val="false"/>
                <w:sz w:val="18"/>
                <w:szCs w:val="18"/>
              </w:rPr>
              <w:t xml:space="preserve">ENF-FIN-01</w:t>
            </w:r>
          </w:p>
        </w:tc>
        <w:tc>
          <w:tcPr>
            <w:tcW w:type="pct" w:w="84%"/>
            <w:tcMar>
              <w:top w:type="dxa" w:w="80"/>
              <w:left w:type="dxa" w:w="100"/>
              <w:bottom w:type="dxa" w:w="80"/>
              <w:right w:type="dxa" w:w="100"/>
            </w:tcMar>
            <w:vAlign w:val="center"/>
          </w:tcPr>
          <w:p>
            <w:r>
              <w:rPr>
                <w:b w:val="false"/>
                <w:bCs w:val="false"/>
                <w:sz w:val="18"/>
                <w:szCs w:val="18"/>
              </w:rPr>
              <w:t xml:space="preserve">Controle automatise en CI verifiant qu'aucun chemin de code ne cree d'ecriture de tresorerie sur un compte FretCorridor. Echec bloquant.</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ENF-FIN-02</w:t>
            </w:r>
          </w:p>
        </w:tc>
        <w:tc>
          <w:tcPr>
            <w:tcW w:type="pct" w:w="84%"/>
            <w:shd w:fill="F5F5F5" w:val="clear"/>
            <w:tcMar>
              <w:top w:type="dxa" w:w="80"/>
              <w:left w:type="dxa" w:w="100"/>
              <w:bottom w:type="dxa" w:w="80"/>
              <w:right w:type="dxa" w:w="100"/>
            </w:tcMar>
            <w:vAlign w:val="center"/>
          </w:tcPr>
          <w:p>
            <w:r>
              <w:rPr>
                <w:b w:val="false"/>
                <w:bCs w:val="false"/>
                <w:sz w:val="18"/>
                <w:szCs w:val="18"/>
              </w:rPr>
              <w:t xml:space="preserve">Controle automatise verifiant qu'aucun reversement n'est instruit sans encaissement correspondant enregistre.</w:t>
            </w:r>
          </w:p>
        </w:tc>
      </w:tr>
      <w:tr>
        <w:tc>
          <w:tcPr>
            <w:tcW w:type="pct" w:w="16%"/>
            <w:tcMar>
              <w:top w:type="dxa" w:w="80"/>
              <w:left w:type="dxa" w:w="100"/>
              <w:bottom w:type="dxa" w:w="80"/>
              <w:right w:type="dxa" w:w="100"/>
            </w:tcMar>
            <w:vAlign w:val="center"/>
          </w:tcPr>
          <w:p>
            <w:r>
              <w:rPr>
                <w:b w:val="false"/>
                <w:bCs w:val="false"/>
                <w:sz w:val="18"/>
                <w:szCs w:val="18"/>
              </w:rPr>
              <w:t xml:space="preserve">ENF-FIN-03</w:t>
            </w:r>
          </w:p>
        </w:tc>
        <w:tc>
          <w:tcPr>
            <w:tcW w:type="pct" w:w="84%"/>
            <w:tcMar>
              <w:top w:type="dxa" w:w="80"/>
              <w:left w:type="dxa" w:w="100"/>
              <w:bottom w:type="dxa" w:w="80"/>
              <w:right w:type="dxa" w:w="100"/>
            </w:tcMar>
            <w:vAlign w:val="center"/>
          </w:tcPr>
          <w:p>
            <w:r>
              <w:rPr>
                <w:b w:val="false"/>
                <w:bCs w:val="false"/>
                <w:sz w:val="18"/>
                <w:szCs w:val="18"/>
              </w:rPr>
              <w:t xml:space="preserve">Reconciliation quotidienne, alerte bloquante sur tout ecart, ecart isole et tracable.</w:t>
            </w:r>
          </w:p>
        </w:tc>
      </w:tr>
    </w:tbl>
    <w:p>
      <w:pPr>
        <w:pStyle w:val="Heading2"/>
        <w:spacing w:after="140" w:before="260"/>
      </w:pPr>
      <w:r>
        <w:rPr>
          <w:b/>
          <w:bCs/>
          <w:color w:val="8A0F13"/>
          <w:sz w:val="24"/>
          <w:szCs w:val="24"/>
        </w:rPr>
        <w:t xml:space="preserve">6.5 Multi-tenant, observabilite, internationalisation</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440"/>
        <w:gridCol w:w="7560"/>
      </w:tblGrid>
      <w:tr>
        <w:trPr>
          <w:tblHeader/>
        </w:trPr>
        <w:tc>
          <w:tcPr>
            <w:tcW w:type="pct" w:w="16%"/>
            <w:shd w:fill="2B2B2B" w:val="clear"/>
            <w:tcMar>
              <w:top w:type="dxa" w:w="80"/>
              <w:left w:type="dxa" w:w="100"/>
              <w:bottom w:type="dxa" w:w="80"/>
              <w:right w:type="dxa" w:w="100"/>
            </w:tcMar>
            <w:vAlign w:val="center"/>
          </w:tcPr>
          <w:p>
            <w:r>
              <w:rPr>
                <w:b/>
                <w:bCs/>
                <w:color w:val="FFFFFF"/>
                <w:sz w:val="18"/>
                <w:szCs w:val="18"/>
              </w:rPr>
              <w:t xml:space="preserve">Ref.</w:t>
            </w:r>
          </w:p>
        </w:tc>
        <w:tc>
          <w:tcPr>
            <w:tcW w:type="pct" w:w="84%"/>
            <w:shd w:fill="2B2B2B" w:val="clear"/>
            <w:tcMar>
              <w:top w:type="dxa" w:w="80"/>
              <w:left w:type="dxa" w:w="100"/>
              <w:bottom w:type="dxa" w:w="80"/>
              <w:right w:type="dxa" w:w="100"/>
            </w:tcMar>
            <w:vAlign w:val="center"/>
          </w:tcPr>
          <w:p>
            <w:r>
              <w:rPr>
                <w:b/>
                <w:bCs/>
                <w:color w:val="FFFFFF"/>
                <w:sz w:val="18"/>
                <w:szCs w:val="18"/>
              </w:rPr>
              <w:t xml:space="preserve">Exigence</w:t>
            </w:r>
          </w:p>
        </w:tc>
      </w:tr>
      <w:tr>
        <w:tc>
          <w:tcPr>
            <w:tcW w:type="pct" w:w="16%"/>
            <w:tcMar>
              <w:top w:type="dxa" w:w="80"/>
              <w:left w:type="dxa" w:w="100"/>
              <w:bottom w:type="dxa" w:w="80"/>
              <w:right w:type="dxa" w:w="100"/>
            </w:tcMar>
            <w:vAlign w:val="center"/>
          </w:tcPr>
          <w:p>
            <w:r>
              <w:rPr>
                <w:b w:val="false"/>
                <w:bCs w:val="false"/>
                <w:sz w:val="18"/>
                <w:szCs w:val="18"/>
              </w:rPr>
              <w:t xml:space="preserve">ENF-MUL-01/03</w:t>
            </w:r>
          </w:p>
        </w:tc>
        <w:tc>
          <w:tcPr>
            <w:tcW w:type="pct" w:w="84%"/>
            <w:tcMar>
              <w:top w:type="dxa" w:w="80"/>
              <w:left w:type="dxa" w:w="100"/>
              <w:bottom w:type="dxa" w:w="80"/>
              <w:right w:type="dxa" w:w="100"/>
            </w:tcMar>
            <w:vAlign w:val="center"/>
          </w:tcPr>
          <w:p>
            <w:r>
              <w:rPr>
                <w:b w:val="false"/>
                <w:bCs w:val="false"/>
                <w:sz w:val="18"/>
                <w:szCs w:val="18"/>
              </w:rPr>
              <w:t xml:space="preserve">Isolation stricte tenant/pays verifiee par tests automatises ; reversibilite (export complet documente).</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ENF-OBS-01/02</w:t>
            </w:r>
          </w:p>
        </w:tc>
        <w:tc>
          <w:tcPr>
            <w:tcW w:type="pct" w:w="84%"/>
            <w:shd w:fill="F5F5F5" w:val="clear"/>
            <w:tcMar>
              <w:top w:type="dxa" w:w="80"/>
              <w:left w:type="dxa" w:w="100"/>
              <w:bottom w:type="dxa" w:w="80"/>
              <w:right w:type="dxa" w:w="100"/>
            </w:tcMar>
            <w:vAlign w:val="center"/>
          </w:tcPr>
          <w:p>
            <w:r>
              <w:rPr>
                <w:b w:val="false"/>
                <w:bCs w:val="false"/>
                <w:sz w:val="18"/>
                <w:szCs w:val="18"/>
              </w:rPr>
              <w:t xml:space="preserve">Tracage distribue, journalisation structuree, alerting SLO/cout notifications/ecarts de reconciliation/cycles degrades.</w:t>
            </w:r>
          </w:p>
        </w:tc>
      </w:tr>
      <w:tr>
        <w:tc>
          <w:tcPr>
            <w:tcW w:type="pct" w:w="16%"/>
            <w:tcMar>
              <w:top w:type="dxa" w:w="80"/>
              <w:left w:type="dxa" w:w="100"/>
              <w:bottom w:type="dxa" w:w="80"/>
              <w:right w:type="dxa" w:w="100"/>
            </w:tcMar>
            <w:vAlign w:val="center"/>
          </w:tcPr>
          <w:p>
            <w:r>
              <w:rPr>
                <w:b w:val="false"/>
                <w:bCs w:val="false"/>
                <w:sz w:val="18"/>
                <w:szCs w:val="18"/>
              </w:rPr>
              <w:t xml:space="preserve">ENF-OBS-03/04</w:t>
            </w:r>
          </w:p>
        </w:tc>
        <w:tc>
          <w:tcPr>
            <w:tcW w:type="pct" w:w="84%"/>
            <w:tcMar>
              <w:top w:type="dxa" w:w="80"/>
              <w:left w:type="dxa" w:w="100"/>
              <w:bottom w:type="dxa" w:w="80"/>
              <w:right w:type="dxa" w:w="100"/>
            </w:tcMar>
            <w:vAlign w:val="center"/>
          </w:tcPr>
          <w:p>
            <w:r>
              <w:rPr>
                <w:b w:val="false"/>
                <w:bCs w:val="false"/>
                <w:sz w:val="18"/>
                <w:szCs w:val="18"/>
              </w:rPr>
              <w:t xml:space="preserve">Infrastructure as code, CI/CD avec tests automatises ; reproductibilite des executions du moteur.</w:t>
            </w:r>
          </w:p>
        </w:tc>
      </w:tr>
      <w:tr>
        <w:tc>
          <w:tcPr>
            <w:tcW w:type="pct" w:w="16%"/>
            <w:shd w:fill="F5F5F5" w:val="clear"/>
            <w:tcMar>
              <w:top w:type="dxa" w:w="80"/>
              <w:left w:type="dxa" w:w="100"/>
              <w:bottom w:type="dxa" w:w="80"/>
              <w:right w:type="dxa" w:w="100"/>
            </w:tcMar>
            <w:vAlign w:val="center"/>
          </w:tcPr>
          <w:p>
            <w:r>
              <w:rPr>
                <w:b w:val="false"/>
                <w:bCs w:val="false"/>
                <w:sz w:val="18"/>
                <w:szCs w:val="18"/>
              </w:rPr>
              <w:t xml:space="preserve">ENF-I18N-01</w:t>
            </w:r>
          </w:p>
        </w:tc>
        <w:tc>
          <w:tcPr>
            <w:tcW w:type="pct" w:w="84%"/>
            <w:shd w:fill="F5F5F5" w:val="clear"/>
            <w:tcMar>
              <w:top w:type="dxa" w:w="80"/>
              <w:left w:type="dxa" w:w="100"/>
              <w:bottom w:type="dxa" w:w="80"/>
              <w:right w:type="dxa" w:w="100"/>
            </w:tcMar>
            <w:vAlign w:val="center"/>
          </w:tcPr>
          <w:p>
            <w:r>
              <w:rPr>
                <w:b w:val="false"/>
                <w:bCs w:val="false"/>
                <w:sz w:val="18"/>
                <w:szCs w:val="18"/>
              </w:rPr>
              <w:t xml:space="preserve">Interfaces et notifications bilingues FR/EN a parite, formats locaux, configuration par pays/axe.</w:t>
            </w:r>
          </w:p>
        </w:tc>
      </w:tr>
      <w:tr>
        <w:tc>
          <w:tcPr>
            <w:tcW w:type="pct" w:w="16%"/>
            <w:tcMar>
              <w:top w:type="dxa" w:w="80"/>
              <w:left w:type="dxa" w:w="100"/>
              <w:bottom w:type="dxa" w:w="80"/>
              <w:right w:type="dxa" w:w="100"/>
            </w:tcMar>
            <w:vAlign w:val="center"/>
          </w:tcPr>
          <w:p>
            <w:r>
              <w:rPr>
                <w:b w:val="false"/>
                <w:bCs w:val="false"/>
                <w:sz w:val="18"/>
                <w:szCs w:val="18"/>
              </w:rPr>
              <w:t xml:space="preserve">ENF-A11Y-01/02</w:t>
            </w:r>
          </w:p>
        </w:tc>
        <w:tc>
          <w:tcPr>
            <w:tcW w:type="pct" w:w="84%"/>
            <w:tcMar>
              <w:top w:type="dxa" w:w="80"/>
              <w:left w:type="dxa" w:w="100"/>
              <w:bottom w:type="dxa" w:w="80"/>
              <w:right w:type="dxa" w:w="100"/>
            </w:tcMar>
            <w:vAlign w:val="center"/>
          </w:tcPr>
          <w:p>
            <w:r>
              <w:rPr>
                <w:b w:val="false"/>
                <w:bCs w:val="false"/>
                <w:sz w:val="18"/>
                <w:szCs w:val="18"/>
              </w:rPr>
              <w:t xml:space="preserve">Contraste AA, cibles tactiles &gt;= 48 pt, navigation clavier web ; assistance vocale mobile par ecran.</w:t>
            </w:r>
          </w:p>
        </w:tc>
      </w:tr>
    </w:tbl>
    <w:p>
      <w:r>
        <w:br w:type="page"/>
      </w:r>
    </w:p>
    <w:p>
      <w:pPr>
        <w:pStyle w:val="Heading1"/>
        <w:spacing w:after="180" w:before="360"/>
      </w:pPr>
      <w:r>
        <w:rPr>
          <w:b/>
          <w:bCs/>
          <w:color w:val="D40F16"/>
          <w:sz w:val="30"/>
          <w:szCs w:val="30"/>
        </w:rPr>
        <w:t xml:space="preserve">7. Verrous de demarrage - Phase 0 (prealable au developpement)</w:t>
      </w:r>
    </w:p>
    <w:p>
      <w:pPr>
        <w:spacing w:after="160"/>
      </w:pPr>
      <w:r>
        <w:rPr>
          <w:sz w:val="20"/>
          <w:szCs w:val="20"/>
        </w:rPr>
        <w:t xml:space="preserve">Principe herite de la v3.0 et renforce en v4.0 : aucun developpement de plateforme avant la levee des verrous de la Phase 0. Deux verrous sont bloquants.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720"/>
        <w:gridCol w:w="4680"/>
        <w:gridCol w:w="2160"/>
        <w:gridCol w:w="1440"/>
      </w:tblGrid>
      <w:tr>
        <w:trPr>
          <w:tblHeader/>
        </w:trPr>
        <w:tc>
          <w:tcPr>
            <w:tcW w:type="pct" w:w="8%"/>
            <w:shd w:fill="2B2B2B" w:val="clear"/>
            <w:tcMar>
              <w:top w:type="dxa" w:w="80"/>
              <w:left w:type="dxa" w:w="100"/>
              <w:bottom w:type="dxa" w:w="80"/>
              <w:right w:type="dxa" w:w="100"/>
            </w:tcMar>
            <w:vAlign w:val="center"/>
          </w:tcPr>
          <w:p>
            <w:r>
              <w:rPr>
                <w:b/>
                <w:bCs/>
                <w:color w:val="FFFFFF"/>
                <w:sz w:val="18"/>
                <w:szCs w:val="18"/>
              </w:rPr>
              <w:t xml:space="preserve">#</w:t>
            </w:r>
          </w:p>
        </w:tc>
        <w:tc>
          <w:tcPr>
            <w:tcW w:type="pct" w:w="52%"/>
            <w:shd w:fill="2B2B2B" w:val="clear"/>
            <w:tcMar>
              <w:top w:type="dxa" w:w="80"/>
              <w:left w:type="dxa" w:w="100"/>
              <w:bottom w:type="dxa" w:w="80"/>
              <w:right w:type="dxa" w:w="100"/>
            </w:tcMar>
            <w:vAlign w:val="center"/>
          </w:tcPr>
          <w:p>
            <w:r>
              <w:rPr>
                <w:b/>
                <w:bCs/>
                <w:color w:val="FFFFFF"/>
                <w:sz w:val="18"/>
                <w:szCs w:val="18"/>
              </w:rPr>
              <w:t xml:space="preserve">Verrou</w:t>
            </w:r>
          </w:p>
        </w:tc>
        <w:tc>
          <w:tcPr>
            <w:tcW w:type="pct" w:w="24%"/>
            <w:shd w:fill="2B2B2B" w:val="clear"/>
            <w:tcMar>
              <w:top w:type="dxa" w:w="80"/>
              <w:left w:type="dxa" w:w="100"/>
              <w:bottom w:type="dxa" w:w="80"/>
              <w:right w:type="dxa" w:w="100"/>
            </w:tcMar>
            <w:vAlign w:val="center"/>
          </w:tcPr>
          <w:p>
            <w:r>
              <w:rPr>
                <w:b/>
                <w:bCs/>
                <w:color w:val="FFFFFF"/>
                <w:sz w:val="18"/>
                <w:szCs w:val="18"/>
              </w:rPr>
              <w:t xml:space="preserve">Nature</w:t>
            </w:r>
          </w:p>
        </w:tc>
        <w:tc>
          <w:tcPr>
            <w:tcW w:type="pct" w:w="16%"/>
            <w:shd w:fill="2B2B2B" w:val="clear"/>
            <w:tcMar>
              <w:top w:type="dxa" w:w="80"/>
              <w:left w:type="dxa" w:w="100"/>
              <w:bottom w:type="dxa" w:w="80"/>
              <w:right w:type="dxa" w:w="100"/>
            </w:tcMar>
            <w:vAlign w:val="center"/>
          </w:tcPr>
          <w:p>
            <w:r>
              <w:rPr>
                <w:b/>
                <w:bCs/>
                <w:color w:val="FFFFFF"/>
                <w:sz w:val="18"/>
                <w:szCs w:val="18"/>
              </w:rPr>
              <w:t xml:space="preserve">Bloquant</w:t>
            </w:r>
          </w:p>
        </w:tc>
      </w:tr>
      <w:tr>
        <w:tc>
          <w:tcPr>
            <w:tcW w:type="pct" w:w="8%"/>
            <w:tcMar>
              <w:top w:type="dxa" w:w="80"/>
              <w:left w:type="dxa" w:w="100"/>
              <w:bottom w:type="dxa" w:w="80"/>
              <w:right w:type="dxa" w:w="100"/>
            </w:tcMar>
            <w:vAlign w:val="center"/>
          </w:tcPr>
          <w:p>
            <w:r>
              <w:rPr>
                <w:b w:val="false"/>
                <w:bCs w:val="false"/>
                <w:sz w:val="18"/>
                <w:szCs w:val="18"/>
              </w:rPr>
              <w:t xml:space="preserve">V1</w:t>
            </w:r>
          </w:p>
        </w:tc>
        <w:tc>
          <w:tcPr>
            <w:tcW w:type="pct" w:w="52%"/>
            <w:tcMar>
              <w:top w:type="dxa" w:w="80"/>
              <w:left w:type="dxa" w:w="100"/>
              <w:bottom w:type="dxa" w:w="80"/>
              <w:right w:type="dxa" w:w="100"/>
            </w:tcMar>
            <w:vAlign w:val="center"/>
          </w:tcPr>
          <w:p>
            <w:r>
              <w:rPr>
                <w:b w:val="false"/>
                <w:bCs w:val="false"/>
                <w:sz w:val="18"/>
                <w:szCs w:val="18"/>
              </w:rPr>
              <w:t xml:space="preserve">Lettre d'intention du BGFT sur un partenariat technologique et une licence de supervision</w:t>
            </w:r>
          </w:p>
        </w:tc>
        <w:tc>
          <w:tcPr>
            <w:tcW w:type="pct" w:w="24%"/>
            <w:tcMar>
              <w:top w:type="dxa" w:w="80"/>
              <w:left w:type="dxa" w:w="100"/>
              <w:bottom w:type="dxa" w:w="80"/>
              <w:right w:type="dxa" w:w="100"/>
            </w:tcMar>
            <w:vAlign w:val="center"/>
          </w:tcPr>
          <w:p>
            <w:r>
              <w:rPr>
                <w:b w:val="false"/>
                <w:bCs w:val="false"/>
                <w:sz w:val="18"/>
                <w:szCs w:val="18"/>
              </w:rPr>
              <w:t xml:space="preserve">Institutionnel</w:t>
            </w:r>
          </w:p>
        </w:tc>
        <w:tc>
          <w:tcPr>
            <w:tcW w:type="pct" w:w="16%"/>
            <w:tcMar>
              <w:top w:type="dxa" w:w="80"/>
              <w:left w:type="dxa" w:w="100"/>
              <w:bottom w:type="dxa" w:w="80"/>
              <w:right w:type="dxa" w:w="100"/>
            </w:tcMar>
            <w:vAlign w:val="center"/>
          </w:tcPr>
          <w:p>
            <w:r>
              <w:rPr>
                <w:b w:val="false"/>
                <w:bCs w:val="false"/>
                <w:sz w:val="18"/>
                <w:szCs w:val="18"/>
              </w:rPr>
              <w:t xml:space="preserve">Oui</w:t>
            </w:r>
          </w:p>
        </w:tc>
      </w:tr>
      <w:tr>
        <w:tc>
          <w:tcPr>
            <w:tcW w:type="pct" w:w="8%"/>
            <w:shd w:fill="F5F5F5" w:val="clear"/>
            <w:tcMar>
              <w:top w:type="dxa" w:w="80"/>
              <w:left w:type="dxa" w:w="100"/>
              <w:bottom w:type="dxa" w:w="80"/>
              <w:right w:type="dxa" w:w="100"/>
            </w:tcMar>
            <w:vAlign w:val="center"/>
          </w:tcPr>
          <w:p>
            <w:r>
              <w:rPr>
                <w:b w:val="false"/>
                <w:bCs w:val="false"/>
                <w:sz w:val="18"/>
                <w:szCs w:val="18"/>
              </w:rPr>
              <w:t xml:space="preserve">V2</w:t>
            </w:r>
          </w:p>
        </w:tc>
        <w:tc>
          <w:tcPr>
            <w:tcW w:type="pct" w:w="52%"/>
            <w:shd w:fill="F5F5F5" w:val="clear"/>
            <w:tcMar>
              <w:top w:type="dxa" w:w="80"/>
              <w:left w:type="dxa" w:w="100"/>
              <w:bottom w:type="dxa" w:w="80"/>
              <w:right w:type="dxa" w:w="100"/>
            </w:tcMar>
            <w:vAlign w:val="center"/>
          </w:tcPr>
          <w:p>
            <w:r>
              <w:rPr>
                <w:b w:val="false"/>
                <w:bCs w:val="false"/>
                <w:sz w:val="18"/>
                <w:szCs w:val="18"/>
              </w:rPr>
              <w:t xml:space="preserve">Lettre d'intention d'un prestataire de paiement agree en zone CEMAC, couvrant sequestre et reversement</w:t>
            </w:r>
          </w:p>
        </w:tc>
        <w:tc>
          <w:tcPr>
            <w:tcW w:type="pct" w:w="24%"/>
            <w:shd w:fill="F5F5F5" w:val="clear"/>
            <w:tcMar>
              <w:top w:type="dxa" w:w="80"/>
              <w:left w:type="dxa" w:w="100"/>
              <w:bottom w:type="dxa" w:w="80"/>
              <w:right w:type="dxa" w:w="100"/>
            </w:tcMar>
            <w:vAlign w:val="center"/>
          </w:tcPr>
          <w:p>
            <w:r>
              <w:rPr>
                <w:b w:val="false"/>
                <w:bCs w:val="false"/>
                <w:sz w:val="18"/>
                <w:szCs w:val="18"/>
              </w:rPr>
              <w:t xml:space="preserve">Reglementaire / financier</w:t>
            </w:r>
          </w:p>
        </w:tc>
        <w:tc>
          <w:tcPr>
            <w:tcW w:type="pct" w:w="16%"/>
            <w:shd w:fill="F5F5F5" w:val="clear"/>
            <w:tcMar>
              <w:top w:type="dxa" w:w="80"/>
              <w:left w:type="dxa" w:w="100"/>
              <w:bottom w:type="dxa" w:w="80"/>
              <w:right w:type="dxa" w:w="100"/>
            </w:tcMar>
            <w:vAlign w:val="center"/>
          </w:tcPr>
          <w:p>
            <w:r>
              <w:rPr>
                <w:b w:val="false"/>
                <w:bCs w:val="false"/>
                <w:sz w:val="18"/>
                <w:szCs w:val="18"/>
              </w:rPr>
              <w:t xml:space="preserve">Oui</w:t>
            </w:r>
          </w:p>
        </w:tc>
      </w:tr>
      <w:tr>
        <w:tc>
          <w:tcPr>
            <w:tcW w:type="pct" w:w="8%"/>
            <w:tcMar>
              <w:top w:type="dxa" w:w="80"/>
              <w:left w:type="dxa" w:w="100"/>
              <w:bottom w:type="dxa" w:w="80"/>
              <w:right w:type="dxa" w:w="100"/>
            </w:tcMar>
            <w:vAlign w:val="center"/>
          </w:tcPr>
          <w:p>
            <w:r>
              <w:rPr>
                <w:b w:val="false"/>
                <w:bCs w:val="false"/>
                <w:sz w:val="18"/>
                <w:szCs w:val="18"/>
              </w:rPr>
              <w:t xml:space="preserve">V3</w:t>
            </w:r>
          </w:p>
        </w:tc>
        <w:tc>
          <w:tcPr>
            <w:tcW w:type="pct" w:w="52%"/>
            <w:tcMar>
              <w:top w:type="dxa" w:w="80"/>
              <w:left w:type="dxa" w:w="100"/>
              <w:bottom w:type="dxa" w:w="80"/>
              <w:right w:type="dxa" w:w="100"/>
            </w:tcMar>
            <w:vAlign w:val="center"/>
          </w:tcPr>
          <w:p>
            <w:r>
              <w:rPr>
                <w:b w:val="false"/>
                <w:bCs w:val="false"/>
                <w:sz w:val="18"/>
                <w:szCs w:val="18"/>
              </w:rPr>
              <w:t xml:space="preserve">Avis juridique formel sur le traitement de donnees personnelles/geolocalisation (loi n. 2024/017) et sur le role de FretCorridor dans la chaine de paiement</w:t>
            </w:r>
          </w:p>
        </w:tc>
        <w:tc>
          <w:tcPr>
            <w:tcW w:type="pct" w:w="24%"/>
            <w:tcMar>
              <w:top w:type="dxa" w:w="80"/>
              <w:left w:type="dxa" w:w="100"/>
              <w:bottom w:type="dxa" w:w="80"/>
              <w:right w:type="dxa" w:w="100"/>
            </w:tcMar>
            <w:vAlign w:val="center"/>
          </w:tcPr>
          <w:p>
            <w:r>
              <w:rPr>
                <w:b w:val="false"/>
                <w:bCs w:val="false"/>
                <w:sz w:val="18"/>
                <w:szCs w:val="18"/>
              </w:rPr>
              <w:t xml:space="preserve">Juridique</w:t>
            </w:r>
          </w:p>
        </w:tc>
        <w:tc>
          <w:tcPr>
            <w:tcW w:type="pct" w:w="16%"/>
            <w:tcMar>
              <w:top w:type="dxa" w:w="80"/>
              <w:left w:type="dxa" w:w="100"/>
              <w:bottom w:type="dxa" w:w="80"/>
              <w:right w:type="dxa" w:w="100"/>
            </w:tcMar>
            <w:vAlign w:val="center"/>
          </w:tcPr>
          <w:p>
            <w:r>
              <w:rPr>
                <w:b w:val="false"/>
                <w:bCs w:val="false"/>
                <w:sz w:val="18"/>
                <w:szCs w:val="18"/>
              </w:rPr>
              <w:t xml:space="preserve">Non, conditionne le calendrier</w:t>
            </w:r>
          </w:p>
        </w:tc>
      </w:tr>
      <w:tr>
        <w:tc>
          <w:tcPr>
            <w:tcW w:type="pct" w:w="8%"/>
            <w:shd w:fill="F5F5F5" w:val="clear"/>
            <w:tcMar>
              <w:top w:type="dxa" w:w="80"/>
              <w:left w:type="dxa" w:w="100"/>
              <w:bottom w:type="dxa" w:w="80"/>
              <w:right w:type="dxa" w:w="100"/>
            </w:tcMar>
            <w:vAlign w:val="center"/>
          </w:tcPr>
          <w:p>
            <w:r>
              <w:rPr>
                <w:b w:val="false"/>
                <w:bCs w:val="false"/>
                <w:sz w:val="18"/>
                <w:szCs w:val="18"/>
              </w:rPr>
              <w:t xml:space="preserve">V4</w:t>
            </w:r>
          </w:p>
        </w:tc>
        <w:tc>
          <w:tcPr>
            <w:tcW w:type="pct" w:w="52%"/>
            <w:shd w:fill="F5F5F5" w:val="clear"/>
            <w:tcMar>
              <w:top w:type="dxa" w:w="80"/>
              <w:left w:type="dxa" w:w="100"/>
              <w:bottom w:type="dxa" w:w="80"/>
              <w:right w:type="dxa" w:w="100"/>
            </w:tcMar>
            <w:vAlign w:val="center"/>
          </w:tcPr>
          <w:p>
            <w:r>
              <w:rPr>
                <w:b w:val="false"/>
                <w:bCs w:val="false"/>
                <w:sz w:val="18"/>
                <w:szCs w:val="18"/>
              </w:rPr>
              <w:t xml:space="preserve">Trois a cinq entretiens de decouverte avec des chargeurs grands comptes, disposition a payer</w:t>
            </w:r>
          </w:p>
        </w:tc>
        <w:tc>
          <w:tcPr>
            <w:tcW w:type="pct" w:w="24%"/>
            <w:shd w:fill="F5F5F5" w:val="clear"/>
            <w:tcMar>
              <w:top w:type="dxa" w:w="80"/>
              <w:left w:type="dxa" w:w="100"/>
              <w:bottom w:type="dxa" w:w="80"/>
              <w:right w:type="dxa" w:w="100"/>
            </w:tcMar>
            <w:vAlign w:val="center"/>
          </w:tcPr>
          <w:p>
            <w:r>
              <w:rPr>
                <w:b w:val="false"/>
                <w:bCs w:val="false"/>
                <w:sz w:val="18"/>
                <w:szCs w:val="18"/>
              </w:rPr>
              <w:t xml:space="preserve">Commercial</w:t>
            </w:r>
          </w:p>
        </w:tc>
        <w:tc>
          <w:tcPr>
            <w:tcW w:type="pct" w:w="16%"/>
            <w:shd w:fill="F5F5F5" w:val="clear"/>
            <w:tcMar>
              <w:top w:type="dxa" w:w="80"/>
              <w:left w:type="dxa" w:w="100"/>
              <w:bottom w:type="dxa" w:w="80"/>
              <w:right w:type="dxa" w:w="100"/>
            </w:tcMar>
            <w:vAlign w:val="center"/>
          </w:tcPr>
          <w:p>
            <w:r>
              <w:rPr>
                <w:b w:val="false"/>
                <w:bCs w:val="false"/>
                <w:sz w:val="18"/>
                <w:szCs w:val="18"/>
              </w:rPr>
              <w:t xml:space="preserve">Non, conditionne le dimensionnement</w:t>
            </w:r>
          </w:p>
        </w:tc>
      </w:tr>
      <w:tr>
        <w:tc>
          <w:tcPr>
            <w:tcW w:type="pct" w:w="8%"/>
            <w:tcMar>
              <w:top w:type="dxa" w:w="80"/>
              <w:left w:type="dxa" w:w="100"/>
              <w:bottom w:type="dxa" w:w="80"/>
              <w:right w:type="dxa" w:w="100"/>
            </w:tcMar>
            <w:vAlign w:val="center"/>
          </w:tcPr>
          <w:p>
            <w:r>
              <w:rPr>
                <w:b w:val="false"/>
                <w:bCs w:val="false"/>
                <w:sz w:val="18"/>
                <w:szCs w:val="18"/>
              </w:rPr>
              <w:t xml:space="preserve">V5</w:t>
            </w:r>
          </w:p>
        </w:tc>
        <w:tc>
          <w:tcPr>
            <w:tcW w:type="pct" w:w="52%"/>
            <w:tcMar>
              <w:top w:type="dxa" w:w="80"/>
              <w:left w:type="dxa" w:w="100"/>
              <w:bottom w:type="dxa" w:w="80"/>
              <w:right w:type="dxa" w:w="100"/>
            </w:tcMar>
            <w:vAlign w:val="center"/>
          </w:tcPr>
          <w:p>
            <w:r>
              <w:rPr>
                <w:b w:val="false"/>
                <w:bCs w:val="false"/>
                <w:sz w:val="18"/>
                <w:szCs w:val="18"/>
              </w:rPr>
              <w:t xml:space="preserve">Cartographie securitaire a jour des axes de la Phase 1</w:t>
            </w:r>
          </w:p>
        </w:tc>
        <w:tc>
          <w:tcPr>
            <w:tcW w:type="pct" w:w="24%"/>
            <w:tcMar>
              <w:top w:type="dxa" w:w="80"/>
              <w:left w:type="dxa" w:w="100"/>
              <w:bottom w:type="dxa" w:w="80"/>
              <w:right w:type="dxa" w:w="100"/>
            </w:tcMar>
            <w:vAlign w:val="center"/>
          </w:tcPr>
          <w:p>
            <w:r>
              <w:rPr>
                <w:b w:val="false"/>
                <w:bCs w:val="false"/>
                <w:sz w:val="18"/>
                <w:szCs w:val="18"/>
              </w:rPr>
              <w:t xml:space="preserve">Operationnel</w:t>
            </w:r>
          </w:p>
        </w:tc>
        <w:tc>
          <w:tcPr>
            <w:tcW w:type="pct" w:w="16%"/>
            <w:tcMar>
              <w:top w:type="dxa" w:w="80"/>
              <w:left w:type="dxa" w:w="100"/>
              <w:bottom w:type="dxa" w:w="80"/>
              <w:right w:type="dxa" w:w="100"/>
            </w:tcMar>
            <w:vAlign w:val="center"/>
          </w:tcPr>
          <w:p>
            <w:r>
              <w:rPr>
                <w:b w:val="false"/>
                <w:bCs w:val="false"/>
                <w:sz w:val="18"/>
                <w:szCs w:val="18"/>
              </w:rPr>
              <w:t xml:space="preserve">Non, conditionne le routage</w:t>
            </w:r>
          </w:p>
        </w:tc>
      </w:tr>
    </w:tbl>
    <w:p>
      <w:pPr>
        <w:spacing w:after="120"/>
      </w:pPr>
    </w:p>
    <w:tbl>
      <w:tblPr>
        <w:tblW w:type="pct" w:w="100%"/>
        <w:tblBorders>
          <w:top w:val="single" w:color="8A0F13" w:sz="4"/>
          <w:left w:val="single" w:color="8A0F13" w:sz="4"/>
          <w:bottom w:val="single" w:color="8A0F13" w:sz="4"/>
          <w:right w:val="single" w:color="8A0F13"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8A0F13"/>
                <w:sz w:val="20"/>
                <w:szCs w:val="20"/>
              </w:rPr>
              <w:t xml:space="preserve">Ce que fait l'equipe pendant la Phase 0</w:t>
            </w:r>
          </w:p>
          <w:p>
            <w:r>
              <w:rPr>
                <w:sz w:val="19"/>
                <w:szCs w:val="19"/>
              </w:rPr>
              <w:t xml:space="preserve">La Phase 0 (10 a 12 semaines indicatives) n'est pas un temps mort technique : finaliser cette feuille de route et ce plan d'execution, monter l'environnement Docker et le squelette du monorepo, definir les premiers contrats OpenAPI/AsyncAPI, et - pour le porteur du moteur - commencer le prototypage isole du moteur V0, sans dependance aux verrous externes.</w:t>
            </w:r>
          </w:p>
        </w:tc>
      </w:tr>
    </w:tbl>
    <w:p>
      <w:r>
        <w:br w:type="page"/>
      </w:r>
    </w:p>
    <w:p>
      <w:pPr>
        <w:pStyle w:val="Heading1"/>
        <w:spacing w:after="180" w:before="360"/>
      </w:pPr>
      <w:r>
        <w:rPr>
          <w:b/>
          <w:bCs/>
          <w:color w:val="D40F16"/>
          <w:sz w:val="30"/>
          <w:szCs w:val="30"/>
        </w:rPr>
        <w:t xml:space="preserve">8. Plan de developpement - Sprints</w:t>
      </w:r>
    </w:p>
    <w:p>
      <w:pPr>
        <w:spacing w:after="160"/>
      </w:pPr>
      <w:r>
        <w:rPr>
          <w:sz w:val="20"/>
          <w:szCs w:val="20"/>
        </w:rPr>
        <w:t xml:space="preserve">Chaque sprint dure deux semaines et livre une fonctionnalite complete de bout en bout. L'equipe avance par jalons plutot que par calendrier fixe : chaque phase se termine a l'atteinte de son jalon Go/No-Go (CDC §16), pas a une date arretee a l'avance - les durees ci-dessous sont indicatives. Les deux applications mobiles etant distinctes (Chauffeur/Transporteur d'un cote, Client de l'autre), chaque tache leur est attribuee separement plutot que sous un intitule generique "Mobile".</w:t>
      </w:r>
    </w:p>
    <w:tbl>
      <w:tblPr>
        <w:tblW w:type="pct" w:w="100%"/>
        <w:tblBorders>
          <w:top w:val="single" w:color="D40F16" w:sz="4"/>
          <w:left w:val="single" w:color="D40F16" w:sz="4"/>
          <w:bottom w:val="single" w:color="D40F16" w:sz="4"/>
          <w:right w:val="single" w:color="D40F16"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D40F16"/>
                <w:sz w:val="20"/>
                <w:szCs w:val="20"/>
              </w:rPr>
              <w:t xml:space="preserve">Principe des sprints</w:t>
            </w:r>
          </w:p>
          <w:p>
            <w:r>
              <w:rPr>
                <w:sz w:val="19"/>
                <w:szCs w:val="19"/>
              </w:rPr>
              <w:t xml:space="preserve">Un sprint = une fonctionnalite complete, testable de bout en bout. Chaque microservice est porte par une seule personne (cf. §4.1) et doit exposer une API stable avant que les apps qui le consomment - y compris celles d'un autre porteur - ne commencent a l'integrer.</w:t>
            </w:r>
          </w:p>
        </w:tc>
      </w:tr>
    </w:tbl>
    <w:p>
      <w:pPr>
        <w:spacing w:after="120"/>
      </w:pPr>
    </w:p>
    <w:p>
      <w:pPr>
        <w:pStyle w:val="Heading2"/>
        <w:spacing w:after="140" w:before="260"/>
      </w:pPr>
      <w:r>
        <w:rPr>
          <w:b/>
          <w:bCs/>
          <w:color w:val="8A0F13"/>
          <w:sz w:val="24"/>
          <w:szCs w:val="24"/>
        </w:rPr>
        <w:t xml:space="preserve">Phase 0 - Verrous (non-sprint, jalon Go/No-Go)</w:t>
      </w:r>
    </w:p>
    <w:p>
      <w:pPr>
        <w:spacing w:after="160"/>
      </w:pPr>
      <w:r>
        <w:rPr>
          <w:sz w:val="20"/>
          <w:szCs w:val="20"/>
        </w:rPr>
        <w:t xml:space="preserve">Negociation institutionnelle et financiere, avis juridique, entretiens chargeurs, cartographie securitaire. Duree indicative : 10 a 12 semaines. En parallele cote technique : squelette du monorepo, Docker Compose, premiers contrats d'API, prototype isole du moteur V0.</w:t>
      </w:r>
    </w:p>
    <w:p>
      <w:pPr>
        <w:pStyle w:val="Heading2"/>
        <w:spacing w:after="140" w:before="260"/>
      </w:pPr>
      <w:r>
        <w:rPr>
          <w:b/>
          <w:bCs/>
          <w:color w:val="8A0F13"/>
          <w:sz w:val="24"/>
          <w:szCs w:val="24"/>
        </w:rPr>
        <w:t xml:space="preserve">Phase 1 - MVP sur un axe (Sprints 1 a 10, ~5-6 mois)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540"/>
        <w:gridCol w:w="1170"/>
        <w:gridCol w:w="2160"/>
        <w:gridCol w:w="1710"/>
        <w:gridCol w:w="1710"/>
        <w:gridCol w:w="1710"/>
      </w:tblGrid>
      <w:tr>
        <w:trPr>
          <w:tblHeader/>
        </w:trPr>
        <w:tc>
          <w:tcPr>
            <w:tcW w:type="pct" w:w="6%"/>
            <w:shd w:fill="2B2B2B" w:val="clear"/>
            <w:tcMar>
              <w:top w:type="dxa" w:w="60"/>
              <w:left w:type="dxa" w:w="70"/>
              <w:bottom w:type="dxa" w:w="60"/>
              <w:right w:type="dxa" w:w="70"/>
            </w:tcMar>
            <w:vAlign w:val="center"/>
          </w:tcPr>
          <w:p>
            <w:r>
              <w:rPr>
                <w:b/>
                <w:bCs/>
                <w:color w:val="FFFFFF"/>
                <w:sz w:val="14"/>
                <w:szCs w:val="14"/>
              </w:rPr>
              <w:t xml:space="preserve">Sprint</w:t>
            </w:r>
          </w:p>
        </w:tc>
        <w:tc>
          <w:tcPr>
            <w:tcW w:type="pct" w:w="13%"/>
            <w:shd w:fill="2B2B2B" w:val="clear"/>
            <w:tcMar>
              <w:top w:type="dxa" w:w="60"/>
              <w:left w:type="dxa" w:w="70"/>
              <w:bottom w:type="dxa" w:w="60"/>
              <w:right w:type="dxa" w:w="70"/>
            </w:tcMar>
            <w:vAlign w:val="center"/>
          </w:tcPr>
          <w:p>
            <w:r>
              <w:rPr>
                <w:b/>
                <w:bCs/>
                <w:color w:val="FFFFFF"/>
                <w:sz w:val="14"/>
                <w:szCs w:val="14"/>
              </w:rPr>
              <w:t xml:space="preserve">Fonctionnalité</w:t>
            </w:r>
          </w:p>
        </w:tc>
        <w:tc>
          <w:tcPr>
            <w:tcW w:type="pct" w:w="24%"/>
            <w:shd w:fill="2B2B2B" w:val="clear"/>
            <w:tcMar>
              <w:top w:type="dxa" w:w="60"/>
              <w:left w:type="dxa" w:w="70"/>
              <w:bottom w:type="dxa" w:w="60"/>
              <w:right w:type="dxa" w:w="70"/>
            </w:tcMar>
            <w:vAlign w:val="center"/>
          </w:tcPr>
          <w:p>
            <w:r>
              <w:rPr>
                <w:b/>
                <w:bCs/>
                <w:color w:val="FFFFFF"/>
                <w:sz w:val="14"/>
                <w:szCs w:val="14"/>
              </w:rPr>
              <w:t xml:space="preserve">Backend</w:t>
            </w:r>
          </w:p>
        </w:tc>
        <w:tc>
          <w:tcPr>
            <w:tcW w:type="pct" w:w="19%"/>
            <w:shd w:fill="2B2B2B" w:val="clear"/>
            <w:tcMar>
              <w:top w:type="dxa" w:w="60"/>
              <w:left w:type="dxa" w:w="70"/>
              <w:bottom w:type="dxa" w:w="60"/>
              <w:right w:type="dxa" w:w="70"/>
            </w:tcMar>
            <w:vAlign w:val="center"/>
          </w:tcPr>
          <w:p>
            <w:r>
              <w:rPr>
                <w:b/>
                <w:bCs/>
                <w:color w:val="FFFFFF"/>
                <w:sz w:val="14"/>
                <w:szCs w:val="14"/>
              </w:rPr>
              <w:t xml:space="preserve">App Chauffeur/Transporteur</w:t>
            </w:r>
          </w:p>
        </w:tc>
        <w:tc>
          <w:tcPr>
            <w:tcW w:type="pct" w:w="19%"/>
            <w:shd w:fill="2B2B2B" w:val="clear"/>
            <w:tcMar>
              <w:top w:type="dxa" w:w="60"/>
              <w:left w:type="dxa" w:w="70"/>
              <w:bottom w:type="dxa" w:w="60"/>
              <w:right w:type="dxa" w:w="70"/>
            </w:tcMar>
            <w:vAlign w:val="center"/>
          </w:tcPr>
          <w:p>
            <w:r>
              <w:rPr>
                <w:b/>
                <w:bCs/>
                <w:color w:val="FFFFFF"/>
                <w:sz w:val="14"/>
                <w:szCs w:val="14"/>
              </w:rPr>
              <w:t xml:space="preserve">App Client</w:t>
            </w:r>
          </w:p>
        </w:tc>
        <w:tc>
          <w:tcPr>
            <w:tcW w:type="pct" w:w="19%"/>
            <w:shd w:fill="2B2B2B" w:val="clear"/>
            <w:tcMar>
              <w:top w:type="dxa" w:w="60"/>
              <w:left w:type="dxa" w:w="70"/>
              <w:bottom w:type="dxa" w:w="60"/>
              <w:right w:type="dxa" w:w="70"/>
            </w:tcMar>
            <w:vAlign w:val="center"/>
          </w:tcPr>
          <w:p>
            <w:r>
              <w:rPr>
                <w:b/>
                <w:bCs/>
                <w:color w:val="FFFFFF"/>
                <w:sz w:val="14"/>
                <w:szCs w:val="14"/>
              </w:rPr>
              <w:t xml:space="preserve">Web</w:t>
            </w:r>
          </w:p>
        </w:tc>
      </w:tr>
      <w:tr>
        <w:tc>
          <w:tcPr>
            <w:tcW w:type="pct" w:w="6%"/>
            <w:tcMar>
              <w:top w:type="dxa" w:w="60"/>
              <w:left w:type="dxa" w:w="70"/>
              <w:bottom w:type="dxa" w:w="60"/>
              <w:right w:type="dxa" w:w="70"/>
            </w:tcMar>
            <w:vAlign w:val="center"/>
          </w:tcPr>
          <w:p>
            <w:r>
              <w:rPr>
                <w:b w:val="false"/>
                <w:bCs w:val="false"/>
                <w:sz w:val="14"/>
                <w:szCs w:val="14"/>
              </w:rPr>
              <w:t xml:space="preserve">S1</w:t>
            </w:r>
          </w:p>
        </w:tc>
        <w:tc>
          <w:tcPr>
            <w:tcW w:type="pct" w:w="13%"/>
            <w:tcMar>
              <w:top w:type="dxa" w:w="60"/>
              <w:left w:type="dxa" w:w="70"/>
              <w:bottom w:type="dxa" w:w="60"/>
              <w:right w:type="dxa" w:w="70"/>
            </w:tcMar>
            <w:vAlign w:val="center"/>
          </w:tcPr>
          <w:p>
            <w:r>
              <w:rPr>
                <w:b w:val="false"/>
                <w:bCs w:val="false"/>
                <w:sz w:val="14"/>
                <w:szCs w:val="14"/>
              </w:rPr>
              <w:t xml:space="preserve">Authentification &amp; RBAC</w:t>
            </w:r>
          </w:p>
        </w:tc>
        <w:tc>
          <w:tcPr>
            <w:tcW w:type="pct" w:w="24%"/>
            <w:tcMar>
              <w:top w:type="dxa" w:w="60"/>
              <w:left w:type="dxa" w:w="70"/>
              <w:bottom w:type="dxa" w:w="60"/>
              <w:right w:type="dxa" w:w="70"/>
            </w:tcMar>
            <w:vAlign w:val="center"/>
          </w:tcPr>
          <w:p>
            <w:r>
              <w:rPr>
                <w:b w:val="false"/>
                <w:bCs w:val="false"/>
                <w:sz w:val="14"/>
                <w:szCs w:val="14"/>
              </w:rPr>
              <w:t xml:space="preserve">gateway + service-ida : JWT, RBAC de base</w:t>
            </w:r>
          </w:p>
        </w:tc>
        <w:tc>
          <w:tcPr>
            <w:tcW w:type="pct" w:w="19%"/>
            <w:tcMar>
              <w:top w:type="dxa" w:w="60"/>
              <w:left w:type="dxa" w:w="70"/>
              <w:bottom w:type="dxa" w:w="60"/>
              <w:right w:type="dxa" w:w="70"/>
            </w:tcMar>
            <w:vAlign w:val="center"/>
          </w:tcPr>
          <w:p>
            <w:r>
              <w:rPr>
                <w:b w:val="false"/>
                <w:bCs w:val="false"/>
                <w:sz w:val="14"/>
                <w:szCs w:val="14"/>
              </w:rPr>
              <w:t xml:space="preserve">Écran connexion (téléphone + code), choix du rôle (chauffeur/transporteur/agent)</w:t>
            </w:r>
          </w:p>
        </w:tc>
        <w:tc>
          <w:tcPr>
            <w:tcW w:type="pct" w:w="19%"/>
            <w:tcMar>
              <w:top w:type="dxa" w:w="60"/>
              <w:left w:type="dxa" w:w="70"/>
              <w:bottom w:type="dxa" w:w="60"/>
              <w:right w:type="dxa" w:w="70"/>
            </w:tcMar>
            <w:vAlign w:val="center"/>
          </w:tcPr>
          <w:p>
            <w:r>
              <w:rPr>
                <w:b w:val="false"/>
                <w:bCs w:val="false"/>
                <w:sz w:val="14"/>
                <w:szCs w:val="14"/>
              </w:rPr>
              <w:t xml:space="preserve">Écran connexion (téléphone + code), inscription légère chargeur</w:t>
            </w:r>
          </w:p>
        </w:tc>
        <w:tc>
          <w:tcPr>
            <w:tcW w:type="pct" w:w="19%"/>
            <w:tcMar>
              <w:top w:type="dxa" w:w="60"/>
              <w:left w:type="dxa" w:w="70"/>
              <w:bottom w:type="dxa" w:w="60"/>
              <w:right w:type="dxa" w:w="70"/>
            </w:tcMar>
            <w:vAlign w:val="center"/>
          </w:tcPr>
          <w:p>
            <w:r>
              <w:rPr>
                <w:b w:val="false"/>
                <w:bCs w:val="false"/>
                <w:sz w:val="14"/>
                <w:szCs w:val="14"/>
              </w:rPr>
              <w:t xml:space="preserve">Page login unique + garde de routes par rôle</w:t>
            </w:r>
          </w:p>
        </w:tc>
      </w:tr>
      <w:tr>
        <w:tc>
          <w:tcPr>
            <w:tcW w:type="pct" w:w="6%"/>
            <w:shd w:fill="F5F5F5" w:val="clear"/>
            <w:tcMar>
              <w:top w:type="dxa" w:w="60"/>
              <w:left w:type="dxa" w:w="70"/>
              <w:bottom w:type="dxa" w:w="60"/>
              <w:right w:type="dxa" w:w="70"/>
            </w:tcMar>
            <w:vAlign w:val="center"/>
          </w:tcPr>
          <w:p>
            <w:r>
              <w:rPr>
                <w:b w:val="false"/>
                <w:bCs w:val="false"/>
                <w:sz w:val="14"/>
                <w:szCs w:val="14"/>
              </w:rPr>
              <w:t xml:space="preserve">S2</w:t>
            </w:r>
          </w:p>
        </w:tc>
        <w:tc>
          <w:tcPr>
            <w:tcW w:type="pct" w:w="13%"/>
            <w:shd w:fill="F5F5F5" w:val="clear"/>
            <w:tcMar>
              <w:top w:type="dxa" w:w="60"/>
              <w:left w:type="dxa" w:w="70"/>
              <w:bottom w:type="dxa" w:w="60"/>
              <w:right w:type="dxa" w:w="70"/>
            </w:tcMar>
            <w:vAlign w:val="center"/>
          </w:tcPr>
          <w:p>
            <w:r>
              <w:rPr>
                <w:b w:val="false"/>
                <w:bCs w:val="false"/>
                <w:sz w:val="14"/>
                <w:szCs w:val="14"/>
              </w:rPr>
              <w:t xml:space="preserve">Profils &amp; KYC</w:t>
            </w:r>
          </w:p>
        </w:tc>
        <w:tc>
          <w:tcPr>
            <w:tcW w:type="pct" w:w="24%"/>
            <w:shd w:fill="F5F5F5" w:val="clear"/>
            <w:tcMar>
              <w:top w:type="dxa" w:w="60"/>
              <w:left w:type="dxa" w:w="70"/>
              <w:bottom w:type="dxa" w:w="60"/>
              <w:right w:type="dxa" w:w="70"/>
            </w:tcMar>
            <w:vAlign w:val="center"/>
          </w:tcPr>
          <w:p>
            <w:r>
              <w:rPr>
                <w:b w:val="false"/>
                <w:bCs w:val="false"/>
                <w:sz w:val="14"/>
                <w:szCs w:val="14"/>
              </w:rPr>
              <w:t xml:space="preserve">service-ida : Acteur/Organisation, upload MinIO</w:t>
            </w:r>
          </w:p>
        </w:tc>
        <w:tc>
          <w:tcPr>
            <w:tcW w:type="pct" w:w="19%"/>
            <w:shd w:fill="F5F5F5" w:val="clear"/>
            <w:tcMar>
              <w:top w:type="dxa" w:w="60"/>
              <w:left w:type="dxa" w:w="70"/>
              <w:bottom w:type="dxa" w:w="60"/>
              <w:right w:type="dxa" w:w="70"/>
            </w:tcMar>
            <w:vAlign w:val="center"/>
          </w:tcPr>
          <w:p>
            <w:r>
              <w:rPr>
                <w:b w:val="false"/>
                <w:bCs w:val="false"/>
                <w:sz w:val="14"/>
                <w:szCs w:val="14"/>
              </w:rPr>
              <w:t xml:space="preserve">Formulaire KYC gradué (niveaux 1-2) + mode Agent (enrôlement terrain)</w:t>
            </w:r>
          </w:p>
        </w:tc>
        <w:tc>
          <w:tcPr>
            <w:tcW w:type="pct" w:w="19%"/>
            <w:shd w:fill="F5F5F5" w:val="clear"/>
            <w:tcMar>
              <w:top w:type="dxa" w:w="60"/>
              <w:left w:type="dxa" w:w="70"/>
              <w:bottom w:type="dxa" w:w="60"/>
              <w:right w:type="dxa" w:w="70"/>
            </w:tcMar>
            <w:vAlign w:val="center"/>
          </w:tcPr>
          <w:p>
            <w:r>
              <w:rPr>
                <w:b w:val="false"/>
                <w:bCs w:val="false"/>
                <w:sz w:val="14"/>
                <w:szCs w:val="14"/>
              </w:rPr>
              <w:t xml:space="preserve">Formulaire profil chargeur (particulier/entreprise)</w:t>
            </w:r>
          </w:p>
        </w:tc>
        <w:tc>
          <w:tcPr>
            <w:tcW w:type="pct" w:w="19%"/>
            <w:shd w:fill="F5F5F5" w:val="clear"/>
            <w:tcMar>
              <w:top w:type="dxa" w:w="60"/>
              <w:left w:type="dxa" w:w="70"/>
              <w:bottom w:type="dxa" w:w="60"/>
              <w:right w:type="dxa" w:w="70"/>
            </w:tcMar>
            <w:vAlign w:val="center"/>
          </w:tcPr>
          <w:p>
            <w:r>
              <w:rPr>
                <w:b w:val="false"/>
                <w:bCs w:val="false"/>
                <w:sz w:val="14"/>
                <w:szCs w:val="14"/>
              </w:rPr>
              <w:t xml:space="preserve">Dashboard rôle Admin — validation KYC</w:t>
            </w:r>
          </w:p>
        </w:tc>
      </w:tr>
      <w:tr>
        <w:tc>
          <w:tcPr>
            <w:tcW w:type="pct" w:w="6%"/>
            <w:tcMar>
              <w:top w:type="dxa" w:w="60"/>
              <w:left w:type="dxa" w:w="70"/>
              <w:bottom w:type="dxa" w:w="60"/>
              <w:right w:type="dxa" w:w="70"/>
            </w:tcMar>
            <w:vAlign w:val="center"/>
          </w:tcPr>
          <w:p>
            <w:r>
              <w:rPr>
                <w:b w:val="false"/>
                <w:bCs w:val="false"/>
                <w:sz w:val="14"/>
                <w:szCs w:val="14"/>
              </w:rPr>
              <w:t xml:space="preserve">S3</w:t>
            </w:r>
          </w:p>
        </w:tc>
        <w:tc>
          <w:tcPr>
            <w:tcW w:type="pct" w:w="13%"/>
            <w:tcMar>
              <w:top w:type="dxa" w:w="60"/>
              <w:left w:type="dxa" w:w="70"/>
              <w:bottom w:type="dxa" w:w="60"/>
              <w:right w:type="dxa" w:w="70"/>
            </w:tcMar>
            <w:vAlign w:val="center"/>
          </w:tcPr>
          <w:p>
            <w:r>
              <w:rPr>
                <w:b w:val="false"/>
                <w:bCs w:val="false"/>
                <w:sz w:val="14"/>
                <w:szCs w:val="14"/>
              </w:rPr>
              <w:t xml:space="preserve">Réseau &amp; Axes (GEO)</w:t>
            </w:r>
          </w:p>
        </w:tc>
        <w:tc>
          <w:tcPr>
            <w:tcW w:type="pct" w:w="24%"/>
            <w:tcMar>
              <w:top w:type="dxa" w:w="60"/>
              <w:left w:type="dxa" w:w="70"/>
              <w:bottom w:type="dxa" w:w="60"/>
              <w:right w:type="dxa" w:w="70"/>
            </w:tcMar>
            <w:vAlign w:val="center"/>
          </w:tcPr>
          <w:p>
            <w:r>
              <w:rPr>
                <w:b w:val="false"/>
                <w:bCs w:val="false"/>
                <w:sz w:val="14"/>
                <w:szCs w:val="14"/>
              </w:rPr>
              <w:t xml:space="preserve">service-geo (Moteur) : Axe/Hub, zonage H3, états d'activation</w:t>
            </w:r>
          </w:p>
        </w:tc>
        <w:tc>
          <w:tcPr>
            <w:tcW w:type="pct" w:w="19%"/>
            <w:tcMar>
              <w:top w:type="dxa" w:w="60"/>
              <w:left w:type="dxa" w:w="70"/>
              <w:bottom w:type="dxa" w:w="60"/>
              <w:right w:type="dxa" w:w="70"/>
            </w:tcMar>
            <w:vAlign w:val="center"/>
          </w:tcPr>
          <w:p>
            <w:r>
              <w:rPr>
                <w:b w:val="false"/>
                <w:bCs w:val="false"/>
                <w:sz w:val="14"/>
                <w:szCs w:val="14"/>
              </w:rPr>
              <w:t xml:space="preserve">Écran axes disponibles, verrous visibles</w:t>
            </w:r>
          </w:p>
        </w:tc>
        <w:tc>
          <w:tcPr>
            <w:tcW w:type="pct" w:w="19%"/>
            <w:tcMar>
              <w:top w:type="dxa" w:w="60"/>
              <w:left w:type="dxa" w:w="70"/>
              <w:bottom w:type="dxa" w:w="60"/>
              <w:right w:type="dxa" w:w="70"/>
            </w:tcMar>
            <w:vAlign w:val="center"/>
          </w:tcPr>
          <w:p>
            <w:r>
              <w:rPr>
                <w:b w:val="false"/>
                <w:bCs w:val="false"/>
                <w:sz w:val="14"/>
                <w:szCs w:val="14"/>
              </w:rPr>
              <w:t xml:space="preserve">—</w:t>
            </w:r>
          </w:p>
        </w:tc>
        <w:tc>
          <w:tcPr>
            <w:tcW w:type="pct" w:w="19%"/>
            <w:tcMar>
              <w:top w:type="dxa" w:w="60"/>
              <w:left w:type="dxa" w:w="70"/>
              <w:bottom w:type="dxa" w:w="60"/>
              <w:right w:type="dxa" w:w="70"/>
            </w:tcMar>
            <w:vAlign w:val="center"/>
          </w:tcPr>
          <w:p>
            <w:r>
              <w:rPr>
                <w:b w:val="false"/>
                <w:bCs w:val="false"/>
                <w:sz w:val="14"/>
                <w:szCs w:val="14"/>
              </w:rPr>
              <w:t xml:space="preserve">Carte des axes — rôle Bureau</w:t>
            </w:r>
          </w:p>
        </w:tc>
      </w:tr>
      <w:tr>
        <w:tc>
          <w:tcPr>
            <w:tcW w:type="pct" w:w="6%"/>
            <w:shd w:fill="F5F5F5" w:val="clear"/>
            <w:tcMar>
              <w:top w:type="dxa" w:w="60"/>
              <w:left w:type="dxa" w:w="70"/>
              <w:bottom w:type="dxa" w:w="60"/>
              <w:right w:type="dxa" w:w="70"/>
            </w:tcMar>
            <w:vAlign w:val="center"/>
          </w:tcPr>
          <w:p>
            <w:r>
              <w:rPr>
                <w:b w:val="false"/>
                <w:bCs w:val="false"/>
                <w:sz w:val="14"/>
                <w:szCs w:val="14"/>
              </w:rPr>
              <w:t xml:space="preserve">S4</w:t>
            </w:r>
          </w:p>
        </w:tc>
        <w:tc>
          <w:tcPr>
            <w:tcW w:type="pct" w:w="13%"/>
            <w:shd w:fill="F5F5F5" w:val="clear"/>
            <w:tcMar>
              <w:top w:type="dxa" w:w="60"/>
              <w:left w:type="dxa" w:w="70"/>
              <w:bottom w:type="dxa" w:w="60"/>
              <w:right w:type="dxa" w:w="70"/>
            </w:tcMar>
            <w:vAlign w:val="center"/>
          </w:tcPr>
          <w:p>
            <w:r>
              <w:rPr>
                <w:b w:val="false"/>
                <w:bCs w:val="false"/>
                <w:sz w:val="14"/>
                <w:szCs w:val="14"/>
              </w:rPr>
              <w:t xml:space="preserve">Capacité &amp; Marketplace</w:t>
            </w:r>
          </w:p>
        </w:tc>
        <w:tc>
          <w:tcPr>
            <w:tcW w:type="pct" w:w="24%"/>
            <w:shd w:fill="F5F5F5" w:val="clear"/>
            <w:tcMar>
              <w:top w:type="dxa" w:w="60"/>
              <w:left w:type="dxa" w:w="70"/>
              <w:bottom w:type="dxa" w:w="60"/>
              <w:right w:type="dxa" w:w="70"/>
            </w:tcMar>
            <w:vAlign w:val="center"/>
          </w:tcPr>
          <w:p>
            <w:r>
              <w:rPr>
                <w:b w:val="false"/>
                <w:bCs w:val="false"/>
                <w:sz w:val="14"/>
                <w:szCs w:val="14"/>
              </w:rPr>
              <w:t xml:space="preserve">service-cap + service-mkt (Mobile) : capacité, publication demande, catalogue emballages</w:t>
            </w:r>
          </w:p>
        </w:tc>
        <w:tc>
          <w:tcPr>
            <w:tcW w:type="pct" w:w="19%"/>
            <w:shd w:fill="F5F5F5" w:val="clear"/>
            <w:tcMar>
              <w:top w:type="dxa" w:w="60"/>
              <w:left w:type="dxa" w:w="70"/>
              <w:bottom w:type="dxa" w:w="60"/>
              <w:right w:type="dxa" w:w="70"/>
            </w:tcMar>
            <w:vAlign w:val="center"/>
          </w:tcPr>
          <w:p>
            <w:r>
              <w:rPr>
                <w:b w:val="false"/>
                <w:bCs w:val="false"/>
                <w:sz w:val="14"/>
                <w:szCs w:val="14"/>
              </w:rPr>
              <w:t xml:space="preserve">Écran déclaration de capacité (véhicule, trajet, créneau)</w:t>
            </w:r>
          </w:p>
        </w:tc>
        <w:tc>
          <w:tcPr>
            <w:tcW w:type="pct" w:w="19%"/>
            <w:shd w:fill="F5F5F5" w:val="clear"/>
            <w:tcMar>
              <w:top w:type="dxa" w:w="60"/>
              <w:left w:type="dxa" w:w="70"/>
              <w:bottom w:type="dxa" w:w="60"/>
              <w:right w:type="dxa" w:w="70"/>
            </w:tcMar>
            <w:vAlign w:val="center"/>
          </w:tcPr>
          <w:p>
            <w:r>
              <w:rPr>
                <w:b w:val="false"/>
                <w:bCs w:val="false"/>
                <w:sz w:val="14"/>
                <w:szCs w:val="14"/>
              </w:rPr>
              <w:t xml:space="preserve">Écran publication de demande via catalogue d'emballages</w:t>
            </w:r>
          </w:p>
        </w:tc>
        <w:tc>
          <w:tcPr>
            <w:tcW w:type="pct" w:w="19%"/>
            <w:shd w:fill="F5F5F5" w:val="clear"/>
            <w:tcMar>
              <w:top w:type="dxa" w:w="60"/>
              <w:left w:type="dxa" w:w="70"/>
              <w:bottom w:type="dxa" w:w="60"/>
              <w:right w:type="dxa" w:w="70"/>
            </w:tcMar>
            <w:vAlign w:val="center"/>
          </w:tcPr>
          <w:p>
            <w:r>
              <w:rPr>
                <w:b w:val="false"/>
                <w:bCs w:val="false"/>
                <w:sz w:val="14"/>
                <w:szCs w:val="14"/>
              </w:rPr>
              <w:t xml:space="preserve">Vue capacités publiées — rôle Transporteur (lecture)</w:t>
            </w:r>
          </w:p>
        </w:tc>
      </w:tr>
      <w:tr>
        <w:tc>
          <w:tcPr>
            <w:tcW w:type="pct" w:w="6%"/>
            <w:tcMar>
              <w:top w:type="dxa" w:w="60"/>
              <w:left w:type="dxa" w:w="70"/>
              <w:bottom w:type="dxa" w:w="60"/>
              <w:right w:type="dxa" w:w="70"/>
            </w:tcMar>
            <w:vAlign w:val="center"/>
          </w:tcPr>
          <w:p>
            <w:r>
              <w:rPr>
                <w:b w:val="false"/>
                <w:bCs w:val="false"/>
                <w:sz w:val="14"/>
                <w:szCs w:val="14"/>
              </w:rPr>
              <w:t xml:space="preserve">S5</w:t>
            </w:r>
          </w:p>
        </w:tc>
        <w:tc>
          <w:tcPr>
            <w:tcW w:type="pct" w:w="13%"/>
            <w:tcMar>
              <w:top w:type="dxa" w:w="60"/>
              <w:left w:type="dxa" w:w="70"/>
              <w:bottom w:type="dxa" w:w="60"/>
              <w:right w:type="dxa" w:w="70"/>
            </w:tcMar>
            <w:vAlign w:val="center"/>
          </w:tcPr>
          <w:p>
            <w:r>
              <w:rPr>
                <w:b w:val="false"/>
                <w:bCs w:val="false"/>
                <w:sz w:val="14"/>
                <w:szCs w:val="14"/>
              </w:rPr>
              <w:t xml:space="preserve">Matching V0</w:t>
            </w:r>
          </w:p>
        </w:tc>
        <w:tc>
          <w:tcPr>
            <w:tcW w:type="pct" w:w="24%"/>
            <w:tcMar>
              <w:top w:type="dxa" w:w="60"/>
              <w:left w:type="dxa" w:w="70"/>
              <w:bottom w:type="dxa" w:w="60"/>
              <w:right w:type="dxa" w:w="70"/>
            </w:tcMar>
            <w:vAlign w:val="center"/>
          </w:tcPr>
          <w:p>
            <w:r>
              <w:rPr>
                <w:b w:val="false"/>
                <w:bCs w:val="false"/>
                <w:sz w:val="14"/>
                <w:szCs w:val="14"/>
              </w:rPr>
              <w:t xml:space="preserve">service-mat + service-opt (Moteur) : L0 filtrage H3, L1 affectation Kuhn-Munkres, coût composite, Valhalla, tarification</w:t>
            </w:r>
          </w:p>
        </w:tc>
        <w:tc>
          <w:tcPr>
            <w:tcW w:type="pct" w:w="19%"/>
            <w:tcMar>
              <w:top w:type="dxa" w:w="60"/>
              <w:left w:type="dxa" w:w="70"/>
              <w:bottom w:type="dxa" w:w="60"/>
              <w:right w:type="dxa" w:w="70"/>
            </w:tcMar>
            <w:vAlign w:val="center"/>
          </w:tcPr>
          <w:p>
            <w:r>
              <w:rPr>
                <w:b w:val="false"/>
                <w:bCs w:val="false"/>
                <w:sz w:val="14"/>
                <w:szCs w:val="14"/>
              </w:rPr>
              <w:t xml:space="preserve">—</w:t>
            </w:r>
          </w:p>
        </w:tc>
        <w:tc>
          <w:tcPr>
            <w:tcW w:type="pct" w:w="19%"/>
            <w:tcMar>
              <w:top w:type="dxa" w:w="60"/>
              <w:left w:type="dxa" w:w="70"/>
              <w:bottom w:type="dxa" w:w="60"/>
              <w:right w:type="dxa" w:w="70"/>
            </w:tcMar>
            <w:vAlign w:val="center"/>
          </w:tcPr>
          <w:p>
            <w:r>
              <w:rPr>
                <w:b w:val="false"/>
                <w:bCs w:val="false"/>
                <w:sz w:val="14"/>
                <w:szCs w:val="14"/>
              </w:rPr>
              <w:t xml:space="preserve">Écran propositions (≤3, motif de classement), acceptation/refus</w:t>
            </w:r>
          </w:p>
        </w:tc>
        <w:tc>
          <w:tcPr>
            <w:tcW w:type="pct" w:w="19%"/>
            <w:tcMar>
              <w:top w:type="dxa" w:w="60"/>
              <w:left w:type="dxa" w:w="70"/>
              <w:bottom w:type="dxa" w:w="60"/>
              <w:right w:type="dxa" w:w="70"/>
            </w:tcMar>
            <w:vAlign w:val="center"/>
          </w:tcPr>
          <w:p>
            <w:r>
              <w:rPr>
                <w:b w:val="false"/>
                <w:bCs w:val="false"/>
                <w:sz w:val="14"/>
                <w:szCs w:val="14"/>
              </w:rPr>
              <w:t xml:space="preserve">Vue missions appariées — rôle Bureau</w:t>
            </w:r>
          </w:p>
        </w:tc>
      </w:tr>
      <w:tr>
        <w:tc>
          <w:tcPr>
            <w:tcW w:type="pct" w:w="6%"/>
            <w:shd w:fill="F5F5F5" w:val="clear"/>
            <w:tcMar>
              <w:top w:type="dxa" w:w="60"/>
              <w:left w:type="dxa" w:w="70"/>
              <w:bottom w:type="dxa" w:w="60"/>
              <w:right w:type="dxa" w:w="70"/>
            </w:tcMar>
            <w:vAlign w:val="center"/>
          </w:tcPr>
          <w:p>
            <w:r>
              <w:rPr>
                <w:b w:val="false"/>
                <w:bCs w:val="false"/>
                <w:sz w:val="14"/>
                <w:szCs w:val="14"/>
              </w:rPr>
              <w:t xml:space="preserve">S6</w:t>
            </w:r>
          </w:p>
        </w:tc>
        <w:tc>
          <w:tcPr>
            <w:tcW w:type="pct" w:w="13%"/>
            <w:shd w:fill="F5F5F5" w:val="clear"/>
            <w:tcMar>
              <w:top w:type="dxa" w:w="60"/>
              <w:left w:type="dxa" w:w="70"/>
              <w:bottom w:type="dxa" w:w="60"/>
              <w:right w:type="dxa" w:w="70"/>
            </w:tcMar>
            <w:vAlign w:val="center"/>
          </w:tcPr>
          <w:p>
            <w:r>
              <w:rPr>
                <w:b w:val="false"/>
                <w:bCs w:val="false"/>
                <w:sz w:val="14"/>
                <w:szCs w:val="14"/>
              </w:rPr>
              <w:t xml:space="preserve">Suivi GPS</w:t>
            </w:r>
          </w:p>
        </w:tc>
        <w:tc>
          <w:tcPr>
            <w:tcW w:type="pct" w:w="24%"/>
            <w:shd w:fill="F5F5F5" w:val="clear"/>
            <w:tcMar>
              <w:top w:type="dxa" w:w="60"/>
              <w:left w:type="dxa" w:w="70"/>
              <w:bottom w:type="dxa" w:w="60"/>
              <w:right w:type="dxa" w:w="70"/>
            </w:tcMar>
            <w:vAlign w:val="center"/>
          </w:tcPr>
          <w:p>
            <w:r>
              <w:rPr>
                <w:b w:val="false"/>
                <w:bCs w:val="false"/>
                <w:sz w:val="14"/>
                <w:szCs w:val="14"/>
              </w:rPr>
              <w:t xml:space="preserve">service-flt (Mobile, ingestion position) + service-trk (Moteur, ETA/anomalies)</w:t>
            </w:r>
          </w:p>
        </w:tc>
        <w:tc>
          <w:tcPr>
            <w:tcW w:type="pct" w:w="19%"/>
            <w:shd w:fill="F5F5F5" w:val="clear"/>
            <w:tcMar>
              <w:top w:type="dxa" w:w="60"/>
              <w:left w:type="dxa" w:w="70"/>
              <w:bottom w:type="dxa" w:w="60"/>
              <w:right w:type="dxa" w:w="70"/>
            </w:tcMar>
            <w:vAlign w:val="center"/>
          </w:tcPr>
          <w:p>
            <w:r>
              <w:rPr>
                <w:b w:val="false"/>
                <w:bCs w:val="false"/>
                <w:sz w:val="14"/>
                <w:szCs w:val="14"/>
              </w:rPr>
              <w:t xml:space="preserve">Service GPS arrière-plan (capture + envoi batch), synchro offline</w:t>
            </w:r>
          </w:p>
        </w:tc>
        <w:tc>
          <w:tcPr>
            <w:tcW w:type="pct" w:w="19%"/>
            <w:shd w:fill="F5F5F5" w:val="clear"/>
            <w:tcMar>
              <w:top w:type="dxa" w:w="60"/>
              <w:left w:type="dxa" w:w="70"/>
              <w:bottom w:type="dxa" w:w="60"/>
              <w:right w:type="dxa" w:w="70"/>
            </w:tcMar>
            <w:vAlign w:val="center"/>
          </w:tcPr>
          <w:p>
            <w:r>
              <w:rPr>
                <w:b w:val="false"/>
                <w:bCs w:val="false"/>
                <w:sz w:val="14"/>
                <w:szCs w:val="14"/>
              </w:rPr>
              <w:t xml:space="preserve">Carte de suivi temps réel de sa demande (position, ETA)</w:t>
            </w:r>
          </w:p>
        </w:tc>
        <w:tc>
          <w:tcPr>
            <w:tcW w:type="pct" w:w="19%"/>
            <w:shd w:fill="F5F5F5" w:val="clear"/>
            <w:tcMar>
              <w:top w:type="dxa" w:w="60"/>
              <w:left w:type="dxa" w:w="70"/>
              <w:bottom w:type="dxa" w:w="60"/>
              <w:right w:type="dxa" w:w="70"/>
            </w:tcMar>
            <w:vAlign w:val="center"/>
          </w:tcPr>
          <w:p>
            <w:r>
              <w:rPr>
                <w:b w:val="false"/>
                <w:bCs w:val="false"/>
                <w:sz w:val="14"/>
                <w:szCs w:val="14"/>
              </w:rPr>
              <w:t xml:space="preserve">Carte de suivi temps réel — rôle Bureau (vue globale)</w:t>
            </w:r>
          </w:p>
        </w:tc>
      </w:tr>
      <w:tr>
        <w:tc>
          <w:tcPr>
            <w:tcW w:type="pct" w:w="6%"/>
            <w:tcMar>
              <w:top w:type="dxa" w:w="60"/>
              <w:left w:type="dxa" w:w="70"/>
              <w:bottom w:type="dxa" w:w="60"/>
              <w:right w:type="dxa" w:w="70"/>
            </w:tcMar>
            <w:vAlign w:val="center"/>
          </w:tcPr>
          <w:p>
            <w:r>
              <w:rPr>
                <w:b w:val="false"/>
                <w:bCs w:val="false"/>
                <w:sz w:val="14"/>
                <w:szCs w:val="14"/>
              </w:rPr>
              <w:t xml:space="preserve">S7</w:t>
            </w:r>
          </w:p>
        </w:tc>
        <w:tc>
          <w:tcPr>
            <w:tcW w:type="pct" w:w="13%"/>
            <w:tcMar>
              <w:top w:type="dxa" w:w="60"/>
              <w:left w:type="dxa" w:w="70"/>
              <w:bottom w:type="dxa" w:w="60"/>
              <w:right w:type="dxa" w:w="70"/>
            </w:tcMar>
            <w:vAlign w:val="center"/>
          </w:tcPr>
          <w:p>
            <w:r>
              <w:rPr>
                <w:b w:val="false"/>
                <w:bCs w:val="false"/>
                <w:sz w:val="14"/>
                <w:szCs w:val="14"/>
              </w:rPr>
              <w:t xml:space="preserve">Exécution de mission</w:t>
            </w:r>
          </w:p>
        </w:tc>
        <w:tc>
          <w:tcPr>
            <w:tcW w:type="pct" w:w="24%"/>
            <w:tcMar>
              <w:top w:type="dxa" w:w="60"/>
              <w:left w:type="dxa" w:w="70"/>
              <w:bottom w:type="dxa" w:w="60"/>
              <w:right w:type="dxa" w:w="70"/>
            </w:tcMar>
            <w:vAlign w:val="center"/>
          </w:tcPr>
          <w:p>
            <w:r>
              <w:rPr>
                <w:b w:val="false"/>
                <w:bCs w:val="false"/>
                <w:sz w:val="14"/>
                <w:szCs w:val="14"/>
              </w:rPr>
              <w:t xml:space="preserve">service-exe (Mobile) : étapes, preuves, empreinte — consomme AffectationConfirmee</w:t>
            </w:r>
          </w:p>
        </w:tc>
        <w:tc>
          <w:tcPr>
            <w:tcW w:type="pct" w:w="19%"/>
            <w:tcMar>
              <w:top w:type="dxa" w:w="60"/>
              <w:left w:type="dxa" w:w="70"/>
              <w:bottom w:type="dxa" w:w="60"/>
              <w:right w:type="dxa" w:w="70"/>
            </w:tcMar>
            <w:vAlign w:val="center"/>
          </w:tcPr>
          <w:p>
            <w:r>
              <w:rPr>
                <w:b w:val="false"/>
                <w:bCs w:val="false"/>
                <w:sz w:val="14"/>
                <w:szCs w:val="14"/>
              </w:rPr>
              <w:t xml:space="preserve">Écran mission en cours (prise en charge, étapes), capture preuve hors ligne</w:t>
            </w:r>
          </w:p>
        </w:tc>
        <w:tc>
          <w:tcPr>
            <w:tcW w:type="pct" w:w="19%"/>
            <w:tcMar>
              <w:top w:type="dxa" w:w="60"/>
              <w:left w:type="dxa" w:w="70"/>
              <w:bottom w:type="dxa" w:w="60"/>
              <w:right w:type="dxa" w:w="70"/>
            </w:tcMar>
            <w:vAlign w:val="center"/>
          </w:tcPr>
          <w:p>
            <w:r>
              <w:rPr>
                <w:b w:val="false"/>
                <w:bCs w:val="false"/>
                <w:sz w:val="14"/>
                <w:szCs w:val="14"/>
              </w:rPr>
              <w:t xml:space="preserve">Chronologie de mission (lecture seule)</w:t>
            </w:r>
          </w:p>
        </w:tc>
        <w:tc>
          <w:tcPr>
            <w:tcW w:type="pct" w:w="19%"/>
            <w:tcMar>
              <w:top w:type="dxa" w:w="60"/>
              <w:left w:type="dxa" w:w="70"/>
              <w:bottom w:type="dxa" w:w="60"/>
              <w:right w:type="dxa" w:w="70"/>
            </w:tcMar>
            <w:vAlign w:val="center"/>
          </w:tcPr>
          <w:p>
            <w:r>
              <w:rPr>
                <w:b w:val="false"/>
                <w:bCs w:val="false"/>
                <w:sz w:val="14"/>
                <w:szCs w:val="14"/>
              </w:rPr>
              <w:t xml:space="preserve">Chronologie de mission — rôle Bureau + vue missions — rôle Transporteur</w:t>
            </w:r>
          </w:p>
        </w:tc>
      </w:tr>
      <w:tr>
        <w:tc>
          <w:tcPr>
            <w:tcW w:type="pct" w:w="6%"/>
            <w:shd w:fill="F5F5F5" w:val="clear"/>
            <w:tcMar>
              <w:top w:type="dxa" w:w="60"/>
              <w:left w:type="dxa" w:w="70"/>
              <w:bottom w:type="dxa" w:w="60"/>
              <w:right w:type="dxa" w:w="70"/>
            </w:tcMar>
            <w:vAlign w:val="center"/>
          </w:tcPr>
          <w:p>
            <w:r>
              <w:rPr>
                <w:b w:val="false"/>
                <w:bCs w:val="false"/>
                <w:sz w:val="14"/>
                <w:szCs w:val="14"/>
              </w:rPr>
              <w:t xml:space="preserve">S8</w:t>
            </w:r>
          </w:p>
        </w:tc>
        <w:tc>
          <w:tcPr>
            <w:tcW w:type="pct" w:w="13%"/>
            <w:shd w:fill="F5F5F5" w:val="clear"/>
            <w:tcMar>
              <w:top w:type="dxa" w:w="60"/>
              <w:left w:type="dxa" w:w="70"/>
              <w:bottom w:type="dxa" w:w="60"/>
              <w:right w:type="dxa" w:w="70"/>
            </w:tcMar>
            <w:vAlign w:val="center"/>
          </w:tcPr>
          <w:p>
            <w:r>
              <w:rPr>
                <w:b w:val="false"/>
                <w:bCs w:val="false"/>
                <w:sz w:val="14"/>
                <w:szCs w:val="14"/>
              </w:rPr>
              <w:t xml:space="preserve">Paiement orchestré</w:t>
            </w:r>
          </w:p>
        </w:tc>
        <w:tc>
          <w:tcPr>
            <w:tcW w:type="pct" w:w="24%"/>
            <w:shd w:fill="F5F5F5" w:val="clear"/>
            <w:tcMar>
              <w:top w:type="dxa" w:w="60"/>
              <w:left w:type="dxa" w:w="70"/>
              <w:bottom w:type="dxa" w:w="60"/>
              <w:right w:type="dxa" w:w="70"/>
            </w:tcMar>
            <w:vAlign w:val="center"/>
          </w:tcPr>
          <w:p>
            <w:r>
              <w:rPr>
                <w:b w:val="false"/>
                <w:bCs w:val="false"/>
                <w:sz w:val="14"/>
                <w:szCs w:val="14"/>
              </w:rPr>
              <w:t xml:space="preserve">service-pay (Web) : écriture grand livre miroir, séquestre déclenché par EXE</w:t>
            </w:r>
          </w:p>
        </w:tc>
        <w:tc>
          <w:tcPr>
            <w:tcW w:type="pct" w:w="19%"/>
            <w:shd w:fill="F5F5F5" w:val="clear"/>
            <w:tcMar>
              <w:top w:type="dxa" w:w="60"/>
              <w:left w:type="dxa" w:w="70"/>
              <w:bottom w:type="dxa" w:w="60"/>
              <w:right w:type="dxa" w:w="70"/>
            </w:tcMar>
            <w:vAlign w:val="center"/>
          </w:tcPr>
          <w:p>
            <w:r>
              <w:rPr>
                <w:b w:val="false"/>
                <w:bCs w:val="false"/>
                <w:sz w:val="14"/>
                <w:szCs w:val="14"/>
              </w:rPr>
              <w:t xml:space="preserve">Écran solde / historique des gains</w:t>
            </w:r>
          </w:p>
        </w:tc>
        <w:tc>
          <w:tcPr>
            <w:tcW w:type="pct" w:w="19%"/>
            <w:shd w:fill="F5F5F5" w:val="clear"/>
            <w:tcMar>
              <w:top w:type="dxa" w:w="60"/>
              <w:left w:type="dxa" w:w="70"/>
              <w:bottom w:type="dxa" w:w="60"/>
              <w:right w:type="dxa" w:w="70"/>
            </w:tcMar>
            <w:vAlign w:val="center"/>
          </w:tcPr>
          <w:p>
            <w:r>
              <w:rPr>
                <w:b w:val="false"/>
                <w:bCs w:val="false"/>
                <w:sz w:val="14"/>
                <w:szCs w:val="14"/>
              </w:rPr>
              <w:t xml:space="preserve">Écran paiement (prestataire agréé) à l'acceptation</w:t>
            </w:r>
          </w:p>
        </w:tc>
        <w:tc>
          <w:tcPr>
            <w:tcW w:type="pct" w:w="19%"/>
            <w:shd w:fill="F5F5F5" w:val="clear"/>
            <w:tcMar>
              <w:top w:type="dxa" w:w="60"/>
              <w:left w:type="dxa" w:w="70"/>
              <w:bottom w:type="dxa" w:w="60"/>
              <w:right w:type="dxa" w:w="70"/>
            </w:tcMar>
            <w:vAlign w:val="center"/>
          </w:tcPr>
          <w:p>
            <w:r>
              <w:rPr>
                <w:b w:val="false"/>
                <w:bCs w:val="false"/>
                <w:sz w:val="14"/>
                <w:szCs w:val="14"/>
              </w:rPr>
              <w:t xml:space="preserve">Rapport financier (séquestre/grand livre, lecture) — rôle Bureau/Admin</w:t>
            </w:r>
          </w:p>
        </w:tc>
      </w:tr>
      <w:tr>
        <w:tc>
          <w:tcPr>
            <w:tcW w:type="pct" w:w="6%"/>
            <w:tcMar>
              <w:top w:type="dxa" w:w="60"/>
              <w:left w:type="dxa" w:w="70"/>
              <w:bottom w:type="dxa" w:w="60"/>
              <w:right w:type="dxa" w:w="70"/>
            </w:tcMar>
            <w:vAlign w:val="center"/>
          </w:tcPr>
          <w:p>
            <w:r>
              <w:rPr>
                <w:b w:val="false"/>
                <w:bCs w:val="false"/>
                <w:sz w:val="14"/>
                <w:szCs w:val="14"/>
              </w:rPr>
              <w:t xml:space="preserve">S9</w:t>
            </w:r>
          </w:p>
        </w:tc>
        <w:tc>
          <w:tcPr>
            <w:tcW w:type="pct" w:w="13%"/>
            <w:tcMar>
              <w:top w:type="dxa" w:w="60"/>
              <w:left w:type="dxa" w:w="70"/>
              <w:bottom w:type="dxa" w:w="60"/>
              <w:right w:type="dxa" w:w="70"/>
            </w:tcMar>
            <w:vAlign w:val="center"/>
          </w:tcPr>
          <w:p>
            <w:r>
              <w:rPr>
                <w:b w:val="false"/>
                <w:bCs w:val="false"/>
                <w:sz w:val="14"/>
                <w:szCs w:val="14"/>
              </w:rPr>
              <w:t xml:space="preserve">Notifications</w:t>
            </w:r>
          </w:p>
        </w:tc>
        <w:tc>
          <w:tcPr>
            <w:tcW w:type="pct" w:w="24%"/>
            <w:tcMar>
              <w:top w:type="dxa" w:w="60"/>
              <w:left w:type="dxa" w:w="70"/>
              <w:bottom w:type="dxa" w:w="60"/>
              <w:right w:type="dxa" w:w="70"/>
            </w:tcMar>
            <w:vAlign w:val="center"/>
          </w:tcPr>
          <w:p>
            <w:r>
              <w:rPr>
                <w:b w:val="false"/>
                <w:bCs w:val="false"/>
                <w:sz w:val="14"/>
                <w:szCs w:val="14"/>
              </w:rPr>
              <w:t xml:space="preserve">service-not (Mobile) : FCM + WhatsApp BSP + SMS, repli inter-canaux</w:t>
            </w:r>
          </w:p>
        </w:tc>
        <w:tc>
          <w:tcPr>
            <w:tcW w:type="pct" w:w="19%"/>
            <w:tcMar>
              <w:top w:type="dxa" w:w="60"/>
              <w:left w:type="dxa" w:w="70"/>
              <w:bottom w:type="dxa" w:w="60"/>
              <w:right w:type="dxa" w:w="70"/>
            </w:tcMar>
            <w:vAlign w:val="center"/>
          </w:tcPr>
          <w:p>
            <w:r>
              <w:rPr>
                <w:b w:val="false"/>
                <w:bCs w:val="false"/>
                <w:sz w:val="14"/>
                <w:szCs w:val="14"/>
              </w:rPr>
              <w:t xml:space="preserve">Réception push (nouvelle mission, alertes)</w:t>
            </w:r>
          </w:p>
        </w:tc>
        <w:tc>
          <w:tcPr>
            <w:tcW w:type="pct" w:w="19%"/>
            <w:tcMar>
              <w:top w:type="dxa" w:w="60"/>
              <w:left w:type="dxa" w:w="70"/>
              <w:bottom w:type="dxa" w:w="60"/>
              <w:right w:type="dxa" w:w="70"/>
            </w:tcMar>
            <w:vAlign w:val="center"/>
          </w:tcPr>
          <w:p>
            <w:r>
              <w:rPr>
                <w:b w:val="false"/>
                <w:bCs w:val="false"/>
                <w:sz w:val="14"/>
                <w:szCs w:val="14"/>
              </w:rPr>
              <w:t xml:space="preserve">Réception push (proposition reçue, statut mission)</w:t>
            </w:r>
          </w:p>
        </w:tc>
        <w:tc>
          <w:tcPr>
            <w:tcW w:type="pct" w:w="19%"/>
            <w:tcMar>
              <w:top w:type="dxa" w:w="60"/>
              <w:left w:type="dxa" w:w="70"/>
              <w:bottom w:type="dxa" w:w="60"/>
              <w:right w:type="dxa" w:w="70"/>
            </w:tcMar>
            <w:vAlign w:val="center"/>
          </w:tcPr>
          <w:p>
            <w:r>
              <w:rPr>
                <w:b w:val="false"/>
                <w:bCs w:val="false"/>
                <w:sz w:val="14"/>
                <w:szCs w:val="14"/>
              </w:rPr>
              <w:t xml:space="preserve">Centre de notifications (canal email) — rôle Bureau</w:t>
            </w:r>
          </w:p>
        </w:tc>
      </w:tr>
      <w:tr>
        <w:tc>
          <w:tcPr>
            <w:tcW w:type="pct" w:w="6%"/>
            <w:shd w:fill="F5F5F5" w:val="clear"/>
            <w:tcMar>
              <w:top w:type="dxa" w:w="60"/>
              <w:left w:type="dxa" w:w="70"/>
              <w:bottom w:type="dxa" w:w="60"/>
              <w:right w:type="dxa" w:w="70"/>
            </w:tcMar>
            <w:vAlign w:val="center"/>
          </w:tcPr>
          <w:p>
            <w:r>
              <w:rPr>
                <w:b w:val="false"/>
                <w:bCs w:val="false"/>
                <w:sz w:val="14"/>
                <w:szCs w:val="14"/>
              </w:rPr>
              <w:t xml:space="preserve">S10</w:t>
            </w:r>
          </w:p>
        </w:tc>
        <w:tc>
          <w:tcPr>
            <w:tcW w:type="pct" w:w="13%"/>
            <w:shd w:fill="F5F5F5" w:val="clear"/>
            <w:tcMar>
              <w:top w:type="dxa" w:w="60"/>
              <w:left w:type="dxa" w:w="70"/>
              <w:bottom w:type="dxa" w:w="60"/>
              <w:right w:type="dxa" w:w="70"/>
            </w:tcMar>
            <w:vAlign w:val="center"/>
          </w:tcPr>
          <w:p>
            <w:r>
              <w:rPr>
                <w:b w:val="false"/>
                <w:bCs w:val="false"/>
                <w:sz w:val="14"/>
                <w:szCs w:val="14"/>
              </w:rPr>
              <w:t xml:space="preserve">Back-office &amp; flotte</w:t>
            </w:r>
          </w:p>
        </w:tc>
        <w:tc>
          <w:tcPr>
            <w:tcW w:type="pct" w:w="24%"/>
            <w:shd w:fill="F5F5F5" w:val="clear"/>
            <w:tcMar>
              <w:top w:type="dxa" w:w="60"/>
              <w:left w:type="dxa" w:w="70"/>
              <w:bottom w:type="dxa" w:w="60"/>
              <w:right w:type="dxa" w:w="70"/>
            </w:tcMar>
            <w:vAlign w:val="center"/>
          </w:tcPr>
          <w:p>
            <w:r>
              <w:rPr>
                <w:b w:val="false"/>
                <w:bCs w:val="false"/>
                <w:sz w:val="14"/>
                <w:szCs w:val="14"/>
              </w:rPr>
              <w:t xml:space="preserve">service-flt (Mobile, console) + service-adm (Web, modération/audit)</w:t>
            </w:r>
          </w:p>
        </w:tc>
        <w:tc>
          <w:tcPr>
            <w:tcW w:type="pct" w:w="19%"/>
            <w:shd w:fill="F5F5F5" w:val="clear"/>
            <w:tcMar>
              <w:top w:type="dxa" w:w="60"/>
              <w:left w:type="dxa" w:w="70"/>
              <w:bottom w:type="dxa" w:w="60"/>
              <w:right w:type="dxa" w:w="70"/>
            </w:tcMar>
            <w:vAlign w:val="center"/>
          </w:tcPr>
          <w:p>
            <w:r>
              <w:rPr>
                <w:b w:val="false"/>
                <w:bCs w:val="false"/>
                <w:sz w:val="14"/>
                <w:szCs w:val="14"/>
              </w:rPr>
              <w:t xml:space="preserve">Console de flotte simplifiée (mode transporteur étendu)</w:t>
            </w:r>
          </w:p>
        </w:tc>
        <w:tc>
          <w:tcPr>
            <w:tcW w:type="pct" w:w="19%"/>
            <w:shd w:fill="F5F5F5" w:val="clear"/>
            <w:tcMar>
              <w:top w:type="dxa" w:w="60"/>
              <w:left w:type="dxa" w:w="70"/>
              <w:bottom w:type="dxa" w:w="60"/>
              <w:right w:type="dxa" w:w="70"/>
            </w:tcMar>
            <w:vAlign w:val="center"/>
          </w:tcPr>
          <w:p>
            <w:r>
              <w:rPr>
                <w:b w:val="false"/>
                <w:bCs w:val="false"/>
                <w:sz w:val="14"/>
                <w:szCs w:val="14"/>
              </w:rPr>
              <w:t xml:space="preserve">—</w:t>
            </w:r>
          </w:p>
        </w:tc>
        <w:tc>
          <w:tcPr>
            <w:tcW w:type="pct" w:w="19%"/>
            <w:shd w:fill="F5F5F5" w:val="clear"/>
            <w:tcMar>
              <w:top w:type="dxa" w:w="60"/>
              <w:left w:type="dxa" w:w="70"/>
              <w:bottom w:type="dxa" w:w="60"/>
              <w:right w:type="dxa" w:w="70"/>
            </w:tcMar>
            <w:vAlign w:val="center"/>
          </w:tcPr>
          <w:p>
            <w:r>
              <w:rPr>
                <w:b w:val="false"/>
                <w:bCs w:val="false"/>
                <w:sz w:val="14"/>
                <w:szCs w:val="14"/>
              </w:rPr>
              <w:t xml:space="preserve">Portail Administration complet (modération, audit, config)</w:t>
            </w:r>
          </w:p>
        </w:tc>
      </w:tr>
    </w:tbl>
    <w:p>
      <w:pPr>
        <w:pStyle w:val="Heading2"/>
        <w:spacing w:after="140" w:before="260"/>
      </w:pPr>
      <w:r>
        <w:rPr>
          <w:b/>
          <w:bCs/>
          <w:color w:val="8A0F13"/>
          <w:sz w:val="24"/>
          <w:szCs w:val="24"/>
        </w:rPr>
        <w:t xml:space="preserve">Phase 2 - Groupage et second axe (Sprints 11 a 15, ~4-5 mois)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540"/>
        <w:gridCol w:w="1350"/>
        <w:gridCol w:w="2160"/>
        <w:gridCol w:w="1710"/>
        <w:gridCol w:w="1710"/>
        <w:gridCol w:w="1530"/>
      </w:tblGrid>
      <w:tr>
        <w:trPr>
          <w:tblHeader/>
        </w:trPr>
        <w:tc>
          <w:tcPr>
            <w:tcW w:type="pct" w:w="6%"/>
            <w:shd w:fill="2B2B2B" w:val="clear"/>
            <w:tcMar>
              <w:top w:type="dxa" w:w="60"/>
              <w:left w:type="dxa" w:w="70"/>
              <w:bottom w:type="dxa" w:w="60"/>
              <w:right w:type="dxa" w:w="70"/>
            </w:tcMar>
            <w:vAlign w:val="center"/>
          </w:tcPr>
          <w:p>
            <w:r>
              <w:rPr>
                <w:b/>
                <w:bCs/>
                <w:color w:val="FFFFFF"/>
                <w:sz w:val="14"/>
                <w:szCs w:val="14"/>
              </w:rPr>
              <w:t xml:space="preserve">Sprint</w:t>
            </w:r>
          </w:p>
        </w:tc>
        <w:tc>
          <w:tcPr>
            <w:tcW w:type="pct" w:w="15%"/>
            <w:shd w:fill="2B2B2B" w:val="clear"/>
            <w:tcMar>
              <w:top w:type="dxa" w:w="60"/>
              <w:left w:type="dxa" w:w="70"/>
              <w:bottom w:type="dxa" w:w="60"/>
              <w:right w:type="dxa" w:w="70"/>
            </w:tcMar>
            <w:vAlign w:val="center"/>
          </w:tcPr>
          <w:p>
            <w:r>
              <w:rPr>
                <w:b/>
                <w:bCs/>
                <w:color w:val="FFFFFF"/>
                <w:sz w:val="14"/>
                <w:szCs w:val="14"/>
              </w:rPr>
              <w:t xml:space="preserve">Fonctionnalité</w:t>
            </w:r>
          </w:p>
        </w:tc>
        <w:tc>
          <w:tcPr>
            <w:tcW w:type="pct" w:w="24%"/>
            <w:shd w:fill="2B2B2B" w:val="clear"/>
            <w:tcMar>
              <w:top w:type="dxa" w:w="60"/>
              <w:left w:type="dxa" w:w="70"/>
              <w:bottom w:type="dxa" w:w="60"/>
              <w:right w:type="dxa" w:w="70"/>
            </w:tcMar>
            <w:vAlign w:val="center"/>
          </w:tcPr>
          <w:p>
            <w:r>
              <w:rPr>
                <w:b/>
                <w:bCs/>
                <w:color w:val="FFFFFF"/>
                <w:sz w:val="14"/>
                <w:szCs w:val="14"/>
              </w:rPr>
              <w:t xml:space="preserve">Backend</w:t>
            </w:r>
          </w:p>
        </w:tc>
        <w:tc>
          <w:tcPr>
            <w:tcW w:type="pct" w:w="19%"/>
            <w:shd w:fill="2B2B2B" w:val="clear"/>
            <w:tcMar>
              <w:top w:type="dxa" w:w="60"/>
              <w:left w:type="dxa" w:w="70"/>
              <w:bottom w:type="dxa" w:w="60"/>
              <w:right w:type="dxa" w:w="70"/>
            </w:tcMar>
            <w:vAlign w:val="center"/>
          </w:tcPr>
          <w:p>
            <w:r>
              <w:rPr>
                <w:b/>
                <w:bCs/>
                <w:color w:val="FFFFFF"/>
                <w:sz w:val="14"/>
                <w:szCs w:val="14"/>
              </w:rPr>
              <w:t xml:space="preserve">App Chauffeur/Transporteur</w:t>
            </w:r>
          </w:p>
        </w:tc>
        <w:tc>
          <w:tcPr>
            <w:tcW w:type="pct" w:w="19%"/>
            <w:shd w:fill="2B2B2B" w:val="clear"/>
            <w:tcMar>
              <w:top w:type="dxa" w:w="60"/>
              <w:left w:type="dxa" w:w="70"/>
              <w:bottom w:type="dxa" w:w="60"/>
              <w:right w:type="dxa" w:w="70"/>
            </w:tcMar>
            <w:vAlign w:val="center"/>
          </w:tcPr>
          <w:p>
            <w:r>
              <w:rPr>
                <w:b/>
                <w:bCs/>
                <w:color w:val="FFFFFF"/>
                <w:sz w:val="14"/>
                <w:szCs w:val="14"/>
              </w:rPr>
              <w:t xml:space="preserve">App Client</w:t>
            </w:r>
          </w:p>
        </w:tc>
        <w:tc>
          <w:tcPr>
            <w:tcW w:type="pct" w:w="17%"/>
            <w:shd w:fill="2B2B2B" w:val="clear"/>
            <w:tcMar>
              <w:top w:type="dxa" w:w="60"/>
              <w:left w:type="dxa" w:w="70"/>
              <w:bottom w:type="dxa" w:w="60"/>
              <w:right w:type="dxa" w:w="70"/>
            </w:tcMar>
            <w:vAlign w:val="center"/>
          </w:tcPr>
          <w:p>
            <w:r>
              <w:rPr>
                <w:b/>
                <w:bCs/>
                <w:color w:val="FFFFFF"/>
                <w:sz w:val="14"/>
                <w:szCs w:val="14"/>
              </w:rPr>
              <w:t xml:space="preserve">Web</w:t>
            </w:r>
          </w:p>
        </w:tc>
      </w:tr>
      <w:tr>
        <w:tc>
          <w:tcPr>
            <w:tcW w:type="pct" w:w="6%"/>
            <w:tcMar>
              <w:top w:type="dxa" w:w="60"/>
              <w:left w:type="dxa" w:w="70"/>
              <w:bottom w:type="dxa" w:w="60"/>
              <w:right w:type="dxa" w:w="70"/>
            </w:tcMar>
            <w:vAlign w:val="center"/>
          </w:tcPr>
          <w:p>
            <w:r>
              <w:rPr>
                <w:b w:val="false"/>
                <w:bCs w:val="false"/>
                <w:sz w:val="14"/>
                <w:szCs w:val="14"/>
              </w:rPr>
              <w:t xml:space="preserve">S11</w:t>
            </w:r>
          </w:p>
        </w:tc>
        <w:tc>
          <w:tcPr>
            <w:tcW w:type="pct" w:w="15%"/>
            <w:tcMar>
              <w:top w:type="dxa" w:w="60"/>
              <w:left w:type="dxa" w:w="70"/>
              <w:bottom w:type="dxa" w:w="60"/>
              <w:right w:type="dxa" w:w="70"/>
            </w:tcMar>
            <w:vAlign w:val="center"/>
          </w:tcPr>
          <w:p>
            <w:r>
              <w:rPr>
                <w:b w:val="false"/>
                <w:bCs w:val="false"/>
                <w:sz w:val="14"/>
                <w:szCs w:val="14"/>
              </w:rPr>
              <w:t xml:space="preserve">Consolidation LTL (moteur V1)</w:t>
            </w:r>
          </w:p>
        </w:tc>
        <w:tc>
          <w:tcPr>
            <w:tcW w:type="pct" w:w="24%"/>
            <w:tcMar>
              <w:top w:type="dxa" w:w="60"/>
              <w:left w:type="dxa" w:w="70"/>
              <w:bottom w:type="dxa" w:w="60"/>
              <w:right w:type="dxa" w:w="70"/>
            </w:tcMar>
            <w:vAlign w:val="center"/>
          </w:tcPr>
          <w:p>
            <w:r>
              <w:rPr>
                <w:b w:val="false"/>
                <w:bCs w:val="false"/>
                <w:sz w:val="14"/>
                <w:szCs w:val="14"/>
              </w:rPr>
              <w:t xml:space="preserve">service-mat + service-opt (Moteur) : séquencement PDPTW par ALNS, faisabilité poids/volume/essieu</w:t>
            </w:r>
          </w:p>
        </w:tc>
        <w:tc>
          <w:tcPr>
            <w:tcW w:type="pct" w:w="19%"/>
            <w:tcMar>
              <w:top w:type="dxa" w:w="60"/>
              <w:left w:type="dxa" w:w="70"/>
              <w:bottom w:type="dxa" w:w="60"/>
              <w:right w:type="dxa" w:w="70"/>
            </w:tcMar>
            <w:vAlign w:val="center"/>
          </w:tcPr>
          <w:p>
            <w:r>
              <w:rPr>
                <w:b w:val="false"/>
                <w:bCs w:val="false"/>
                <w:sz w:val="14"/>
                <w:szCs w:val="14"/>
              </w:rPr>
              <w:t xml:space="preserve">Écran mission multi-étapes (une action affichée à la fois)</w:t>
            </w:r>
          </w:p>
        </w:tc>
        <w:tc>
          <w:tcPr>
            <w:tcW w:type="pct" w:w="19%"/>
            <w:tcMar>
              <w:top w:type="dxa" w:w="60"/>
              <w:left w:type="dxa" w:w="70"/>
              <w:bottom w:type="dxa" w:w="60"/>
              <w:right w:type="dxa" w:w="70"/>
            </w:tcMar>
            <w:vAlign w:val="center"/>
          </w:tcPr>
          <w:p>
            <w:r>
              <w:rPr>
                <w:b w:val="false"/>
                <w:bCs w:val="false"/>
                <w:sz w:val="14"/>
                <w:szCs w:val="14"/>
              </w:rPr>
              <w:t xml:space="preserve">Indicateur "envoi consolidé" sur le suivi</w:t>
            </w:r>
          </w:p>
        </w:tc>
        <w:tc>
          <w:tcPr>
            <w:tcW w:type="pct" w:w="17%"/>
            <w:tcMar>
              <w:top w:type="dxa" w:w="60"/>
              <w:left w:type="dxa" w:w="70"/>
              <w:bottom w:type="dxa" w:w="60"/>
              <w:right w:type="dxa" w:w="70"/>
            </w:tcMar>
            <w:vAlign w:val="center"/>
          </w:tcPr>
          <w:p>
            <w:r>
              <w:rPr>
                <w:b w:val="false"/>
                <w:bCs w:val="false"/>
                <w:sz w:val="14"/>
                <w:szCs w:val="14"/>
              </w:rPr>
              <w:t xml:space="preserve">Vue taux de remplissage — rôle Bureau</w:t>
            </w:r>
          </w:p>
        </w:tc>
      </w:tr>
      <w:tr>
        <w:tc>
          <w:tcPr>
            <w:tcW w:type="pct" w:w="6%"/>
            <w:shd w:fill="F5F5F5" w:val="clear"/>
            <w:tcMar>
              <w:top w:type="dxa" w:w="60"/>
              <w:left w:type="dxa" w:w="70"/>
              <w:bottom w:type="dxa" w:w="60"/>
              <w:right w:type="dxa" w:w="70"/>
            </w:tcMar>
            <w:vAlign w:val="center"/>
          </w:tcPr>
          <w:p>
            <w:r>
              <w:rPr>
                <w:b w:val="false"/>
                <w:bCs w:val="false"/>
                <w:sz w:val="14"/>
                <w:szCs w:val="14"/>
              </w:rPr>
              <w:t xml:space="preserve">S12</w:t>
            </w:r>
          </w:p>
        </w:tc>
        <w:tc>
          <w:tcPr>
            <w:tcW w:type="pct" w:w="15%"/>
            <w:shd w:fill="F5F5F5" w:val="clear"/>
            <w:tcMar>
              <w:top w:type="dxa" w:w="60"/>
              <w:left w:type="dxa" w:w="70"/>
              <w:bottom w:type="dxa" w:w="60"/>
              <w:right w:type="dxa" w:w="70"/>
            </w:tcMar>
            <w:vAlign w:val="center"/>
          </w:tcPr>
          <w:p>
            <w:r>
              <w:rPr>
                <w:b w:val="false"/>
                <w:bCs w:val="false"/>
                <w:sz w:val="14"/>
                <w:szCs w:val="14"/>
              </w:rPr>
              <w:t xml:space="preserve">Retour à vide &amp; replanification</w:t>
            </w:r>
          </w:p>
        </w:tc>
        <w:tc>
          <w:tcPr>
            <w:tcW w:type="pct" w:w="24%"/>
            <w:shd w:fill="F5F5F5" w:val="clear"/>
            <w:tcMar>
              <w:top w:type="dxa" w:w="60"/>
              <w:left w:type="dxa" w:w="70"/>
              <w:bottom w:type="dxa" w:w="60"/>
              <w:right w:type="dxa" w:w="70"/>
            </w:tcMar>
            <w:vAlign w:val="center"/>
          </w:tcPr>
          <w:p>
            <w:r>
              <w:rPr>
                <w:b w:val="false"/>
                <w:bCs w:val="false"/>
                <w:sz w:val="14"/>
                <w:szCs w:val="14"/>
              </w:rPr>
              <w:t xml:space="preserve">service-opt (Moteur) : proposition de retour, replanification en figeant l'exécuté</w:t>
            </w:r>
          </w:p>
        </w:tc>
        <w:tc>
          <w:tcPr>
            <w:tcW w:type="pct" w:w="19%"/>
            <w:shd w:fill="F5F5F5" w:val="clear"/>
            <w:tcMar>
              <w:top w:type="dxa" w:w="60"/>
              <w:left w:type="dxa" w:w="70"/>
              <w:bottom w:type="dxa" w:w="60"/>
              <w:right w:type="dxa" w:w="70"/>
            </w:tcMar>
            <w:vAlign w:val="center"/>
          </w:tcPr>
          <w:p>
            <w:r>
              <w:rPr>
                <w:b w:val="false"/>
                <w:bCs w:val="false"/>
                <w:sz w:val="14"/>
                <w:szCs w:val="14"/>
              </w:rPr>
              <w:t xml:space="preserve">Notification de mission retour, acceptation/refus</w:t>
            </w:r>
          </w:p>
        </w:tc>
        <w:tc>
          <w:tcPr>
            <w:tcW w:type="pct" w:w="19%"/>
            <w:shd w:fill="F5F5F5" w:val="clear"/>
            <w:tcMar>
              <w:top w:type="dxa" w:w="60"/>
              <w:left w:type="dxa" w:w="70"/>
              <w:bottom w:type="dxa" w:w="60"/>
              <w:right w:type="dxa" w:w="70"/>
            </w:tcMar>
            <w:vAlign w:val="center"/>
          </w:tcPr>
          <w:p>
            <w:r>
              <w:rPr>
                <w:b w:val="false"/>
                <w:bCs w:val="false"/>
                <w:sz w:val="14"/>
                <w:szCs w:val="14"/>
              </w:rPr>
              <w:t xml:space="preserve">—</w:t>
            </w:r>
          </w:p>
        </w:tc>
        <w:tc>
          <w:tcPr>
            <w:tcW w:type="pct" w:w="17%"/>
            <w:shd w:fill="F5F5F5" w:val="clear"/>
            <w:tcMar>
              <w:top w:type="dxa" w:w="60"/>
              <w:left w:type="dxa" w:w="70"/>
              <w:bottom w:type="dxa" w:w="60"/>
              <w:right w:type="dxa" w:w="70"/>
            </w:tcMar>
            <w:vAlign w:val="center"/>
          </w:tcPr>
          <w:p>
            <w:r>
              <w:rPr>
                <w:b w:val="false"/>
                <w:bCs w:val="false"/>
                <w:sz w:val="14"/>
                <w:szCs w:val="14"/>
              </w:rPr>
              <w:t xml:space="preserve">—</w:t>
            </w:r>
          </w:p>
        </w:tc>
      </w:tr>
      <w:tr>
        <w:tc>
          <w:tcPr>
            <w:tcW w:type="pct" w:w="6%"/>
            <w:tcMar>
              <w:top w:type="dxa" w:w="60"/>
              <w:left w:type="dxa" w:w="70"/>
              <w:bottom w:type="dxa" w:w="60"/>
              <w:right w:type="dxa" w:w="70"/>
            </w:tcMar>
            <w:vAlign w:val="center"/>
          </w:tcPr>
          <w:p>
            <w:r>
              <w:rPr>
                <w:b w:val="false"/>
                <w:bCs w:val="false"/>
                <w:sz w:val="14"/>
                <w:szCs w:val="14"/>
              </w:rPr>
              <w:t xml:space="preserve">S13</w:t>
            </w:r>
          </w:p>
        </w:tc>
        <w:tc>
          <w:tcPr>
            <w:tcW w:type="pct" w:w="15%"/>
            <w:tcMar>
              <w:top w:type="dxa" w:w="60"/>
              <w:left w:type="dxa" w:w="70"/>
              <w:bottom w:type="dxa" w:w="60"/>
              <w:right w:type="dxa" w:w="70"/>
            </w:tcMar>
            <w:vAlign w:val="center"/>
          </w:tcPr>
          <w:p>
            <w:r>
              <w:rPr>
                <w:b w:val="false"/>
                <w:bCs w:val="false"/>
                <w:sz w:val="14"/>
                <w:szCs w:val="14"/>
              </w:rPr>
              <w:t xml:space="preserve">Connecteurs flotte tiers</w:t>
            </w:r>
          </w:p>
        </w:tc>
        <w:tc>
          <w:tcPr>
            <w:tcW w:type="pct" w:w="24%"/>
            <w:tcMar>
              <w:top w:type="dxa" w:w="60"/>
              <w:left w:type="dxa" w:w="70"/>
              <w:bottom w:type="dxa" w:w="60"/>
              <w:right w:type="dxa" w:w="70"/>
            </w:tcMar>
            <w:vAlign w:val="center"/>
          </w:tcPr>
          <w:p>
            <w:r>
              <w:rPr>
                <w:b w:val="false"/>
                <w:bCs w:val="false"/>
                <w:sz w:val="14"/>
                <w:szCs w:val="14"/>
              </w:rPr>
              <w:t xml:space="preserve">service-flt (Mobile) : 3 niveaux d'intégration, modèle canonique, connecteur fichier générique</w:t>
            </w:r>
          </w:p>
        </w:tc>
        <w:tc>
          <w:tcPr>
            <w:tcW w:type="pct" w:w="19%"/>
            <w:tcMar>
              <w:top w:type="dxa" w:w="60"/>
              <w:left w:type="dxa" w:w="70"/>
              <w:bottom w:type="dxa" w:w="60"/>
              <w:right w:type="dxa" w:w="70"/>
            </w:tcMar>
            <w:vAlign w:val="center"/>
          </w:tcPr>
          <w:p>
            <w:r>
              <w:rPr>
                <w:b w:val="false"/>
                <w:bCs w:val="false"/>
                <w:sz w:val="14"/>
                <w:szCs w:val="14"/>
              </w:rPr>
              <w:t xml:space="preserve">—</w:t>
            </w:r>
          </w:p>
        </w:tc>
        <w:tc>
          <w:tcPr>
            <w:tcW w:type="pct" w:w="19%"/>
            <w:tcMar>
              <w:top w:type="dxa" w:w="60"/>
              <w:left w:type="dxa" w:w="70"/>
              <w:bottom w:type="dxa" w:w="60"/>
              <w:right w:type="dxa" w:w="70"/>
            </w:tcMar>
            <w:vAlign w:val="center"/>
          </w:tcPr>
          <w:p>
            <w:r>
              <w:rPr>
                <w:b w:val="false"/>
                <w:bCs w:val="false"/>
                <w:sz w:val="14"/>
                <w:szCs w:val="14"/>
              </w:rPr>
              <w:t xml:space="preserve">—</w:t>
            </w:r>
          </w:p>
        </w:tc>
        <w:tc>
          <w:tcPr>
            <w:tcW w:type="pct" w:w="17%"/>
            <w:tcMar>
              <w:top w:type="dxa" w:w="60"/>
              <w:left w:type="dxa" w:w="70"/>
              <w:bottom w:type="dxa" w:w="60"/>
              <w:right w:type="dxa" w:w="70"/>
            </w:tcMar>
            <w:vAlign w:val="center"/>
          </w:tcPr>
          <w:p>
            <w:r>
              <w:rPr>
                <w:b w:val="false"/>
                <w:bCs w:val="false"/>
                <w:sz w:val="14"/>
                <w:szCs w:val="14"/>
              </w:rPr>
              <w:t xml:space="preserve">Configuration connecteur — rôle Transporteur</w:t>
            </w:r>
          </w:p>
        </w:tc>
      </w:tr>
      <w:tr>
        <w:tc>
          <w:tcPr>
            <w:tcW w:type="pct" w:w="6%"/>
            <w:shd w:fill="F5F5F5" w:val="clear"/>
            <w:tcMar>
              <w:top w:type="dxa" w:w="60"/>
              <w:left w:type="dxa" w:w="70"/>
              <w:bottom w:type="dxa" w:w="60"/>
              <w:right w:type="dxa" w:w="70"/>
            </w:tcMar>
            <w:vAlign w:val="center"/>
          </w:tcPr>
          <w:p>
            <w:r>
              <w:rPr>
                <w:b w:val="false"/>
                <w:bCs w:val="false"/>
                <w:sz w:val="14"/>
                <w:szCs w:val="14"/>
              </w:rPr>
              <w:t xml:space="preserve">S14</w:t>
            </w:r>
          </w:p>
        </w:tc>
        <w:tc>
          <w:tcPr>
            <w:tcW w:type="pct" w:w="15%"/>
            <w:shd w:fill="F5F5F5" w:val="clear"/>
            <w:tcMar>
              <w:top w:type="dxa" w:w="60"/>
              <w:left w:type="dxa" w:w="70"/>
              <w:bottom w:type="dxa" w:w="60"/>
              <w:right w:type="dxa" w:w="70"/>
            </w:tcMar>
            <w:vAlign w:val="center"/>
          </w:tcPr>
          <w:p>
            <w:r>
              <w:rPr>
                <w:b w:val="false"/>
                <w:bCs w:val="false"/>
                <w:sz w:val="14"/>
                <w:szCs w:val="14"/>
              </w:rPr>
              <w:t xml:space="preserve">Paiements Mobile Money étendus</w:t>
            </w:r>
          </w:p>
        </w:tc>
        <w:tc>
          <w:tcPr>
            <w:tcW w:type="pct" w:w="24%"/>
            <w:shd w:fill="F5F5F5" w:val="clear"/>
            <w:tcMar>
              <w:top w:type="dxa" w:w="60"/>
              <w:left w:type="dxa" w:w="70"/>
              <w:bottom w:type="dxa" w:w="60"/>
              <w:right w:type="dxa" w:w="70"/>
            </w:tcMar>
            <w:vAlign w:val="center"/>
          </w:tcPr>
          <w:p>
            <w:r>
              <w:rPr>
                <w:b w:val="false"/>
                <w:bCs w:val="false"/>
                <w:sz w:val="14"/>
                <w:szCs w:val="14"/>
              </w:rPr>
              <w:t xml:space="preserve">service-pay (Web) : MTN MoMo + Orange Money, mode espèces signalé</w:t>
            </w:r>
          </w:p>
        </w:tc>
        <w:tc>
          <w:tcPr>
            <w:tcW w:type="pct" w:w="19%"/>
            <w:shd w:fill="F5F5F5" w:val="clear"/>
            <w:tcMar>
              <w:top w:type="dxa" w:w="60"/>
              <w:left w:type="dxa" w:w="70"/>
              <w:bottom w:type="dxa" w:w="60"/>
              <w:right w:type="dxa" w:w="70"/>
            </w:tcMar>
            <w:vAlign w:val="center"/>
          </w:tcPr>
          <w:p>
            <w:r>
              <w:rPr>
                <w:b w:val="false"/>
                <w:bCs w:val="false"/>
                <w:sz w:val="14"/>
                <w:szCs w:val="14"/>
              </w:rPr>
              <w:t xml:space="preserve">Affichage du mode de règlement reçu</w:t>
            </w:r>
          </w:p>
        </w:tc>
        <w:tc>
          <w:tcPr>
            <w:tcW w:type="pct" w:w="19%"/>
            <w:shd w:fill="F5F5F5" w:val="clear"/>
            <w:tcMar>
              <w:top w:type="dxa" w:w="60"/>
              <w:left w:type="dxa" w:w="70"/>
              <w:bottom w:type="dxa" w:w="60"/>
              <w:right w:type="dxa" w:w="70"/>
            </w:tcMar>
            <w:vAlign w:val="center"/>
          </w:tcPr>
          <w:p>
            <w:r>
              <w:rPr>
                <w:b w:val="false"/>
                <w:bCs w:val="false"/>
                <w:sz w:val="14"/>
                <w:szCs w:val="14"/>
              </w:rPr>
              <w:t xml:space="preserve">Choix du moyen de paiement (MoMo / Orange / espèces)</w:t>
            </w:r>
          </w:p>
        </w:tc>
        <w:tc>
          <w:tcPr>
            <w:tcW w:type="pct" w:w="17%"/>
            <w:shd w:fill="F5F5F5" w:val="clear"/>
            <w:tcMar>
              <w:top w:type="dxa" w:w="60"/>
              <w:left w:type="dxa" w:w="70"/>
              <w:bottom w:type="dxa" w:w="60"/>
              <w:right w:type="dxa" w:w="70"/>
            </w:tcMar>
            <w:vAlign w:val="center"/>
          </w:tcPr>
          <w:p>
            <w:r>
              <w:rPr>
                <w:b w:val="false"/>
                <w:bCs w:val="false"/>
                <w:sz w:val="14"/>
                <w:szCs w:val="14"/>
              </w:rPr>
              <w:t xml:space="preserve">Rapport financier étendu</w:t>
            </w:r>
          </w:p>
        </w:tc>
      </w:tr>
      <w:tr>
        <w:tc>
          <w:tcPr>
            <w:tcW w:type="pct" w:w="6%"/>
            <w:tcMar>
              <w:top w:type="dxa" w:w="60"/>
              <w:left w:type="dxa" w:w="70"/>
              <w:bottom w:type="dxa" w:w="60"/>
              <w:right w:type="dxa" w:w="70"/>
            </w:tcMar>
            <w:vAlign w:val="center"/>
          </w:tcPr>
          <w:p>
            <w:r>
              <w:rPr>
                <w:b w:val="false"/>
                <w:bCs w:val="false"/>
                <w:sz w:val="14"/>
                <w:szCs w:val="14"/>
              </w:rPr>
              <w:t xml:space="preserve">S15</w:t>
            </w:r>
          </w:p>
        </w:tc>
        <w:tc>
          <w:tcPr>
            <w:tcW w:type="pct" w:w="15%"/>
            <w:tcMar>
              <w:top w:type="dxa" w:w="60"/>
              <w:left w:type="dxa" w:w="70"/>
              <w:bottom w:type="dxa" w:w="60"/>
              <w:right w:type="dxa" w:w="70"/>
            </w:tcMar>
            <w:vAlign w:val="center"/>
          </w:tcPr>
          <w:p>
            <w:r>
              <w:rPr>
                <w:b w:val="false"/>
                <w:bCs w:val="false"/>
                <w:sz w:val="14"/>
                <w:szCs w:val="14"/>
              </w:rPr>
              <w:t xml:space="preserve">Second axe &amp; sécurité</w:t>
            </w:r>
          </w:p>
        </w:tc>
        <w:tc>
          <w:tcPr>
            <w:tcW w:type="pct" w:w="24%"/>
            <w:tcMar>
              <w:top w:type="dxa" w:w="60"/>
              <w:left w:type="dxa" w:w="70"/>
              <w:bottom w:type="dxa" w:w="60"/>
              <w:right w:type="dxa" w:w="70"/>
            </w:tcMar>
            <w:vAlign w:val="center"/>
          </w:tcPr>
          <w:p>
            <w:r>
              <w:rPr>
                <w:b w:val="false"/>
                <w:bCs w:val="false"/>
                <w:sz w:val="14"/>
                <w:szCs w:val="14"/>
              </w:rPr>
              <w:t xml:space="preserve">service-geo (Moteur) : second axe, surcouche sécuritaire dédiée</w:t>
            </w:r>
          </w:p>
        </w:tc>
        <w:tc>
          <w:tcPr>
            <w:tcW w:type="pct" w:w="19%"/>
            <w:tcMar>
              <w:top w:type="dxa" w:w="60"/>
              <w:left w:type="dxa" w:w="70"/>
              <w:bottom w:type="dxa" w:w="60"/>
              <w:right w:type="dxa" w:w="70"/>
            </w:tcMar>
            <w:vAlign w:val="center"/>
          </w:tcPr>
          <w:p>
            <w:r>
              <w:rPr>
                <w:b w:val="false"/>
                <w:bCs w:val="false"/>
                <w:sz w:val="14"/>
                <w:szCs w:val="14"/>
              </w:rPr>
              <w:t xml:space="preserve">Sélecteur d'axe</w:t>
            </w:r>
          </w:p>
        </w:tc>
        <w:tc>
          <w:tcPr>
            <w:tcW w:type="pct" w:w="19%"/>
            <w:tcMar>
              <w:top w:type="dxa" w:w="60"/>
              <w:left w:type="dxa" w:w="70"/>
              <w:bottom w:type="dxa" w:w="60"/>
              <w:right w:type="dxa" w:w="70"/>
            </w:tcMar>
            <w:vAlign w:val="center"/>
          </w:tcPr>
          <w:p>
            <w:r>
              <w:rPr>
                <w:b w:val="false"/>
                <w:bCs w:val="false"/>
                <w:sz w:val="14"/>
                <w:szCs w:val="14"/>
              </w:rPr>
              <w:t xml:space="preserve">Sélecteur d'axe (destination sur le nouvel axe)</w:t>
            </w:r>
          </w:p>
        </w:tc>
        <w:tc>
          <w:tcPr>
            <w:tcW w:type="pct" w:w="17%"/>
            <w:tcMar>
              <w:top w:type="dxa" w:w="60"/>
              <w:left w:type="dxa" w:w="70"/>
              <w:bottom w:type="dxa" w:w="60"/>
              <w:right w:type="dxa" w:w="70"/>
            </w:tcMar>
            <w:vAlign w:val="center"/>
          </w:tcPr>
          <w:p>
            <w:r>
              <w:rPr>
                <w:b w:val="false"/>
                <w:bCs w:val="false"/>
                <w:sz w:val="14"/>
                <w:szCs w:val="14"/>
              </w:rPr>
              <w:t xml:space="preserve">Carte multi-axes — rôle Bureau</w:t>
            </w:r>
          </w:p>
        </w:tc>
      </w:tr>
    </w:tbl>
    <w:p>
      <w:pPr>
        <w:pStyle w:val="Heading2"/>
        <w:spacing w:after="140" w:before="260"/>
      </w:pPr>
      <w:r>
        <w:rPr>
          <w:b/>
          <w:bCs/>
          <w:color w:val="8A0F13"/>
          <w:sz w:val="24"/>
          <w:szCs w:val="24"/>
        </w:rPr>
        <w:t xml:space="preserve">Phase 3 - Densification et observatoire (Sprints 16 a 20, ~4-6 mois)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540"/>
        <w:gridCol w:w="1350"/>
        <w:gridCol w:w="2160"/>
        <w:gridCol w:w="1710"/>
        <w:gridCol w:w="1710"/>
        <w:gridCol w:w="1530"/>
      </w:tblGrid>
      <w:tr>
        <w:trPr>
          <w:tblHeader/>
        </w:trPr>
        <w:tc>
          <w:tcPr>
            <w:tcW w:type="pct" w:w="6%"/>
            <w:shd w:fill="2B2B2B" w:val="clear"/>
            <w:tcMar>
              <w:top w:type="dxa" w:w="60"/>
              <w:left w:type="dxa" w:w="70"/>
              <w:bottom w:type="dxa" w:w="60"/>
              <w:right w:type="dxa" w:w="70"/>
            </w:tcMar>
            <w:vAlign w:val="center"/>
          </w:tcPr>
          <w:p>
            <w:r>
              <w:rPr>
                <w:b/>
                <w:bCs/>
                <w:color w:val="FFFFFF"/>
                <w:sz w:val="14"/>
                <w:szCs w:val="14"/>
              </w:rPr>
              <w:t xml:space="preserve">Sprint</w:t>
            </w:r>
          </w:p>
        </w:tc>
        <w:tc>
          <w:tcPr>
            <w:tcW w:type="pct" w:w="15%"/>
            <w:shd w:fill="2B2B2B" w:val="clear"/>
            <w:tcMar>
              <w:top w:type="dxa" w:w="60"/>
              <w:left w:type="dxa" w:w="70"/>
              <w:bottom w:type="dxa" w:w="60"/>
              <w:right w:type="dxa" w:w="70"/>
            </w:tcMar>
            <w:vAlign w:val="center"/>
          </w:tcPr>
          <w:p>
            <w:r>
              <w:rPr>
                <w:b/>
                <w:bCs/>
                <w:color w:val="FFFFFF"/>
                <w:sz w:val="14"/>
                <w:szCs w:val="14"/>
              </w:rPr>
              <w:t xml:space="preserve">Fonctionnalité</w:t>
            </w:r>
          </w:p>
        </w:tc>
        <w:tc>
          <w:tcPr>
            <w:tcW w:type="pct" w:w="24%"/>
            <w:shd w:fill="2B2B2B" w:val="clear"/>
            <w:tcMar>
              <w:top w:type="dxa" w:w="60"/>
              <w:left w:type="dxa" w:w="70"/>
              <w:bottom w:type="dxa" w:w="60"/>
              <w:right w:type="dxa" w:w="70"/>
            </w:tcMar>
            <w:vAlign w:val="center"/>
          </w:tcPr>
          <w:p>
            <w:r>
              <w:rPr>
                <w:b/>
                <w:bCs/>
                <w:color w:val="FFFFFF"/>
                <w:sz w:val="14"/>
                <w:szCs w:val="14"/>
              </w:rPr>
              <w:t xml:space="preserve">Backend</w:t>
            </w:r>
          </w:p>
        </w:tc>
        <w:tc>
          <w:tcPr>
            <w:tcW w:type="pct" w:w="19%"/>
            <w:shd w:fill="2B2B2B" w:val="clear"/>
            <w:tcMar>
              <w:top w:type="dxa" w:w="60"/>
              <w:left w:type="dxa" w:w="70"/>
              <w:bottom w:type="dxa" w:w="60"/>
              <w:right w:type="dxa" w:w="70"/>
            </w:tcMar>
            <w:vAlign w:val="center"/>
          </w:tcPr>
          <w:p>
            <w:r>
              <w:rPr>
                <w:b/>
                <w:bCs/>
                <w:color w:val="FFFFFF"/>
                <w:sz w:val="14"/>
                <w:szCs w:val="14"/>
              </w:rPr>
              <w:t xml:space="preserve">App Chauffeur/Transporteur</w:t>
            </w:r>
          </w:p>
        </w:tc>
        <w:tc>
          <w:tcPr>
            <w:tcW w:type="pct" w:w="19%"/>
            <w:shd w:fill="2B2B2B" w:val="clear"/>
            <w:tcMar>
              <w:top w:type="dxa" w:w="60"/>
              <w:left w:type="dxa" w:w="70"/>
              <w:bottom w:type="dxa" w:w="60"/>
              <w:right w:type="dxa" w:w="70"/>
            </w:tcMar>
            <w:vAlign w:val="center"/>
          </w:tcPr>
          <w:p>
            <w:r>
              <w:rPr>
                <w:b/>
                <w:bCs/>
                <w:color w:val="FFFFFF"/>
                <w:sz w:val="14"/>
                <w:szCs w:val="14"/>
              </w:rPr>
              <w:t xml:space="preserve">App Client</w:t>
            </w:r>
          </w:p>
        </w:tc>
        <w:tc>
          <w:tcPr>
            <w:tcW w:type="pct" w:w="17%"/>
            <w:shd w:fill="2B2B2B" w:val="clear"/>
            <w:tcMar>
              <w:top w:type="dxa" w:w="60"/>
              <w:left w:type="dxa" w:w="70"/>
              <w:bottom w:type="dxa" w:w="60"/>
              <w:right w:type="dxa" w:w="70"/>
            </w:tcMar>
            <w:vAlign w:val="center"/>
          </w:tcPr>
          <w:p>
            <w:r>
              <w:rPr>
                <w:b/>
                <w:bCs/>
                <w:color w:val="FFFFFF"/>
                <w:sz w:val="14"/>
                <w:szCs w:val="14"/>
              </w:rPr>
              <w:t xml:space="preserve">Web</w:t>
            </w:r>
          </w:p>
        </w:tc>
      </w:tr>
      <w:tr>
        <w:tc>
          <w:tcPr>
            <w:tcW w:type="pct" w:w="6%"/>
            <w:tcMar>
              <w:top w:type="dxa" w:w="60"/>
              <w:left w:type="dxa" w:w="70"/>
              <w:bottom w:type="dxa" w:w="60"/>
              <w:right w:type="dxa" w:w="70"/>
            </w:tcMar>
            <w:vAlign w:val="center"/>
          </w:tcPr>
          <w:p>
            <w:r>
              <w:rPr>
                <w:b w:val="false"/>
                <w:bCs w:val="false"/>
                <w:sz w:val="14"/>
                <w:szCs w:val="14"/>
              </w:rPr>
              <w:t xml:space="preserve">S16</w:t>
            </w:r>
          </w:p>
        </w:tc>
        <w:tc>
          <w:tcPr>
            <w:tcW w:type="pct" w:w="15%"/>
            <w:tcMar>
              <w:top w:type="dxa" w:w="60"/>
              <w:left w:type="dxa" w:w="70"/>
              <w:bottom w:type="dxa" w:w="60"/>
              <w:right w:type="dxa" w:w="70"/>
            </w:tcMar>
            <w:vAlign w:val="center"/>
          </w:tcPr>
          <w:p>
            <w:r>
              <w:rPr>
                <w:b w:val="false"/>
                <w:bCs w:val="false"/>
                <w:sz w:val="14"/>
                <w:szCs w:val="14"/>
              </w:rPr>
              <w:t xml:space="preserve">Oracle de chargement 3D (moteur V2)</w:t>
            </w:r>
          </w:p>
        </w:tc>
        <w:tc>
          <w:tcPr>
            <w:tcW w:type="pct" w:w="24%"/>
            <w:tcMar>
              <w:top w:type="dxa" w:w="60"/>
              <w:left w:type="dxa" w:w="70"/>
              <w:bottom w:type="dxa" w:w="60"/>
              <w:right w:type="dxa" w:w="70"/>
            </w:tcMar>
            <w:vAlign w:val="center"/>
          </w:tcPr>
          <w:p>
            <w:r>
              <w:rPr>
                <w:b w:val="false"/>
                <w:bCs w:val="false"/>
                <w:sz w:val="14"/>
                <w:szCs w:val="14"/>
              </w:rPr>
              <w:t xml:space="preserve">service-opt (Moteur) : positions colis, orientations, charges par essieu à chaque étape</w:t>
            </w:r>
          </w:p>
        </w:tc>
        <w:tc>
          <w:tcPr>
            <w:tcW w:type="pct" w:w="19%"/>
            <w:tcMar>
              <w:top w:type="dxa" w:w="60"/>
              <w:left w:type="dxa" w:w="70"/>
              <w:bottom w:type="dxa" w:w="60"/>
              <w:right w:type="dxa" w:w="70"/>
            </w:tcMar>
            <w:vAlign w:val="center"/>
          </w:tcPr>
          <w:p>
            <w:r>
              <w:rPr>
                <w:b w:val="false"/>
                <w:bCs w:val="false"/>
                <w:sz w:val="14"/>
                <w:szCs w:val="14"/>
              </w:rPr>
              <w:t xml:space="preserve">Restitution du plan de chargement (écran dédié)</w:t>
            </w:r>
          </w:p>
        </w:tc>
        <w:tc>
          <w:tcPr>
            <w:tcW w:type="pct" w:w="19%"/>
            <w:tcMar>
              <w:top w:type="dxa" w:w="60"/>
              <w:left w:type="dxa" w:w="70"/>
              <w:bottom w:type="dxa" w:w="60"/>
              <w:right w:type="dxa" w:w="70"/>
            </w:tcMar>
            <w:vAlign w:val="center"/>
          </w:tcPr>
          <w:p>
            <w:r>
              <w:rPr>
                <w:b w:val="false"/>
                <w:bCs w:val="false"/>
                <w:sz w:val="14"/>
                <w:szCs w:val="14"/>
              </w:rPr>
              <w:t xml:space="preserve">—</w:t>
            </w:r>
          </w:p>
        </w:tc>
        <w:tc>
          <w:tcPr>
            <w:tcW w:type="pct" w:w="17%"/>
            <w:tcMar>
              <w:top w:type="dxa" w:w="60"/>
              <w:left w:type="dxa" w:w="70"/>
              <w:bottom w:type="dxa" w:w="60"/>
              <w:right w:type="dxa" w:w="70"/>
            </w:tcMar>
            <w:vAlign w:val="center"/>
          </w:tcPr>
          <w:p>
            <w:r>
              <w:rPr>
                <w:b w:val="false"/>
                <w:bCs w:val="false"/>
                <w:sz w:val="14"/>
                <w:szCs w:val="14"/>
              </w:rPr>
              <w:t xml:space="preserve">—</w:t>
            </w:r>
          </w:p>
        </w:tc>
      </w:tr>
      <w:tr>
        <w:tc>
          <w:tcPr>
            <w:tcW w:type="pct" w:w="6%"/>
            <w:shd w:fill="F5F5F5" w:val="clear"/>
            <w:tcMar>
              <w:top w:type="dxa" w:w="60"/>
              <w:left w:type="dxa" w:w="70"/>
              <w:bottom w:type="dxa" w:w="60"/>
              <w:right w:type="dxa" w:w="70"/>
            </w:tcMar>
            <w:vAlign w:val="center"/>
          </w:tcPr>
          <w:p>
            <w:r>
              <w:rPr>
                <w:b w:val="false"/>
                <w:bCs w:val="false"/>
                <w:sz w:val="14"/>
                <w:szCs w:val="14"/>
              </w:rPr>
              <w:t xml:space="preserve">S17</w:t>
            </w:r>
          </w:p>
        </w:tc>
        <w:tc>
          <w:tcPr>
            <w:tcW w:type="pct" w:w="15%"/>
            <w:shd w:fill="F5F5F5" w:val="clear"/>
            <w:tcMar>
              <w:top w:type="dxa" w:w="60"/>
              <w:left w:type="dxa" w:w="70"/>
              <w:bottom w:type="dxa" w:w="60"/>
              <w:right w:type="dxa" w:w="70"/>
            </w:tcMar>
            <w:vAlign w:val="center"/>
          </w:tcPr>
          <w:p>
            <w:r>
              <w:rPr>
                <w:b w:val="false"/>
                <w:bCs w:val="false"/>
                <w:sz w:val="14"/>
                <w:szCs w:val="14"/>
              </w:rPr>
              <w:t xml:space="preserve">Observatoire de marché</w:t>
            </w:r>
          </w:p>
        </w:tc>
        <w:tc>
          <w:tcPr>
            <w:tcW w:type="pct" w:w="24%"/>
            <w:shd w:fill="F5F5F5" w:val="clear"/>
            <w:tcMar>
              <w:top w:type="dxa" w:w="60"/>
              <w:left w:type="dxa" w:w="70"/>
              <w:bottom w:type="dxa" w:w="60"/>
              <w:right w:type="dxa" w:w="70"/>
            </w:tcMar>
            <w:vAlign w:val="center"/>
          </w:tcPr>
          <w:p>
            <w:r>
              <w:rPr>
                <w:b w:val="false"/>
                <w:bCs w:val="false"/>
                <w:sz w:val="14"/>
                <w:szCs w:val="14"/>
              </w:rPr>
              <w:t xml:space="preserve">service-bur (Web) : agrégats par axe, seuil d'agrégation, couverture d'échantillon</w:t>
            </w:r>
          </w:p>
        </w:tc>
        <w:tc>
          <w:tcPr>
            <w:tcW w:type="pct" w:w="19%"/>
            <w:shd w:fill="F5F5F5" w:val="clear"/>
            <w:tcMar>
              <w:top w:type="dxa" w:w="60"/>
              <w:left w:type="dxa" w:w="70"/>
              <w:bottom w:type="dxa" w:w="60"/>
              <w:right w:type="dxa" w:w="70"/>
            </w:tcMar>
            <w:vAlign w:val="center"/>
          </w:tcPr>
          <w:p>
            <w:r>
              <w:rPr>
                <w:b w:val="false"/>
                <w:bCs w:val="false"/>
                <w:sz w:val="14"/>
                <w:szCs w:val="14"/>
              </w:rPr>
              <w:t xml:space="preserve">—</w:t>
            </w:r>
          </w:p>
        </w:tc>
        <w:tc>
          <w:tcPr>
            <w:tcW w:type="pct" w:w="19%"/>
            <w:shd w:fill="F5F5F5" w:val="clear"/>
            <w:tcMar>
              <w:top w:type="dxa" w:w="60"/>
              <w:left w:type="dxa" w:w="70"/>
              <w:bottom w:type="dxa" w:w="60"/>
              <w:right w:type="dxa" w:w="70"/>
            </w:tcMar>
            <w:vAlign w:val="center"/>
          </w:tcPr>
          <w:p>
            <w:r>
              <w:rPr>
                <w:b w:val="false"/>
                <w:bCs w:val="false"/>
                <w:sz w:val="14"/>
                <w:szCs w:val="14"/>
              </w:rPr>
              <w:t xml:space="preserve">—</w:t>
            </w:r>
          </w:p>
        </w:tc>
        <w:tc>
          <w:tcPr>
            <w:tcW w:type="pct" w:w="17%"/>
            <w:shd w:fill="F5F5F5" w:val="clear"/>
            <w:tcMar>
              <w:top w:type="dxa" w:w="60"/>
              <w:left w:type="dxa" w:w="70"/>
              <w:bottom w:type="dxa" w:w="60"/>
              <w:right w:type="dxa" w:w="70"/>
            </w:tcMar>
            <w:vAlign w:val="center"/>
          </w:tcPr>
          <w:p>
            <w:r>
              <w:rPr>
                <w:b w:val="false"/>
                <w:bCs w:val="false"/>
                <w:sz w:val="14"/>
                <w:szCs w:val="14"/>
              </w:rPr>
              <w:t xml:space="preserve">Observatoire complet — rôle Bureau</w:t>
            </w:r>
          </w:p>
        </w:tc>
      </w:tr>
      <w:tr>
        <w:tc>
          <w:tcPr>
            <w:tcW w:type="pct" w:w="6%"/>
            <w:tcMar>
              <w:top w:type="dxa" w:w="60"/>
              <w:left w:type="dxa" w:w="70"/>
              <w:bottom w:type="dxa" w:w="60"/>
              <w:right w:type="dxa" w:w="70"/>
            </w:tcMar>
            <w:vAlign w:val="center"/>
          </w:tcPr>
          <w:p>
            <w:r>
              <w:rPr>
                <w:b w:val="false"/>
                <w:bCs w:val="false"/>
                <w:sz w:val="14"/>
                <w:szCs w:val="14"/>
              </w:rPr>
              <w:t xml:space="preserve">S18</w:t>
            </w:r>
          </w:p>
        </w:tc>
        <w:tc>
          <w:tcPr>
            <w:tcW w:type="pct" w:w="15%"/>
            <w:tcMar>
              <w:top w:type="dxa" w:w="60"/>
              <w:left w:type="dxa" w:w="70"/>
              <w:bottom w:type="dxa" w:w="60"/>
              <w:right w:type="dxa" w:w="70"/>
            </w:tcMar>
            <w:vAlign w:val="center"/>
          </w:tcPr>
          <w:p>
            <w:r>
              <w:rPr>
                <w:b w:val="false"/>
                <w:bCs w:val="false"/>
                <w:sz w:val="14"/>
                <w:szCs w:val="14"/>
              </w:rPr>
              <w:t xml:space="preserve">Second tenant institutionnel</w:t>
            </w:r>
          </w:p>
        </w:tc>
        <w:tc>
          <w:tcPr>
            <w:tcW w:type="pct" w:w="24%"/>
            <w:tcMar>
              <w:top w:type="dxa" w:w="60"/>
              <w:left w:type="dxa" w:w="70"/>
              <w:bottom w:type="dxa" w:w="60"/>
              <w:right w:type="dxa" w:w="70"/>
            </w:tcMar>
            <w:vAlign w:val="center"/>
          </w:tcPr>
          <w:p>
            <w:r>
              <w:rPr>
                <w:b w:val="false"/>
                <w:bCs w:val="false"/>
                <w:sz w:val="14"/>
                <w:szCs w:val="14"/>
              </w:rPr>
              <w:t xml:space="preserve">service-ida + gateway : isolation renforcée, marque blanche</w:t>
            </w:r>
          </w:p>
        </w:tc>
        <w:tc>
          <w:tcPr>
            <w:tcW w:type="pct" w:w="19%"/>
            <w:tcMar>
              <w:top w:type="dxa" w:w="60"/>
              <w:left w:type="dxa" w:w="70"/>
              <w:bottom w:type="dxa" w:w="60"/>
              <w:right w:type="dxa" w:w="70"/>
            </w:tcMar>
            <w:vAlign w:val="center"/>
          </w:tcPr>
          <w:p>
            <w:r>
              <w:rPr>
                <w:b w:val="false"/>
                <w:bCs w:val="false"/>
                <w:sz w:val="14"/>
                <w:szCs w:val="14"/>
              </w:rPr>
              <w:t xml:space="preserve">Sélection de tenant au login (si multi-bureau)</w:t>
            </w:r>
          </w:p>
        </w:tc>
        <w:tc>
          <w:tcPr>
            <w:tcW w:type="pct" w:w="19%"/>
            <w:tcMar>
              <w:top w:type="dxa" w:w="60"/>
              <w:left w:type="dxa" w:w="70"/>
              <w:bottom w:type="dxa" w:w="60"/>
              <w:right w:type="dxa" w:w="70"/>
            </w:tcMar>
            <w:vAlign w:val="center"/>
          </w:tcPr>
          <w:p>
            <w:r>
              <w:rPr>
                <w:b w:val="false"/>
                <w:bCs w:val="false"/>
                <w:sz w:val="14"/>
                <w:szCs w:val="14"/>
              </w:rPr>
              <w:t xml:space="preserve">—</w:t>
            </w:r>
          </w:p>
        </w:tc>
        <w:tc>
          <w:tcPr>
            <w:tcW w:type="pct" w:w="17%"/>
            <w:tcMar>
              <w:top w:type="dxa" w:w="60"/>
              <w:left w:type="dxa" w:w="70"/>
              <w:bottom w:type="dxa" w:w="60"/>
              <w:right w:type="dxa" w:w="70"/>
            </w:tcMar>
            <w:vAlign w:val="center"/>
          </w:tcPr>
          <w:p>
            <w:r>
              <w:rPr>
                <w:b w:val="false"/>
                <w:bCs w:val="false"/>
                <w:sz w:val="14"/>
                <w:szCs w:val="14"/>
              </w:rPr>
              <w:t xml:space="preserve">Portail second bureau, distinct — rôle Bureau</w:t>
            </w:r>
          </w:p>
        </w:tc>
      </w:tr>
      <w:tr>
        <w:tc>
          <w:tcPr>
            <w:tcW w:type="pct" w:w="6%"/>
            <w:shd w:fill="F5F5F5" w:val="clear"/>
            <w:tcMar>
              <w:top w:type="dxa" w:w="60"/>
              <w:left w:type="dxa" w:w="70"/>
              <w:bottom w:type="dxa" w:w="60"/>
              <w:right w:type="dxa" w:w="70"/>
            </w:tcMar>
            <w:vAlign w:val="center"/>
          </w:tcPr>
          <w:p>
            <w:r>
              <w:rPr>
                <w:b w:val="false"/>
                <w:bCs w:val="false"/>
                <w:sz w:val="14"/>
                <w:szCs w:val="14"/>
              </w:rPr>
              <w:t xml:space="preserve">S19</w:t>
            </w:r>
          </w:p>
        </w:tc>
        <w:tc>
          <w:tcPr>
            <w:tcW w:type="pct" w:w="15%"/>
            <w:shd w:fill="F5F5F5" w:val="clear"/>
            <w:tcMar>
              <w:top w:type="dxa" w:w="60"/>
              <w:left w:type="dxa" w:w="70"/>
              <w:bottom w:type="dxa" w:w="60"/>
              <w:right w:type="dxa" w:w="70"/>
            </w:tcMar>
            <w:vAlign w:val="center"/>
          </w:tcPr>
          <w:p>
            <w:r>
              <w:rPr>
                <w:b w:val="false"/>
                <w:bCs w:val="false"/>
                <w:sz w:val="14"/>
                <w:szCs w:val="14"/>
              </w:rPr>
              <w:t xml:space="preserve">Back-office avancé (litiges)</w:t>
            </w:r>
          </w:p>
        </w:tc>
        <w:tc>
          <w:tcPr>
            <w:tcW w:type="pct" w:w="24%"/>
            <w:shd w:fill="F5F5F5" w:val="clear"/>
            <w:tcMar>
              <w:top w:type="dxa" w:w="60"/>
              <w:left w:type="dxa" w:w="70"/>
              <w:bottom w:type="dxa" w:w="60"/>
              <w:right w:type="dxa" w:w="70"/>
            </w:tcMar>
            <w:vAlign w:val="center"/>
          </w:tcPr>
          <w:p>
            <w:r>
              <w:rPr>
                <w:b w:val="false"/>
                <w:bCs w:val="false"/>
                <w:sz w:val="14"/>
                <w:szCs w:val="14"/>
              </w:rPr>
              <w:t xml:space="preserve">service-adm (Web) : grille de décision versionnée, recours par opérateur différent, escalade automatique</w:t>
            </w:r>
          </w:p>
        </w:tc>
        <w:tc>
          <w:tcPr>
            <w:tcW w:type="pct" w:w="19%"/>
            <w:shd w:fill="F5F5F5" w:val="clear"/>
            <w:tcMar>
              <w:top w:type="dxa" w:w="60"/>
              <w:left w:type="dxa" w:w="70"/>
              <w:bottom w:type="dxa" w:w="60"/>
              <w:right w:type="dxa" w:w="70"/>
            </w:tcMar>
            <w:vAlign w:val="center"/>
          </w:tcPr>
          <w:p>
            <w:r>
              <w:rPr>
                <w:b w:val="false"/>
                <w:bCs w:val="false"/>
                <w:sz w:val="14"/>
                <w:szCs w:val="14"/>
              </w:rPr>
              <w:t xml:space="preserve">Déclaration d'incident enrichie</w:t>
            </w:r>
          </w:p>
        </w:tc>
        <w:tc>
          <w:tcPr>
            <w:tcW w:type="pct" w:w="19%"/>
            <w:shd w:fill="F5F5F5" w:val="clear"/>
            <w:tcMar>
              <w:top w:type="dxa" w:w="60"/>
              <w:left w:type="dxa" w:w="70"/>
              <w:bottom w:type="dxa" w:w="60"/>
              <w:right w:type="dxa" w:w="70"/>
            </w:tcMar>
            <w:vAlign w:val="center"/>
          </w:tcPr>
          <w:p>
            <w:r>
              <w:rPr>
                <w:b w:val="false"/>
                <w:bCs w:val="false"/>
                <w:sz w:val="14"/>
                <w:szCs w:val="14"/>
              </w:rPr>
              <w:t xml:space="preserve">Signalement de litige</w:t>
            </w:r>
          </w:p>
        </w:tc>
        <w:tc>
          <w:tcPr>
            <w:tcW w:type="pct" w:w="17%"/>
            <w:shd w:fill="F5F5F5" w:val="clear"/>
            <w:tcMar>
              <w:top w:type="dxa" w:w="60"/>
              <w:left w:type="dxa" w:w="70"/>
              <w:bottom w:type="dxa" w:w="60"/>
              <w:right w:type="dxa" w:w="70"/>
            </w:tcMar>
            <w:vAlign w:val="center"/>
          </w:tcPr>
          <w:p>
            <w:r>
              <w:rPr>
                <w:b w:val="false"/>
                <w:bCs w:val="false"/>
                <w:sz w:val="14"/>
                <w:szCs w:val="14"/>
              </w:rPr>
              <w:t xml:space="preserve">File de travail litiges — rôle Admin</w:t>
            </w:r>
          </w:p>
        </w:tc>
      </w:tr>
      <w:tr>
        <w:tc>
          <w:tcPr>
            <w:tcW w:type="pct" w:w="6%"/>
            <w:tcMar>
              <w:top w:type="dxa" w:w="60"/>
              <w:left w:type="dxa" w:w="70"/>
              <w:bottom w:type="dxa" w:w="60"/>
              <w:right w:type="dxa" w:w="70"/>
            </w:tcMar>
            <w:vAlign w:val="center"/>
          </w:tcPr>
          <w:p>
            <w:r>
              <w:rPr>
                <w:b w:val="false"/>
                <w:bCs w:val="false"/>
                <w:sz w:val="14"/>
                <w:szCs w:val="14"/>
              </w:rPr>
              <w:t xml:space="preserve">S20</w:t>
            </w:r>
          </w:p>
        </w:tc>
        <w:tc>
          <w:tcPr>
            <w:tcW w:type="pct" w:w="15%"/>
            <w:tcMar>
              <w:top w:type="dxa" w:w="60"/>
              <w:left w:type="dxa" w:w="70"/>
              <w:bottom w:type="dxa" w:w="60"/>
              <w:right w:type="dxa" w:w="70"/>
            </w:tcMar>
            <w:vAlign w:val="center"/>
          </w:tcPr>
          <w:p>
            <w:r>
              <w:rPr>
                <w:b w:val="false"/>
                <w:bCs w:val="false"/>
                <w:sz w:val="14"/>
                <w:szCs w:val="14"/>
              </w:rPr>
              <w:t xml:space="preserve">Conformité &amp; exports</w:t>
            </w:r>
          </w:p>
        </w:tc>
        <w:tc>
          <w:tcPr>
            <w:tcW w:type="pct" w:w="24%"/>
            <w:tcMar>
              <w:top w:type="dxa" w:w="60"/>
              <w:left w:type="dxa" w:w="70"/>
              <w:bottom w:type="dxa" w:w="60"/>
              <w:right w:type="dxa" w:w="70"/>
            </w:tcMar>
            <w:vAlign w:val="center"/>
          </w:tcPr>
          <w:p>
            <w:r>
              <w:rPr>
                <w:b w:val="false"/>
                <w:bCs w:val="false"/>
                <w:sz w:val="14"/>
                <w:szCs w:val="14"/>
              </w:rPr>
              <w:t xml:space="preserve">service-adm + service-bur (Web) : exports PDF/Excel, rapprochement réglementaire</w:t>
            </w:r>
          </w:p>
        </w:tc>
        <w:tc>
          <w:tcPr>
            <w:tcW w:type="pct" w:w="19%"/>
            <w:tcMar>
              <w:top w:type="dxa" w:w="60"/>
              <w:left w:type="dxa" w:w="70"/>
              <w:bottom w:type="dxa" w:w="60"/>
              <w:right w:type="dxa" w:w="70"/>
            </w:tcMar>
            <w:vAlign w:val="center"/>
          </w:tcPr>
          <w:p>
            <w:r>
              <w:rPr>
                <w:b w:val="false"/>
                <w:bCs w:val="false"/>
                <w:sz w:val="14"/>
                <w:szCs w:val="14"/>
              </w:rPr>
              <w:t xml:space="preserve">—</w:t>
            </w:r>
          </w:p>
        </w:tc>
        <w:tc>
          <w:tcPr>
            <w:tcW w:type="pct" w:w="19%"/>
            <w:tcMar>
              <w:top w:type="dxa" w:w="60"/>
              <w:left w:type="dxa" w:w="70"/>
              <w:bottom w:type="dxa" w:w="60"/>
              <w:right w:type="dxa" w:w="70"/>
            </w:tcMar>
            <w:vAlign w:val="center"/>
          </w:tcPr>
          <w:p>
            <w:r>
              <w:rPr>
                <w:b w:val="false"/>
                <w:bCs w:val="false"/>
                <w:sz w:val="14"/>
                <w:szCs w:val="14"/>
              </w:rPr>
              <w:t xml:space="preserve">—</w:t>
            </w:r>
          </w:p>
        </w:tc>
        <w:tc>
          <w:tcPr>
            <w:tcW w:type="pct" w:w="17%"/>
            <w:tcMar>
              <w:top w:type="dxa" w:w="60"/>
              <w:left w:type="dxa" w:w="70"/>
              <w:bottom w:type="dxa" w:w="60"/>
              <w:right w:type="dxa" w:w="70"/>
            </w:tcMar>
            <w:vAlign w:val="center"/>
          </w:tcPr>
          <w:p>
            <w:r>
              <w:rPr>
                <w:b w:val="false"/>
                <w:bCs w:val="false"/>
                <w:sz w:val="14"/>
                <w:szCs w:val="14"/>
              </w:rPr>
              <w:t xml:space="preserve">Exports de conformité — rôle Bureau</w:t>
            </w:r>
          </w:p>
        </w:tc>
      </w:tr>
    </w:tbl>
    <w:p>
      <w:pPr>
        <w:pStyle w:val="Heading2"/>
        <w:spacing w:after="140" w:before="260"/>
      </w:pPr>
      <w:r>
        <w:rPr>
          <w:b/>
          <w:bCs/>
          <w:color w:val="8A0F13"/>
          <w:sz w:val="24"/>
          <w:szCs w:val="24"/>
        </w:rPr>
        <w:t xml:space="preserve">Phase 4 - Anticipation et regionalisation (a definir par jalons)</w:t>
      </w:r>
    </w:p>
    <w:p>
      <w:pPr>
        <w:spacing w:after="160"/>
      </w:pPr>
      <w:r>
        <w:rPr>
          <w:sz w:val="20"/>
          <w:szCs w:val="20"/>
        </w:rPr>
        <w:t xml:space="preserve">Moteur V3 (apprentissage sur traces propres, prevision de demande), premiers axes transfrontaliers avec conventions bilaterales. Duree non calibree dans le CDC - traitee par jalons de faisabilite plutot que par sprint fixe.</w:t>
      </w:r>
    </w:p>
    <w:p>
      <w:r>
        <w:br w:type="page"/>
      </w:r>
    </w:p>
    <w:p>
      <w:pPr>
        <w:pStyle w:val="Heading1"/>
        <w:spacing w:after="180" w:before="360"/>
      </w:pPr>
      <w:r>
        <w:rPr>
          <w:b/>
          <w:bCs/>
          <w:color w:val="D40F16"/>
          <w:sz w:val="30"/>
          <w:szCs w:val="30"/>
        </w:rPr>
        <w:t xml:space="preserve">9. Recapitulatif - vue d'ensemble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1260"/>
        <w:gridCol w:w="2700"/>
        <w:gridCol w:w="1080"/>
        <w:gridCol w:w="1440"/>
        <w:gridCol w:w="2520"/>
      </w:tblGrid>
      <w:tr>
        <w:trPr>
          <w:tblHeader/>
        </w:trPr>
        <w:tc>
          <w:tcPr>
            <w:tcW w:type="pct" w:w="14%"/>
            <w:shd w:fill="2B2B2B" w:val="clear"/>
            <w:tcMar>
              <w:top w:type="dxa" w:w="80"/>
              <w:left w:type="dxa" w:w="100"/>
              <w:bottom w:type="dxa" w:w="80"/>
              <w:right w:type="dxa" w:w="100"/>
            </w:tcMar>
            <w:vAlign w:val="center"/>
          </w:tcPr>
          <w:p>
            <w:r>
              <w:rPr>
                <w:b/>
                <w:bCs/>
                <w:color w:val="FFFFFF"/>
                <w:sz w:val="18"/>
                <w:szCs w:val="18"/>
              </w:rPr>
              <w:t xml:space="preserve">Phase</w:t>
            </w:r>
          </w:p>
        </w:tc>
        <w:tc>
          <w:tcPr>
            <w:tcW w:type="pct" w:w="30%"/>
            <w:shd w:fill="2B2B2B" w:val="clear"/>
            <w:tcMar>
              <w:top w:type="dxa" w:w="80"/>
              <w:left w:type="dxa" w:w="100"/>
              <w:bottom w:type="dxa" w:w="80"/>
              <w:right w:type="dxa" w:w="100"/>
            </w:tcMar>
            <w:vAlign w:val="center"/>
          </w:tcPr>
          <w:p>
            <w:r>
              <w:rPr>
                <w:b/>
                <w:bCs/>
                <w:color w:val="FFFFFF"/>
                <w:sz w:val="18"/>
                <w:szCs w:val="18"/>
              </w:rPr>
              <w:t xml:space="preserve">Modules</w:t>
            </w:r>
          </w:p>
        </w:tc>
        <w:tc>
          <w:tcPr>
            <w:tcW w:type="pct" w:w="12%"/>
            <w:shd w:fill="2B2B2B" w:val="clear"/>
            <w:tcMar>
              <w:top w:type="dxa" w:w="80"/>
              <w:left w:type="dxa" w:w="100"/>
              <w:bottom w:type="dxa" w:w="80"/>
              <w:right w:type="dxa" w:w="100"/>
            </w:tcMar>
            <w:vAlign w:val="center"/>
          </w:tcPr>
          <w:p>
            <w:r>
              <w:rPr>
                <w:b/>
                <w:bCs/>
                <w:color w:val="FFFFFF"/>
                <w:sz w:val="18"/>
                <w:szCs w:val="18"/>
              </w:rPr>
              <w:t xml:space="preserve">Sprints</w:t>
            </w:r>
          </w:p>
        </w:tc>
        <w:tc>
          <w:tcPr>
            <w:tcW w:type="pct" w:w="16%"/>
            <w:shd w:fill="2B2B2B" w:val="clear"/>
            <w:tcMar>
              <w:top w:type="dxa" w:w="80"/>
              <w:left w:type="dxa" w:w="100"/>
              <w:bottom w:type="dxa" w:w="80"/>
              <w:right w:type="dxa" w:w="100"/>
            </w:tcMar>
            <w:vAlign w:val="center"/>
          </w:tcPr>
          <w:p>
            <w:r>
              <w:rPr>
                <w:b/>
                <w:bCs/>
                <w:color w:val="FFFFFF"/>
                <w:sz w:val="18"/>
                <w:szCs w:val="18"/>
              </w:rPr>
              <w:t xml:space="preserve">Duree indicative</w:t>
            </w:r>
          </w:p>
        </w:tc>
        <w:tc>
          <w:tcPr>
            <w:tcW w:type="pct" w:w="28%"/>
            <w:shd w:fill="2B2B2B" w:val="clear"/>
            <w:tcMar>
              <w:top w:type="dxa" w:w="80"/>
              <w:left w:type="dxa" w:w="100"/>
              <w:bottom w:type="dxa" w:w="80"/>
              <w:right w:type="dxa" w:w="100"/>
            </w:tcMar>
            <w:vAlign w:val="center"/>
          </w:tcPr>
          <w:p>
            <w:r>
              <w:rPr>
                <w:b/>
                <w:bCs/>
                <w:color w:val="FFFFFF"/>
                <w:sz w:val="18"/>
                <w:szCs w:val="18"/>
              </w:rPr>
              <w:t xml:space="preserve">Jalon Go/No-Go</w:t>
            </w:r>
          </w:p>
        </w:tc>
      </w:tr>
      <w:tr>
        <w:tc>
          <w:tcPr>
            <w:tcW w:type="pct" w:w="14%"/>
            <w:tcMar>
              <w:top w:type="dxa" w:w="80"/>
              <w:left w:type="dxa" w:w="100"/>
              <w:bottom w:type="dxa" w:w="80"/>
              <w:right w:type="dxa" w:w="100"/>
            </w:tcMar>
            <w:vAlign w:val="center"/>
          </w:tcPr>
          <w:p>
            <w:r>
              <w:rPr>
                <w:b w:val="false"/>
                <w:bCs w:val="false"/>
                <w:sz w:val="18"/>
                <w:szCs w:val="18"/>
              </w:rPr>
              <w:t xml:space="preserve">0 - Validation</w:t>
            </w:r>
          </w:p>
        </w:tc>
        <w:tc>
          <w:tcPr>
            <w:tcW w:type="pct" w:w="30%"/>
            <w:tcMar>
              <w:top w:type="dxa" w:w="80"/>
              <w:left w:type="dxa" w:w="100"/>
              <w:bottom w:type="dxa" w:w="80"/>
              <w:right w:type="dxa" w:w="100"/>
            </w:tcMar>
            <w:vAlign w:val="center"/>
          </w:tcPr>
          <w:p>
            <w:r>
              <w:rPr>
                <w:b w:val="false"/>
                <w:bCs w:val="false"/>
                <w:sz w:val="18"/>
                <w:szCs w:val="18"/>
              </w:rPr>
              <w:t xml:space="preserve">Verrous V1-V5 (hors developpement)</w:t>
            </w:r>
          </w:p>
        </w:tc>
        <w:tc>
          <w:tcPr>
            <w:tcW w:type="pct" w:w="12%"/>
            <w:tcMar>
              <w:top w:type="dxa" w:w="80"/>
              <w:left w:type="dxa" w:w="100"/>
              <w:bottom w:type="dxa" w:w="80"/>
              <w:right w:type="dxa" w:w="100"/>
            </w:tcMar>
            <w:vAlign w:val="center"/>
          </w:tcPr>
          <w:p>
            <w:r>
              <w:rPr>
                <w:b w:val="false"/>
                <w:bCs w:val="false"/>
                <w:sz w:val="18"/>
                <w:szCs w:val="18"/>
              </w:rPr>
              <w:t xml:space="preserve">-</w:t>
            </w:r>
          </w:p>
        </w:tc>
        <w:tc>
          <w:tcPr>
            <w:tcW w:type="pct" w:w="16%"/>
            <w:tcMar>
              <w:top w:type="dxa" w:w="80"/>
              <w:left w:type="dxa" w:w="100"/>
              <w:bottom w:type="dxa" w:w="80"/>
              <w:right w:type="dxa" w:w="100"/>
            </w:tcMar>
            <w:vAlign w:val="center"/>
          </w:tcPr>
          <w:p>
            <w:r>
              <w:rPr>
                <w:b w:val="false"/>
                <w:bCs w:val="false"/>
                <w:sz w:val="18"/>
                <w:szCs w:val="18"/>
              </w:rPr>
              <w:t xml:space="preserve">10-12 semaines</w:t>
            </w:r>
          </w:p>
        </w:tc>
        <w:tc>
          <w:tcPr>
            <w:tcW w:type="pct" w:w="28%"/>
            <w:tcMar>
              <w:top w:type="dxa" w:w="80"/>
              <w:left w:type="dxa" w:w="100"/>
              <w:bottom w:type="dxa" w:w="80"/>
              <w:right w:type="dxa" w:w="100"/>
            </w:tcMar>
            <w:vAlign w:val="center"/>
          </w:tcPr>
          <w:p>
            <w:r>
              <w:rPr>
                <w:b w:val="false"/>
                <w:bCs w:val="false"/>
                <w:sz w:val="18"/>
                <w:szCs w:val="18"/>
              </w:rPr>
              <w:t xml:space="preserve">V1 et V2 obtenus + disposition a payer demontree par &gt;= 2 chargeurs</w:t>
            </w:r>
          </w:p>
        </w:tc>
      </w:tr>
      <w:tr>
        <w:tc>
          <w:tcPr>
            <w:tcW w:type="pct" w:w="14%"/>
            <w:shd w:fill="F5F5F5" w:val="clear"/>
            <w:tcMar>
              <w:top w:type="dxa" w:w="80"/>
              <w:left w:type="dxa" w:w="100"/>
              <w:bottom w:type="dxa" w:w="80"/>
              <w:right w:type="dxa" w:w="100"/>
            </w:tcMar>
            <w:vAlign w:val="center"/>
          </w:tcPr>
          <w:p>
            <w:r>
              <w:rPr>
                <w:b w:val="false"/>
                <w:bCs w:val="false"/>
                <w:sz w:val="18"/>
                <w:szCs w:val="18"/>
              </w:rPr>
              <w:t xml:space="preserve">1 - MVP un axe</w:t>
            </w:r>
          </w:p>
        </w:tc>
        <w:tc>
          <w:tcPr>
            <w:tcW w:type="pct" w:w="30%"/>
            <w:shd w:fill="F5F5F5" w:val="clear"/>
            <w:tcMar>
              <w:top w:type="dxa" w:w="80"/>
              <w:left w:type="dxa" w:w="100"/>
              <w:bottom w:type="dxa" w:w="80"/>
              <w:right w:type="dxa" w:w="100"/>
            </w:tcMar>
            <w:vAlign w:val="center"/>
          </w:tcPr>
          <w:p>
            <w:r>
              <w:rPr>
                <w:b w:val="false"/>
                <w:bCs w:val="false"/>
                <w:sz w:val="18"/>
                <w:szCs w:val="18"/>
              </w:rPr>
              <w:t xml:space="preserve">IDA . CAP . MKT . MAT/OPT V0 . TRK . EXE . PAY . FLT . BUR . GEO . NOT . ADM</w:t>
            </w:r>
          </w:p>
        </w:tc>
        <w:tc>
          <w:tcPr>
            <w:tcW w:type="pct" w:w="12%"/>
            <w:shd w:fill="F5F5F5" w:val="clear"/>
            <w:tcMar>
              <w:top w:type="dxa" w:w="80"/>
              <w:left w:type="dxa" w:w="100"/>
              <w:bottom w:type="dxa" w:w="80"/>
              <w:right w:type="dxa" w:w="100"/>
            </w:tcMar>
            <w:vAlign w:val="center"/>
          </w:tcPr>
          <w:p>
            <w:r>
              <w:rPr>
                <w:b w:val="false"/>
                <w:bCs w:val="false"/>
                <w:sz w:val="18"/>
                <w:szCs w:val="18"/>
              </w:rPr>
              <w:t xml:space="preserve">S1 -&gt; S10</w:t>
            </w:r>
          </w:p>
        </w:tc>
        <w:tc>
          <w:tcPr>
            <w:tcW w:type="pct" w:w="16%"/>
            <w:shd w:fill="F5F5F5" w:val="clear"/>
            <w:tcMar>
              <w:top w:type="dxa" w:w="80"/>
              <w:left w:type="dxa" w:w="100"/>
              <w:bottom w:type="dxa" w:w="80"/>
              <w:right w:type="dxa" w:w="100"/>
            </w:tcMar>
            <w:vAlign w:val="center"/>
          </w:tcPr>
          <w:p>
            <w:r>
              <w:rPr>
                <w:b w:val="false"/>
                <w:bCs w:val="false"/>
                <w:sz w:val="18"/>
                <w:szCs w:val="18"/>
              </w:rPr>
              <w:t xml:space="preserve">5-6 mois</w:t>
            </w:r>
          </w:p>
        </w:tc>
        <w:tc>
          <w:tcPr>
            <w:tcW w:type="pct" w:w="28%"/>
            <w:shd w:fill="F5F5F5" w:val="clear"/>
            <w:tcMar>
              <w:top w:type="dxa" w:w="80"/>
              <w:left w:type="dxa" w:w="100"/>
              <w:bottom w:type="dxa" w:w="80"/>
              <w:right w:type="dxa" w:w="100"/>
            </w:tcMar>
            <w:vAlign w:val="center"/>
          </w:tcPr>
          <w:p>
            <w:r>
              <w:rPr>
                <w:b w:val="false"/>
                <w:bCs w:val="false"/>
                <w:sz w:val="18"/>
                <w:szCs w:val="18"/>
              </w:rPr>
              <w:t xml:space="preserve">Densite percue : une demande trouve une capacite dans la journee, majorite des cas</w:t>
            </w:r>
          </w:p>
        </w:tc>
      </w:tr>
      <w:tr>
        <w:tc>
          <w:tcPr>
            <w:tcW w:type="pct" w:w="14%"/>
            <w:tcMar>
              <w:top w:type="dxa" w:w="80"/>
              <w:left w:type="dxa" w:w="100"/>
              <w:bottom w:type="dxa" w:w="80"/>
              <w:right w:type="dxa" w:w="100"/>
            </w:tcMar>
            <w:vAlign w:val="center"/>
          </w:tcPr>
          <w:p>
            <w:r>
              <w:rPr>
                <w:b w:val="false"/>
                <w:bCs w:val="false"/>
                <w:sz w:val="18"/>
                <w:szCs w:val="18"/>
              </w:rPr>
              <w:t xml:space="preserve">2 - Groupage + 2e axe</w:t>
            </w:r>
          </w:p>
        </w:tc>
        <w:tc>
          <w:tcPr>
            <w:tcW w:type="pct" w:w="30%"/>
            <w:tcMar>
              <w:top w:type="dxa" w:w="80"/>
              <w:left w:type="dxa" w:w="100"/>
              <w:bottom w:type="dxa" w:w="80"/>
              <w:right w:type="dxa" w:w="100"/>
            </w:tcMar>
            <w:vAlign w:val="center"/>
          </w:tcPr>
          <w:p>
            <w:r>
              <w:rPr>
                <w:b w:val="false"/>
                <w:bCs w:val="false"/>
                <w:sz w:val="18"/>
                <w:szCs w:val="18"/>
              </w:rPr>
              <w:t xml:space="preserve">MAT/OPT V1 . FLT (connecteurs) . PAY (etendu) . GEO (2e axe)</w:t>
            </w:r>
          </w:p>
        </w:tc>
        <w:tc>
          <w:tcPr>
            <w:tcW w:type="pct" w:w="12%"/>
            <w:tcMar>
              <w:top w:type="dxa" w:w="80"/>
              <w:left w:type="dxa" w:w="100"/>
              <w:bottom w:type="dxa" w:w="80"/>
              <w:right w:type="dxa" w:w="100"/>
            </w:tcMar>
            <w:vAlign w:val="center"/>
          </w:tcPr>
          <w:p>
            <w:r>
              <w:rPr>
                <w:b w:val="false"/>
                <w:bCs w:val="false"/>
                <w:sz w:val="18"/>
                <w:szCs w:val="18"/>
              </w:rPr>
              <w:t xml:space="preserve">S11 -&gt; S15</w:t>
            </w:r>
          </w:p>
        </w:tc>
        <w:tc>
          <w:tcPr>
            <w:tcW w:type="pct" w:w="16%"/>
            <w:tcMar>
              <w:top w:type="dxa" w:w="80"/>
              <w:left w:type="dxa" w:w="100"/>
              <w:bottom w:type="dxa" w:w="80"/>
              <w:right w:type="dxa" w:w="100"/>
            </w:tcMar>
            <w:vAlign w:val="center"/>
          </w:tcPr>
          <w:p>
            <w:r>
              <w:rPr>
                <w:b w:val="false"/>
                <w:bCs w:val="false"/>
                <w:sz w:val="18"/>
                <w:szCs w:val="18"/>
              </w:rPr>
              <w:t xml:space="preserve">4-5 mois</w:t>
            </w:r>
          </w:p>
        </w:tc>
        <w:tc>
          <w:tcPr>
            <w:tcW w:type="pct" w:w="28%"/>
            <w:tcMar>
              <w:top w:type="dxa" w:w="80"/>
              <w:left w:type="dxa" w:w="100"/>
              <w:bottom w:type="dxa" w:w="80"/>
              <w:right w:type="dxa" w:w="100"/>
            </w:tcMar>
            <w:vAlign w:val="center"/>
          </w:tcPr>
          <w:p>
            <w:r>
              <w:rPr>
                <w:b w:val="false"/>
                <w:bCs w:val="false"/>
                <w:sz w:val="18"/>
                <w:szCs w:val="18"/>
              </w:rPr>
              <w:t xml:space="preserve">Taux de remplissage en hausse, economie unitaire positive hors licence</w:t>
            </w:r>
          </w:p>
        </w:tc>
      </w:tr>
      <w:tr>
        <w:tc>
          <w:tcPr>
            <w:tcW w:type="pct" w:w="14%"/>
            <w:shd w:fill="F5F5F5" w:val="clear"/>
            <w:tcMar>
              <w:top w:type="dxa" w:w="80"/>
              <w:left w:type="dxa" w:w="100"/>
              <w:bottom w:type="dxa" w:w="80"/>
              <w:right w:type="dxa" w:w="100"/>
            </w:tcMar>
            <w:vAlign w:val="center"/>
          </w:tcPr>
          <w:p>
            <w:r>
              <w:rPr>
                <w:b w:val="false"/>
                <w:bCs w:val="false"/>
                <w:sz w:val="18"/>
                <w:szCs w:val="18"/>
              </w:rPr>
              <w:t xml:space="preserve">3 - Densification</w:t>
            </w:r>
          </w:p>
        </w:tc>
        <w:tc>
          <w:tcPr>
            <w:tcW w:type="pct" w:w="30%"/>
            <w:shd w:fill="F5F5F5" w:val="clear"/>
            <w:tcMar>
              <w:top w:type="dxa" w:w="80"/>
              <w:left w:type="dxa" w:w="100"/>
              <w:bottom w:type="dxa" w:w="80"/>
              <w:right w:type="dxa" w:w="100"/>
            </w:tcMar>
            <w:vAlign w:val="center"/>
          </w:tcPr>
          <w:p>
            <w:r>
              <w:rPr>
                <w:b w:val="false"/>
                <w:bCs w:val="false"/>
                <w:sz w:val="18"/>
                <w:szCs w:val="18"/>
              </w:rPr>
              <w:t xml:space="preserve">MAT/OPT V2 (oracle 3D) . BUR (observatoire) . ADM (litiges) . INT</w:t>
            </w:r>
          </w:p>
        </w:tc>
        <w:tc>
          <w:tcPr>
            <w:tcW w:type="pct" w:w="12%"/>
            <w:shd w:fill="F5F5F5" w:val="clear"/>
            <w:tcMar>
              <w:top w:type="dxa" w:w="80"/>
              <w:left w:type="dxa" w:w="100"/>
              <w:bottom w:type="dxa" w:w="80"/>
              <w:right w:type="dxa" w:w="100"/>
            </w:tcMar>
            <w:vAlign w:val="center"/>
          </w:tcPr>
          <w:p>
            <w:r>
              <w:rPr>
                <w:b w:val="false"/>
                <w:bCs w:val="false"/>
                <w:sz w:val="18"/>
                <w:szCs w:val="18"/>
              </w:rPr>
              <w:t xml:space="preserve">S16 -&gt; S20</w:t>
            </w:r>
          </w:p>
        </w:tc>
        <w:tc>
          <w:tcPr>
            <w:tcW w:type="pct" w:w="16%"/>
            <w:shd w:fill="F5F5F5" w:val="clear"/>
            <w:tcMar>
              <w:top w:type="dxa" w:w="80"/>
              <w:left w:type="dxa" w:w="100"/>
              <w:bottom w:type="dxa" w:w="80"/>
              <w:right w:type="dxa" w:w="100"/>
            </w:tcMar>
            <w:vAlign w:val="center"/>
          </w:tcPr>
          <w:p>
            <w:r>
              <w:rPr>
                <w:b w:val="false"/>
                <w:bCs w:val="false"/>
                <w:sz w:val="18"/>
                <w:szCs w:val="18"/>
              </w:rPr>
              <w:t xml:space="preserve">4-6 mois</w:t>
            </w:r>
          </w:p>
        </w:tc>
        <w:tc>
          <w:tcPr>
            <w:tcW w:type="pct" w:w="28%"/>
            <w:shd w:fill="F5F5F5" w:val="clear"/>
            <w:tcMar>
              <w:top w:type="dxa" w:w="80"/>
              <w:left w:type="dxa" w:w="100"/>
              <w:bottom w:type="dxa" w:w="80"/>
              <w:right w:type="dxa" w:w="100"/>
            </w:tcMar>
            <w:vAlign w:val="center"/>
          </w:tcPr>
          <w:p>
            <w:r>
              <w:rPr>
                <w:b w:val="false"/>
                <w:bCs w:val="false"/>
                <w:sz w:val="18"/>
                <w:szCs w:val="18"/>
              </w:rPr>
              <w:t xml:space="preserve">2e tenant sous licence, part de km a vide en baisse, litiges sous delais plafonds</w:t>
            </w:r>
          </w:p>
        </w:tc>
      </w:tr>
      <w:tr>
        <w:tc>
          <w:tcPr>
            <w:tcW w:type="pct" w:w="14%"/>
            <w:tcMar>
              <w:top w:type="dxa" w:w="80"/>
              <w:left w:type="dxa" w:w="100"/>
              <w:bottom w:type="dxa" w:w="80"/>
              <w:right w:type="dxa" w:w="100"/>
            </w:tcMar>
            <w:vAlign w:val="center"/>
          </w:tcPr>
          <w:p>
            <w:r>
              <w:rPr>
                <w:b w:val="false"/>
                <w:bCs w:val="false"/>
                <w:sz w:val="18"/>
                <w:szCs w:val="18"/>
              </w:rPr>
              <w:t xml:space="preserve">4 - Anticipation</w:t>
            </w:r>
          </w:p>
        </w:tc>
        <w:tc>
          <w:tcPr>
            <w:tcW w:type="pct" w:w="30%"/>
            <w:tcMar>
              <w:top w:type="dxa" w:w="80"/>
              <w:left w:type="dxa" w:w="100"/>
              <w:bottom w:type="dxa" w:w="80"/>
              <w:right w:type="dxa" w:w="100"/>
            </w:tcMar>
            <w:vAlign w:val="center"/>
          </w:tcPr>
          <w:p>
            <w:r>
              <w:rPr>
                <w:b w:val="false"/>
                <w:bCs w:val="false"/>
                <w:sz w:val="18"/>
                <w:szCs w:val="18"/>
              </w:rPr>
              <w:t xml:space="preserve">MAT/OPT V3 . GEO-05 (transfrontalier)</w:t>
            </w:r>
          </w:p>
        </w:tc>
        <w:tc>
          <w:tcPr>
            <w:tcW w:type="pct" w:w="12%"/>
            <w:tcMar>
              <w:top w:type="dxa" w:w="80"/>
              <w:left w:type="dxa" w:w="100"/>
              <w:bottom w:type="dxa" w:w="80"/>
              <w:right w:type="dxa" w:w="100"/>
            </w:tcMar>
            <w:vAlign w:val="center"/>
          </w:tcPr>
          <w:p>
            <w:r>
              <w:rPr>
                <w:b w:val="false"/>
                <w:bCs w:val="false"/>
                <w:sz w:val="18"/>
                <w:szCs w:val="18"/>
              </w:rPr>
              <w:t xml:space="preserve">A definir par jalons</w:t>
            </w:r>
          </w:p>
        </w:tc>
        <w:tc>
          <w:tcPr>
            <w:tcW w:type="pct" w:w="16%"/>
            <w:tcMar>
              <w:top w:type="dxa" w:w="80"/>
              <w:left w:type="dxa" w:w="100"/>
              <w:bottom w:type="dxa" w:w="80"/>
              <w:right w:type="dxa" w:w="100"/>
            </w:tcMar>
            <w:vAlign w:val="center"/>
          </w:tcPr>
          <w:p>
            <w:r>
              <w:rPr>
                <w:b w:val="false"/>
                <w:bCs w:val="false"/>
                <w:sz w:val="18"/>
                <w:szCs w:val="18"/>
              </w:rPr>
              <w:t xml:space="preserve">A definir</w:t>
            </w:r>
          </w:p>
        </w:tc>
        <w:tc>
          <w:tcPr>
            <w:tcW w:type="pct" w:w="28%"/>
            <w:tcMar>
              <w:top w:type="dxa" w:w="80"/>
              <w:left w:type="dxa" w:w="100"/>
              <w:bottom w:type="dxa" w:w="80"/>
              <w:right w:type="dxa" w:w="100"/>
            </w:tcMar>
            <w:vAlign w:val="center"/>
          </w:tcPr>
          <w:p>
            <w:r>
              <w:rPr>
                <w:b w:val="false"/>
                <w:bCs w:val="false"/>
                <w:sz w:val="18"/>
                <w:szCs w:val="18"/>
              </w:rPr>
              <w:t xml:space="preserve">Economie unitaire positive a 8% de commission, conformite multi-juridiction</w:t>
            </w:r>
          </w:p>
        </w:tc>
      </w:tr>
    </w:tbl>
    <w:p>
      <w:pPr>
        <w:spacing w:after="120"/>
      </w:pPr>
    </w:p>
    <w:tbl>
      <w:tblPr>
        <w:tblW w:type="pct" w:w="100%"/>
        <w:tblBorders>
          <w:top w:val="single" w:color="D40F16" w:sz="4"/>
          <w:left w:val="single" w:color="D40F16" w:sz="4"/>
          <w:bottom w:val="single" w:color="D40F16" w:sz="4"/>
          <w:right w:val="single" w:color="D40F16" w:sz="4"/>
          <w:insideH w:val="single" w:color="auto" w:sz="4"/>
          <w:insideV w:val="single" w:color="auto" w:sz="4"/>
        </w:tblBorders>
      </w:tblPr>
      <w:tblGrid>
        <w:gridCol w:w="100"/>
      </w:tblGrid>
      <w:tr>
        <w:tc>
          <w:tcPr>
            <w:shd w:fill="FDECEC" w:val="clear"/>
            <w:tcMar>
              <w:top w:type="dxa" w:w="120"/>
              <w:left w:type="dxa" w:w="160"/>
              <w:bottom w:type="dxa" w:w="120"/>
              <w:right w:type="dxa" w:w="160"/>
            </w:tcMar>
          </w:tcPr>
          <w:p>
            <w:pPr>
              <w:spacing w:after="80"/>
            </w:pPr>
            <w:r>
              <w:rPr>
                <w:b/>
                <w:bCs/>
                <w:color w:val="D40F16"/>
                <w:sz w:val="20"/>
                <w:szCs w:val="20"/>
              </w:rPr>
              <w:t xml:space="preserve">Principe de developpement</w:t>
            </w:r>
          </w:p>
          <w:p>
            <w:r>
              <w:rPr>
                <w:sz w:val="19"/>
                <w:szCs w:val="19"/>
              </w:rPr>
              <w:t xml:space="preserve">Backend d'abord sur chaque sprint (le microservice expose une API stable et documentee dans shared-contracts/), puis mobile et web en parallele. A la fin de chaque sprint, la fonctionnalite est testee de bout en bout - y compris la suite de tests d'isolation multi-tenant et le controle financier automatise des qu'un sprint touche a PAY.</w:t>
            </w:r>
          </w:p>
        </w:tc>
      </w:tr>
    </w:tbl>
    <w:p>
      <w:pPr>
        <w:spacing w:after="120"/>
      </w:pPr>
    </w:p>
    <w:p>
      <w:pPr>
        <w:pStyle w:val="Heading2"/>
        <w:spacing w:after="140" w:before="260"/>
      </w:pPr>
      <w:r>
        <w:rPr>
          <w:b/>
          <w:bCs/>
          <w:color w:val="8A0F13"/>
          <w:sz w:val="24"/>
          <w:szCs w:val="24"/>
        </w:rPr>
        <w:t xml:space="preserve">9.1 Repartition indicative de la charge par personne (h-m, ordre de grandeur CDC §17)</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2700"/>
        <w:gridCol w:w="4140"/>
        <w:gridCol w:w="2160"/>
      </w:tblGrid>
      <w:tr>
        <w:trPr>
          <w:tblHeader/>
        </w:trPr>
        <w:tc>
          <w:tcPr>
            <w:tcW w:type="pct" w:w="30%"/>
            <w:shd w:fill="2B2B2B" w:val="clear"/>
            <w:tcMar>
              <w:top w:type="dxa" w:w="80"/>
              <w:left w:type="dxa" w:w="100"/>
              <w:bottom w:type="dxa" w:w="80"/>
              <w:right w:type="dxa" w:w="100"/>
            </w:tcMar>
            <w:vAlign w:val="center"/>
          </w:tcPr>
          <w:p>
            <w:r>
              <w:rPr>
                <w:b/>
                <w:bCs/>
                <w:color w:val="FFFFFF"/>
                <w:sz w:val="18"/>
                <w:szCs w:val="18"/>
              </w:rPr>
              <w:t xml:space="preserve">Personne</w:t>
            </w:r>
          </w:p>
        </w:tc>
        <w:tc>
          <w:tcPr>
            <w:tcW w:type="pct" w:w="46%"/>
            <w:shd w:fill="2B2B2B" w:val="clear"/>
            <w:tcMar>
              <w:top w:type="dxa" w:w="80"/>
              <w:left w:type="dxa" w:w="100"/>
              <w:bottom w:type="dxa" w:w="80"/>
              <w:right w:type="dxa" w:w="100"/>
            </w:tcMar>
            <w:vAlign w:val="center"/>
          </w:tcPr>
          <w:p>
            <w:r>
              <w:rPr>
                <w:b/>
                <w:bCs/>
                <w:color w:val="FFFFFF"/>
                <w:sz w:val="18"/>
                <w:szCs w:val="18"/>
              </w:rPr>
              <w:t xml:space="preserve">Lots portes</w:t>
            </w:r>
          </w:p>
        </w:tc>
        <w:tc>
          <w:tcPr>
            <w:tcW w:type="pct" w:w="24%"/>
            <w:shd w:fill="2B2B2B" w:val="clear"/>
            <w:tcMar>
              <w:top w:type="dxa" w:w="80"/>
              <w:left w:type="dxa" w:w="100"/>
              <w:bottom w:type="dxa" w:w="80"/>
              <w:right w:type="dxa" w:w="100"/>
            </w:tcMar>
            <w:vAlign w:val="center"/>
          </w:tcPr>
          <w:p>
            <w:r>
              <w:rPr>
                <w:b/>
                <w:bCs/>
                <w:color w:val="FFFFFF"/>
                <w:sz w:val="18"/>
                <w:szCs w:val="18"/>
              </w:rPr>
              <w:t xml:space="preserve">Charge indicative</w:t>
            </w:r>
          </w:p>
        </w:tc>
      </w:tr>
      <w:tr>
        <w:tc>
          <w:tcPr>
            <w:tcW w:type="pct" w:w="30%"/>
            <w:tcMar>
              <w:top w:type="dxa" w:w="80"/>
              <w:left w:type="dxa" w:w="100"/>
              <w:bottom w:type="dxa" w:w="80"/>
              <w:right w:type="dxa" w:w="100"/>
            </w:tcMar>
            <w:vAlign w:val="center"/>
          </w:tcPr>
          <w:p>
            <w:r>
              <w:rPr>
                <w:b w:val="false"/>
                <w:bCs w:val="false"/>
                <w:sz w:val="18"/>
                <w:szCs w:val="18"/>
              </w:rPr>
              <w:t xml:space="preserve">Mobile + API associées (IDA, CAP, MKT, FLT, EXE, NOT) — 2 apps</w:t>
            </w:r>
          </w:p>
        </w:tc>
        <w:tc>
          <w:tcPr>
            <w:tcW w:type="pct" w:w="46%"/>
            <w:tcMar>
              <w:top w:type="dxa" w:w="80"/>
              <w:left w:type="dxa" w:w="100"/>
              <w:bottom w:type="dxa" w:w="80"/>
              <w:right w:type="dxa" w:w="100"/>
            </w:tcMar>
            <w:vAlign w:val="center"/>
          </w:tcPr>
          <w:p>
            <w:r>
              <w:rPr>
                <w:b w:val="false"/>
                <w:bCs w:val="false"/>
                <w:sz w:val="18"/>
                <w:szCs w:val="18"/>
              </w:rPr>
              <w:t xml:space="preserve">Hors ligne d'abord (surcoût 30-50% transverse), écrans des 2 apps distinctes, capture de preuves, + microservices correspondants</w:t>
            </w:r>
          </w:p>
        </w:tc>
        <w:tc>
          <w:tcPr>
            <w:tcW w:type="pct" w:w="24%"/>
            <w:tcMar>
              <w:top w:type="dxa" w:w="80"/>
              <w:left w:type="dxa" w:w="100"/>
              <w:bottom w:type="dxa" w:w="80"/>
              <w:right w:type="dxa" w:w="100"/>
            </w:tcMar>
            <w:vAlign w:val="center"/>
          </w:tcPr>
          <w:p>
            <w:r>
              <w:rPr>
                <w:b w:val="false"/>
                <w:bCs w:val="false"/>
                <w:sz w:val="18"/>
                <w:szCs w:val="18"/>
              </w:rPr>
              <w:t xml:space="preserve">16-20 h-m (Phases 1-3)</w:t>
            </w:r>
          </w:p>
        </w:tc>
      </w:tr>
      <w:tr>
        <w:tc>
          <w:tcPr>
            <w:tcW w:type="pct" w:w="30%"/>
            <w:shd w:fill="F5F5F5" w:val="clear"/>
            <w:tcMar>
              <w:top w:type="dxa" w:w="80"/>
              <w:left w:type="dxa" w:w="100"/>
              <w:bottom w:type="dxa" w:w="80"/>
              <w:right w:type="dxa" w:w="100"/>
            </w:tcMar>
            <w:vAlign w:val="center"/>
          </w:tcPr>
          <w:p>
            <w:r>
              <w:rPr>
                <w:b w:val="false"/>
                <w:bCs w:val="false"/>
                <w:sz w:val="18"/>
                <w:szCs w:val="18"/>
              </w:rPr>
              <w:t xml:space="preserve">Web + API associées (gateway, PAY, BUR, ADM) — 1 app, 3 rôles</w:t>
            </w:r>
          </w:p>
        </w:tc>
        <w:tc>
          <w:tcPr>
            <w:tcW w:type="pct" w:w="46%"/>
            <w:shd w:fill="F5F5F5" w:val="clear"/>
            <w:tcMar>
              <w:top w:type="dxa" w:w="80"/>
              <w:left w:type="dxa" w:w="100"/>
              <w:bottom w:type="dxa" w:w="80"/>
              <w:right w:type="dxa" w:w="100"/>
            </w:tcMar>
            <w:vAlign w:val="center"/>
          </w:tcPr>
          <w:p>
            <w:r>
              <w:rPr>
                <w:b w:val="false"/>
                <w:bCs w:val="false"/>
                <w:sz w:val="18"/>
                <w:szCs w:val="18"/>
              </w:rPr>
              <w:t xml:space="preserve">App unique 3 rôles, back-office, observatoire, exports, + microservices correspondants</w:t>
            </w:r>
          </w:p>
        </w:tc>
        <w:tc>
          <w:tcPr>
            <w:tcW w:type="pct" w:w="24%"/>
            <w:shd w:fill="F5F5F5" w:val="clear"/>
            <w:tcMar>
              <w:top w:type="dxa" w:w="80"/>
              <w:left w:type="dxa" w:w="100"/>
              <w:bottom w:type="dxa" w:w="80"/>
              <w:right w:type="dxa" w:w="100"/>
            </w:tcMar>
            <w:vAlign w:val="center"/>
          </w:tcPr>
          <w:p>
            <w:r>
              <w:rPr>
                <w:b w:val="false"/>
                <w:bCs w:val="false"/>
                <w:sz w:val="18"/>
                <w:szCs w:val="18"/>
              </w:rPr>
              <w:t xml:space="preserve">13-17 h-m (Phases 1-3)</w:t>
            </w:r>
          </w:p>
        </w:tc>
      </w:tr>
      <w:tr>
        <w:tc>
          <w:tcPr>
            <w:tcW w:type="pct" w:w="30%"/>
            <w:tcMar>
              <w:top w:type="dxa" w:w="80"/>
              <w:left w:type="dxa" w:w="100"/>
              <w:bottom w:type="dxa" w:w="80"/>
              <w:right w:type="dxa" w:w="100"/>
            </w:tcMar>
            <w:vAlign w:val="center"/>
          </w:tcPr>
          <w:p>
            <w:r>
              <w:rPr>
                <w:b w:val="false"/>
                <w:bCs w:val="false"/>
                <w:sz w:val="18"/>
                <w:szCs w:val="18"/>
              </w:rPr>
              <w:t xml:space="preserve">Moteur (MAT, OPT, TRK, GEO)</w:t>
            </w:r>
          </w:p>
        </w:tc>
        <w:tc>
          <w:tcPr>
            <w:tcW w:type="pct" w:w="46%"/>
            <w:tcMar>
              <w:top w:type="dxa" w:w="80"/>
              <w:left w:type="dxa" w:w="100"/>
              <w:bottom w:type="dxa" w:w="80"/>
              <w:right w:type="dxa" w:w="100"/>
            </w:tcMar>
            <w:vAlign w:val="center"/>
          </w:tcPr>
          <w:p>
            <w:r>
              <w:rPr>
                <w:b w:val="false"/>
                <w:bCs w:val="false"/>
                <w:sz w:val="18"/>
                <w:szCs w:val="18"/>
              </w:rPr>
              <w:t xml:space="preserve">service-mat + service-opt V0-&gt;V2 (poste le plus incertain, CDC §17) + service-trk + service-geo</w:t>
            </w:r>
          </w:p>
        </w:tc>
        <w:tc>
          <w:tcPr>
            <w:tcW w:type="pct" w:w="24%"/>
            <w:tcMar>
              <w:top w:type="dxa" w:w="80"/>
              <w:left w:type="dxa" w:w="100"/>
              <w:bottom w:type="dxa" w:w="80"/>
              <w:right w:type="dxa" w:w="100"/>
            </w:tcMar>
            <w:vAlign w:val="center"/>
          </w:tcPr>
          <w:p>
            <w:r>
              <w:rPr>
                <w:b w:val="false"/>
                <w:bCs w:val="false"/>
                <w:sz w:val="18"/>
                <w:szCs w:val="18"/>
              </w:rPr>
              <w:t xml:space="preserve">17-23 h-m (Phases 1-3)</w:t>
            </w:r>
          </w:p>
        </w:tc>
      </w:tr>
    </w:tbl>
    <w:p>
      <w:pPr>
        <w:spacing w:after="120"/>
      </w:pPr>
    </w:p>
    <w:p>
      <w:pPr>
        <w:spacing w:after="160"/>
      </w:pPr>
      <w:r>
        <w:rPr>
          <w:i/>
          <w:iCs/>
          <w:sz w:val="20"/>
          <w:szCs w:val="20"/>
        </w:rPr>
        <w:t xml:space="preserve">Ces ordres de grandeur reprennent le tableau de charge indicative du §17 du CDC (hommes-mois, pas un devis) et les repartissent selon la logique : chacun porte l'API de son propre client, sauf le moteur qui reste un service autonome a porteur unique - c'est de loin le poste le plus incertain du projet.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826661398b08ec1d5dc5f190d9d377b29a72d2.png"/><Relationship Id="rId8" Type="http://schemas.openxmlformats.org/officeDocument/2006/relationships/image" Target="media/ce19dea2dde26f34b60632ff63ae4e52d00df324.png"/><Relationship Id="rId9" Type="http://schemas.openxmlformats.org/officeDocument/2006/relationships/image" Target="media/3ec68614257a3ea226165a0b8ff2367f52e45e2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2026-08-03T10:10:07.517Z</dcterms:created>
  <dcterms:modified xsi:type="dcterms:W3CDTF">2026-08-03T10:10:07.517Z</dcterms:modified>
</cp:coreProperties>
</file>

<file path=docProps/custom.xml><?xml version="1.0" encoding="utf-8"?>
<Properties xmlns="http://schemas.openxmlformats.org/officeDocument/2006/custom-properties" xmlns:vt="http://schemas.openxmlformats.org/officeDocument/2006/docPropsVTypes"/>
</file>