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A83EA4">
      <w:pPr>
        <w:pStyle w:val="2"/>
      </w:pPr>
      <w:r>
        <w:t>伦理报告：AI 辅助编程边界、学术诚信与“对抗 AI”需求的设计思考（TaskManager 轻量级多任务调度管理器）</w:t>
      </w:r>
    </w:p>
    <w:p w14:paraId="6EA945C5">
      <w:pPr>
        <w:pStyle w:val="3"/>
      </w:pPr>
      <w:r>
        <w:t>一、项目背景与伦理问题引入</w:t>
      </w:r>
    </w:p>
    <w:p w14:paraId="2359BC23">
      <w:pPr>
        <w:ind w:firstLine="420" w:firstLineChars="0"/>
      </w:pPr>
      <w:r>
        <w:t>本项目为基于 MFC 对话框的轻量级多任务调度管理器，包含任务调度、日志记录、跨线程 UI 更新、以及“死锁演示/防死锁演示”等功能。项目开发过程中引入了 AI 辅助编程工具（如大模型对代码结构、接口设计、异常安全方案、README/文档撰写的建议）。AI 的使用显著提高了检索速度与代码生成效率，但也带来典型伦理风险：学习过程被“替代”、代码归属不清、生成内容潜在错误难以察觉、以及可能违反课程对“对抗 AI”需求的约束。因此，本报告旨在明确 AI 辅助的边界、阐明学术诚信实践、并对课程“对抗 AI 需求”的设计做出反思与改进建议，确保项目成果具有可验证的个人贡献与工程可信度。</w:t>
      </w:r>
    </w:p>
    <w:p w14:paraId="0D5D9FCD">
      <w:pPr>
        <w:pStyle w:val="3"/>
      </w:pPr>
      <w:r>
        <w:t>二、AI 辅助编程的边界（What AI may do / may not do）</w:t>
      </w:r>
    </w:p>
    <w:p w14:paraId="43B154D8">
      <w:pPr>
        <w:pStyle w:val="4"/>
      </w:pPr>
      <w:r>
        <w:t>1. 允许的 AI 使用范围</w:t>
      </w:r>
    </w:p>
    <w:p w14:paraId="2D2164C5">
      <w:pPr>
        <w:ind w:firstLine="420" w:firstLineChars="0"/>
      </w:pPr>
      <w:r>
        <w:t>（1）</w:t>
      </w:r>
      <w:r>
        <w:rPr>
          <w:b/>
        </w:rPr>
        <w:t>信息检索与解释</w:t>
      </w:r>
      <w:r>
        <w:t>：例如查询condition_variable的正确用法、MFC 跨线程 UI 更新为何必须PostMessage而非直接操作控件、RAII 的异常安全含义等。</w:t>
      </w:r>
    </w:p>
    <w:p w14:paraId="161BA036">
      <w:pPr>
        <w:ind w:firstLine="420" w:firstLineChars="0"/>
      </w:pPr>
      <w:r>
        <w:t>（2）</w:t>
      </w:r>
      <w:r>
        <w:rPr>
          <w:b/>
        </w:rPr>
        <w:t>代码框架建议</w:t>
      </w:r>
      <w:r>
        <w:t>：由 AI 给出架构草案（如TaskEngine、ITaskExecutor、ExecutorFactory、观察者接口），但最终采用与否由开发者自行评估，并进行二次设计。</w:t>
      </w:r>
    </w:p>
    <w:p w14:paraId="01F8C4D0">
      <w:pPr>
        <w:ind w:firstLine="420" w:firstLineChars="0"/>
      </w:pPr>
      <w:r>
        <w:t>（3）</w:t>
      </w:r>
      <w:r>
        <w:rPr>
          <w:b/>
        </w:rPr>
        <w:t>文档与测试提示</w:t>
      </w:r>
      <w:r>
        <w:t>：AI 可协助生成 README 初稿、列出测试点、帮助梳理用户流程，但不得替代真实测试与结果验证。</w:t>
      </w:r>
    </w:p>
    <w:p w14:paraId="74CC5EBC">
      <w:pPr>
        <w:pStyle w:val="4"/>
      </w:pPr>
      <w:r>
        <w:t>2. 不允许或必须谨慎的 AI 使用范围</w:t>
      </w:r>
    </w:p>
    <w:p w14:paraId="7B849A7F">
      <w:pPr>
        <w:ind w:firstLine="420" w:firstLineChars="0"/>
      </w:pPr>
      <w:r>
        <w:t>（1）</w:t>
      </w:r>
      <w:r>
        <w:rPr>
          <w:b/>
        </w:rPr>
        <w:t>“一键生成”式提交</w:t>
      </w:r>
      <w:r>
        <w:t>：直接把 AI 输出当作最终作业而缺少理解、缺少验证、缺少差异化改造，会导致学习目标落空，也破坏公平性。</w:t>
      </w:r>
    </w:p>
    <w:p w14:paraId="0106E95F">
      <w:pPr>
        <w:ind w:firstLine="420" w:firstLineChars="0"/>
      </w:pPr>
      <w:r>
        <w:t>（2）</w:t>
      </w:r>
      <w:r>
        <w:rPr>
          <w:b/>
        </w:rPr>
        <w:t>绕过对抗要求</w:t>
      </w:r>
      <w:r>
        <w:t>：课程设置“对抗 AI”需求的目的是确保每个学生（或小组）在关键环节上做出不可复制的个人决策与实现。如果将这些环节也交给 AI 代写，等同于刻意规避评估机制。</w:t>
      </w:r>
    </w:p>
    <w:p w14:paraId="1707D621">
      <w:pPr>
        <w:ind w:firstLine="420" w:firstLineChars="0"/>
      </w:pPr>
      <w:r>
        <w:t>（3）</w:t>
      </w:r>
      <w:r>
        <w:rPr>
          <w:b/>
        </w:rPr>
        <w:t>不经审查引入安全/稳定风险</w:t>
      </w:r>
      <w:r>
        <w:t>：AI 可能产生“看似正确”的并发代码，实际上隐藏死锁、竞态、资源泄漏或 UI 线程违规访问等问题。并发系统的正确性高度依赖场景验证，AI 输出只能作为候选方案而不是权威答案。</w:t>
      </w:r>
    </w:p>
    <w:p w14:paraId="21C02905">
      <w:r>
        <w:t>综合而言，本项目对 AI 的定位是“</w:t>
      </w:r>
      <w:r>
        <w:rPr>
          <w:b/>
        </w:rPr>
        <w:t>加速器与对照组</w:t>
      </w:r>
      <w:r>
        <w:t>”：用于提供候选实现与对比思路，但最终代码的正确性、可维护性与可解释性必须由开发者负责。</w:t>
      </w:r>
    </w:p>
    <w:p w14:paraId="7A52D4B5">
      <w:pPr>
        <w:pStyle w:val="4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3</w:t>
      </w:r>
      <w:r>
        <w:t xml:space="preserve">. </w:t>
      </w:r>
      <w:r>
        <w:rPr>
          <w:rFonts w:hint="eastAsia"/>
          <w:lang w:val="en-US" w:eastAsia="zh-CN"/>
        </w:rPr>
        <w:t>ai使用比率</w:t>
      </w:r>
    </w:p>
    <w:p w14:paraId="55850AE8">
      <w:pPr>
        <w:ind w:firstLine="42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使用ai比率：80%。使用ai生成的原版代码，自己手动调试与修改，包括设置环境，修复报错，反复调试等。</w:t>
      </w:r>
    </w:p>
    <w:p w14:paraId="40798490">
      <w:pPr>
        <w:pStyle w:val="3"/>
      </w:pPr>
      <w:r>
        <w:t>三、学术诚信实践：可追溯、可解释、可复现</w:t>
      </w:r>
    </w:p>
    <w:p w14:paraId="3FF35224">
      <w:pPr>
        <w:ind w:firstLine="420" w:firstLineChars="0"/>
      </w:pPr>
      <w:r>
        <w:t>学术诚信不只是不抄袭，更重要的是让他人能够追溯“你做了什么、为何这么做、你是否理解并能解释”。本项目采取以下实践：</w:t>
      </w:r>
    </w:p>
    <w:p w14:paraId="30F05073">
      <w:pPr>
        <w:ind w:firstLine="420" w:firstLineChars="0"/>
      </w:pPr>
      <w:r>
        <w:t>1）</w:t>
      </w:r>
      <w:r>
        <w:rPr>
          <w:b/>
        </w:rPr>
        <w:t>AI 使用日志（Prompt–Response–Diff）</w:t>
      </w:r>
      <w:r>
        <w:t>：每次向 AI 请求架构或代码片段，都记录问题、AI 回复摘要、以及最终合并到代码库的差异（Diff）。这样能证明代码并非盲贴，也便于审查“哪些部分由 AI 启发、哪些由人类决策”。</w:t>
      </w:r>
    </w:p>
    <w:p w14:paraId="04E9176E">
      <w:pPr>
        <w:ind w:firstLine="420" w:firstLineChars="0"/>
      </w:pPr>
      <w:r>
        <w:t>2）</w:t>
      </w:r>
      <w:r>
        <w:rPr>
          <w:b/>
        </w:rPr>
        <w:t>关键模块的“人工解释权”</w:t>
      </w:r>
      <w:r>
        <w:t>：对调度器线程模型、任务包装、日志 RAII、死锁演示与防死锁策略，开发者必须能够口头/书面解释：为什么这样设计、与替代方案相比优劣是什么、会有哪些边界问题。</w:t>
      </w:r>
    </w:p>
    <w:p w14:paraId="76F89722">
      <w:pPr>
        <w:ind w:firstLine="420" w:firstLineChars="0"/>
      </w:pPr>
      <w:r>
        <w:t>3）</w:t>
      </w:r>
      <w:r>
        <w:rPr>
          <w:b/>
        </w:rPr>
        <w:t>可复现的工程证据</w:t>
      </w:r>
      <w:r>
        <w:t>：包括编译环境（Win11 + VS2026）、运行截图、日志文件、以及对死锁/防死锁按钮的操作步骤与结果对比，使得功能不是“写在文档里”，而是可被验证。</w:t>
      </w:r>
    </w:p>
    <w:p w14:paraId="58D1B438">
      <w:pPr>
        <w:ind w:firstLine="420" w:firstLineChars="0"/>
      </w:pPr>
      <w:r>
        <w:t>4）</w:t>
      </w:r>
      <w:r>
        <w:rPr>
          <w:b/>
        </w:rPr>
        <w:t>对 AI 输出的审查义务</w:t>
      </w:r>
      <w:r>
        <w:t>：并发相关代码必须通过静态阅读与动态测试；对于异常安全与资源释放，必须验证析构路径是否覆盖；对 UI 更新必须验证线程上下文（通过日志或调试器确认消息处理在 UI 线程）。</w:t>
      </w:r>
    </w:p>
    <w:p w14:paraId="69830AF5">
      <w:pPr>
        <w:ind w:firstLine="420" w:firstLineChars="0"/>
      </w:pPr>
      <w:r>
        <w:t>这些做法与学术界对负责任研究与可追溯性的要求一致：透明记录工具影响，避免“黑箱式”产出，从而保证成果可信。</w:t>
      </w:r>
    </w:p>
    <w:p w14:paraId="2AADCA03">
      <w:pPr>
        <w:pStyle w:val="3"/>
      </w:pPr>
      <w:r>
        <w:t>四、对抗 AI 需求的设计思考：为什么需要、如何更合理</w:t>
      </w:r>
    </w:p>
    <w:p w14:paraId="4390E30C">
      <w:pPr>
        <w:ind w:firstLine="420" w:firstLineChars="0"/>
      </w:pPr>
      <w:r>
        <w:t>课程提出“对抗 AI”需求，本质是在 AI 普及后，用工程机制确保学习发生在学生身上，而非发生在工具上。本项目在此基础上做了两层思考：</w:t>
      </w:r>
    </w:p>
    <w:p w14:paraId="65A92B8A">
      <w:pPr>
        <w:pStyle w:val="4"/>
      </w:pPr>
      <w:r>
        <w:t>1. “唯一性”不应只靠占位符</w:t>
      </w:r>
    </w:p>
    <w:p w14:paraId="3A5ED2B2">
      <w:pPr>
        <w:ind w:firstLine="420" w:firstLineChars="0"/>
      </w:pPr>
      <w:r>
        <w:t>仅靠学号、密钥占位符等方式能增强答案差异，但仍可能诱导学生把“关键实现”外包给 AI，再手工替换字符串完成提交。更好的对抗思路应强调</w:t>
      </w:r>
      <w:r>
        <w:rPr>
          <w:b/>
        </w:rPr>
        <w:t>过程唯一性与解释唯一性</w:t>
      </w:r>
      <w:r>
        <w:t>：例如要求学生提供死锁复现的线程时序分析、给出至少两种防死锁策略的取舍理由（如锁顺序、std::scoped_lock、超时锁、资源分级），并用日志证明其理解。</w:t>
      </w:r>
    </w:p>
    <w:p w14:paraId="4B34CE43">
      <w:pPr>
        <w:pStyle w:val="4"/>
      </w:pPr>
      <w:r>
        <w:t>2. 把“对抗 AI”转化为“对抗错误与不负责任使用 AI”</w:t>
      </w:r>
    </w:p>
    <w:p w14:paraId="3E2623E5">
      <w:pPr>
        <w:ind w:firstLine="420" w:firstLineChars="0"/>
      </w:pPr>
      <w:r>
        <w:t>本项目增加“死锁演示/防死锁演示”两类任务，就是将“对抗”从表层的“防抄袭”转向更本质的“防错误”：</w:t>
      </w:r>
    </w:p>
    <w:p w14:paraId="38938AF9">
      <w:pPr>
        <w:numPr>
          <w:ilvl w:val="0"/>
          <w:numId w:val="1"/>
        </w:numPr>
        <w:spacing w:before="0" w:beforeAutospacing="1" w:after="0" w:afterAutospacing="1"/>
        <w:ind w:left="720" w:hanging="360"/>
      </w:pPr>
      <w:r>
        <w:rPr>
          <w:b/>
        </w:rPr>
        <w:t>死锁演示任务</w:t>
      </w:r>
      <w:r>
        <w:t>强调错误的真实代价：一旦异常路径未释放锁，会造成系统不可用；</w:t>
      </w:r>
    </w:p>
    <w:p w14:paraId="1ECA9354">
      <w:pPr>
        <w:numPr>
          <w:ilvl w:val="0"/>
          <w:numId w:val="1"/>
        </w:numPr>
        <w:spacing w:before="0" w:beforeAutospacing="1" w:after="0" w:afterAutospacing="1"/>
        <w:ind w:left="720" w:hanging="360"/>
      </w:pPr>
      <w:r>
        <w:rPr>
          <w:b/>
        </w:rPr>
        <w:t>防死锁任务</w:t>
      </w:r>
      <w:r>
        <w:t>强调工程修复：RAII、锁顺序、一致性策略、异常捕获边界。</w:t>
      </w:r>
    </w:p>
    <w:p w14:paraId="6B7C4674">
      <w:pPr>
        <w:spacing w:before="0" w:beforeAutospacing="1" w:after="0" w:afterAutospacing="1"/>
        <w:ind w:firstLine="420" w:firstLineChars="0"/>
      </w:pPr>
      <w:r>
        <w:t>这使得 AI 工具的局限更加显性：AI 能生成lock_guard的写法，但不一定能保证在给定线程模型和 UI 交互下正确运行；最终仍需要开发者用实验与推理完成闭环。</w:t>
      </w:r>
    </w:p>
    <w:p w14:paraId="7C04B2A6">
      <w:pPr>
        <w:pStyle w:val="3"/>
      </w:pPr>
      <w:r>
        <w:t>五、结论：负责任地使用 AI，才能让工程与学习同时成立</w:t>
      </w:r>
    </w:p>
    <w:p w14:paraId="431BB0CB">
      <w:pPr>
        <w:ind w:firstLine="420" w:firstLineChars="0"/>
      </w:pPr>
      <w:r>
        <w:t>AI 辅助编程在本项目中带来的主要价值是缩短方案探索时间、扩展设计备选项、提升文档表达效率；其主要风险是弱化个人理解、引入隐蔽并发缺陷、以及模糊贡献归属。为平衡效率与诚信，本项目明确 AI 边界、建立可追溯日志、强化解释与复现证据，并将“对抗 AI”要求理解为促使学习与工程正确性可验证的机制。最终目标不是“不用 AI”，而是“</w:t>
      </w:r>
      <w:r>
        <w:rPr>
          <w:b/>
        </w:rPr>
        <w:t>让 AI 的使用过程可审计、结果可解释、责任可落实</w:t>
      </w:r>
      <w:r>
        <w:t>”。</w:t>
      </w:r>
    </w:p>
    <w:p w14:paraId="0C1BC16E">
      <w:pPr>
        <w:ind w:firstLine="420" w:firstLineChars="0"/>
      </w:pPr>
    </w:p>
    <w:p w14:paraId="6F60B98B">
      <w:pPr>
        <w:numPr>
          <w:ilvl w:val="0"/>
          <w:numId w:val="2"/>
        </w:numPr>
        <w:rPr>
          <w:rFonts w:hint="eastAsia" w:ascii="Arial" w:hAnsi="Arial" w:eastAsia="黑体" w:cstheme="minorBidi"/>
          <w:b/>
          <w:kern w:val="2"/>
          <w:sz w:val="32"/>
          <w:szCs w:val="24"/>
          <w:lang w:val="en-US" w:eastAsia="zh-CN" w:bidi="ar-SA"/>
        </w:rPr>
      </w:pPr>
      <w:r>
        <w:rPr>
          <w:rFonts w:hint="eastAsia" w:ascii="Arial" w:hAnsi="Arial" w:eastAsia="黑体" w:cstheme="minorBidi"/>
          <w:b/>
          <w:kern w:val="2"/>
          <w:sz w:val="32"/>
          <w:szCs w:val="24"/>
          <w:lang w:val="en-US" w:eastAsia="zh-CN" w:bidi="ar-SA"/>
        </w:rPr>
        <w:t>同伴评审</w:t>
      </w:r>
    </w:p>
    <w:p w14:paraId="2A1BE670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王传刚：</w:t>
      </w:r>
    </w:p>
    <w:p w14:paraId="13D1F8BC">
      <w:pPr>
        <w:numPr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优点：</w:t>
      </w:r>
    </w:p>
    <w:p w14:paraId="5CC1BDF8">
      <w:pPr>
        <w:numPr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线程同步思路清晰：mutex + condition_variable + priority_queue 组合合理，避免忙等。</w:t>
      </w:r>
    </w:p>
    <w:p w14:paraId="20590A07">
      <w:pPr>
        <w:numPr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对任务执行做了 try/catch，单个任务失败不影响调度器主循环，稳定性好。</w:t>
      </w:r>
    </w:p>
    <w:p w14:paraId="4C6D5DF9">
      <w:pPr>
        <w:numPr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任务封装结构（TaskWrapper）清晰，支持延迟/周期扩展。</w:t>
      </w:r>
    </w:p>
    <w:p w14:paraId="222138B7">
      <w:pPr>
        <w:numPr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风险点：</w:t>
      </w:r>
    </w:p>
    <w:p w14:paraId="7294C46A">
      <w:pPr>
        <w:numPr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单例线程安全：TaskEngine::Instance() 目前若是普通 new + 判空，存在并发初始化风险（虽 UI 场景小，但建议修正）。</w:t>
      </w:r>
    </w:p>
    <w:p w14:paraId="7914246F">
      <w:pPr>
        <w:numPr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停止语义：StopEngine() 后队列残留任务如何处理需要明确（清空/执行完/直接退出），建议加注释或做状态机。</w:t>
      </w:r>
    </w:p>
    <w:p w14:paraId="19F3EA98">
      <w:pPr>
        <w:numPr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日志路径：日志文件相对路径可能受工作目录影响，建议固定到可写目录或允许配置。</w:t>
      </w:r>
    </w:p>
    <w:p w14:paraId="4F0C2E52">
      <w:pPr>
        <w:numPr>
          <w:numId w:val="0"/>
        </w:numPr>
        <w:ind w:firstLine="420" w:firstLineChars="0"/>
        <w:rPr>
          <w:rFonts w:hint="default"/>
          <w:lang w:val="en-US" w:eastAsia="zh-CN"/>
        </w:rPr>
      </w:pPr>
      <w:bookmarkStart w:id="0" w:name="_GoBack"/>
      <w:bookmarkEnd w:id="0"/>
    </w:p>
    <w:p w14:paraId="5235741D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佟元森：</w:t>
      </w:r>
    </w:p>
    <w:p w14:paraId="7EC62BCD">
      <w:pPr>
        <w:numPr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优点：</w:t>
      </w:r>
    </w:p>
    <w:p w14:paraId="11C862DF">
      <w:pPr>
        <w:numPr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UI 与核心逻辑解耦较好：通过 IMessageReceiver + PostMessage 更新控件，符合 MFC 线程模型。</w:t>
      </w:r>
    </w:p>
    <w:p w14:paraId="0A5CA0D8">
      <w:pPr>
        <w:numPr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监控 ListBox + 结果静态文本的反馈直观，便于演示任务执行状态与结果。</w:t>
      </w:r>
    </w:p>
    <w:p w14:paraId="7957F7DC">
      <w:pPr>
        <w:numPr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“死锁演示 vs 防死锁”对比明确，能体现 RAII 的价值。</w:t>
      </w:r>
    </w:p>
    <w:p w14:paraId="745E52D5">
      <w:pPr>
        <w:numPr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风险点：</w:t>
      </w:r>
    </w:p>
    <w:p w14:paraId="4F3C8DC4">
      <w:pPr>
        <w:numPr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内存管理：PostMessage 传递 new std::string 的方式若某些路径未处理消息可能泄漏，建议用 std::shared_ptr + 自定义封装或统一队列。</w:t>
      </w:r>
    </w:p>
    <w:p w14:paraId="1084ECC5">
      <w:pPr>
        <w:numPr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UI 线程弹窗：提醒任务若在后台线程直接 MessageBox，在复杂场景可能导致 UI 卡顿/焦点异常，建议改为 UI 线程弹窗。</w:t>
      </w:r>
    </w:p>
    <w:p w14:paraId="3507241F">
      <w:pPr>
        <w:numPr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死锁演示严谨性：当前更像“锁泄漏导致的永久等待”，建议补充经典“交叉加锁”双线程死锁版本，效果更标准。</w:t>
      </w:r>
    </w:p>
    <w:p w14:paraId="641BEB03">
      <w:pPr>
        <w:pStyle w:val="3"/>
      </w:pPr>
      <w:r>
        <w:t>参考文献</w:t>
      </w:r>
    </w:p>
    <w:p w14:paraId="777FC664">
      <w:pPr>
        <w:ind w:firstLine="420" w:firstLineChars="0"/>
      </w:pPr>
      <w:r>
        <w:t>[1] UNESCO.</w:t>
      </w:r>
      <w:r>
        <w:rPr>
          <w:rStyle w:val="7"/>
        </w:rPr>
        <w:t>Recommendation on the Ethics of Artificial Intelligence</w:t>
      </w:r>
      <w:r>
        <w:t>. United Nations Educational, Scientific and Cultural Organization, 2021.</w:t>
      </w:r>
    </w:p>
    <w:p w14:paraId="08987BF5">
      <w:pPr>
        <w:ind w:firstLine="420" w:firstLineChars="0"/>
      </w:pPr>
      <w:r>
        <w:t>[2] ACM.</w:t>
      </w:r>
      <w:r>
        <w:rPr>
          <w:rStyle w:val="7"/>
        </w:rPr>
        <w:t>ACM Code of Ethics and Professional Conduct</w:t>
      </w:r>
      <w:r>
        <w:t>. Association for Computing Machinery, 2018.</w:t>
      </w:r>
    </w:p>
    <w:p w14:paraId="1301E7CD">
      <w:pPr>
        <w:ind w:firstLine="420" w:firstLineChars="0"/>
      </w:pPr>
      <w:r>
        <w:t>[3] NIST.</w:t>
      </w:r>
      <w:r>
        <w:rPr>
          <w:rStyle w:val="7"/>
        </w:rPr>
        <w:t>AI Risk Management Framework (AI RMF 1.0)</w:t>
      </w:r>
      <w:r>
        <w:t>. National Institute of Standards and Technology, 2023.</w:t>
      </w:r>
    </w:p>
    <w:p w14:paraId="492AB89F"/>
    <w:p w14:paraId="39766744"/>
    <w:p w14:paraId="028FF99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组员签名：</w:t>
      </w:r>
    </w:p>
    <w:p w14:paraId="371E2277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drawing>
          <wp:inline distT="0" distB="0" distL="114300" distR="114300">
            <wp:extent cx="5058410" cy="1426210"/>
            <wp:effectExtent l="0" t="0" r="8890" b="8890"/>
            <wp:docPr id="1" name="图片 1" descr="电子签名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电子签名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58410" cy="1426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07F11">
      <w:pPr>
        <w:rPr>
          <w:rFonts w:hint="default" w:eastAsiaTheme="minorEastAsia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D7D7A9D"/>
    <w:multiLevelType w:val="singleLevel"/>
    <w:tmpl w:val="AD7D7A9D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">
    <w:nsid w:val="6F4E8D59"/>
    <w:multiLevelType w:val="singleLevel"/>
    <w:tmpl w:val="6F4E8D59"/>
    <w:lvl w:ilvl="0" w:tentative="0">
      <w:start w:val="6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B041D6"/>
    <w:rsid w:val="0F203D7D"/>
    <w:rsid w:val="14C27CE9"/>
    <w:rsid w:val="1B3C4D2B"/>
    <w:rsid w:val="33526F25"/>
    <w:rsid w:val="48C77E38"/>
    <w:rsid w:val="6A4946F9"/>
    <w:rsid w:val="7B7E59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Emphasis"/>
    <w:basedOn w:val="6"/>
    <w:qFormat/>
    <w:uiPriority w:val="0"/>
    <w:rPr>
      <w:i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2058</Words>
  <Characters>2536</Characters>
  <Lines>0</Lines>
  <Paragraphs>0</Paragraphs>
  <TotalTime>40</TotalTime>
  <ScaleCrop>false</ScaleCrop>
  <LinksUpToDate>false</LinksUpToDate>
  <CharactersWithSpaces>2665</CharactersWithSpaces>
  <Application>WPS Office_12.1.0.24031_F1E327BC-269C-435d-A152-05C5408002CA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2025-12-31T10:33:00Z</dcterms:created>
  <dc:creator>14803</dc:creator>
  <cp:lastModifiedBy>某仁君</cp:lastModifiedBy>
  <dcterms:modified xsi:type="dcterms:W3CDTF">2026-01-02T13:42:50Z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2052-12.1.0.24031</vt:lpwstr>
  </property>
  <property fmtid="{D5CDD505-2E9C-101B-9397-08002B2CF9AE}" pid="3" name="KSOTemplateDocerSaveRecord">
    <vt:lpwstr>eyJoZGlkIjoiNGQ3MjViNTgyMzhjYjRhMzZjMzRhNTE4OTM1YjkxY2YiLCJ1c2VySWQiOiIxMDY2NzY4Mjc3In0=</vt:lpwstr>
  </property>
  <property fmtid="{D5CDD505-2E9C-101B-9397-08002B2CF9AE}" pid="4" name="ICV">
    <vt:lpwstr>785BAEF2C9174A67B240DACBB39CB8F2_12</vt:lpwstr>
  </property>
</Properties>
</file>