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838"/>
      </w:tblGrid>
      <w:tr>
        <w:tc>
          <w:tcPr>
            <w:tcW w:type="dxa" w:w="8640"/>
            <w:shd w:val="clear" w:color="auto" w:fill="4b319b"/>
          </w:tcPr>
          <w:p>
            <w:pPr>
              <w:spacing w:before="600" w:after="120"/>
              <w:jc w:val="center"/>
            </w:pPr>
            <w:r>
              <w:rPr>
                <w:rFonts w:ascii="Calibri" w:hAnsi="Calibri"/>
                <w:b/>
                <w:color w:val="A176F4"/>
                <w:sz w:val="20"/>
              </w:rPr>
              <w:t>MOURNIVAL GMBH</w:t>
            </w:r>
          </w:p>
          <w:p>
            <w:pPr>
              <w:spacing w:before="40" w:after="80"/>
              <w:jc w:val="center"/>
            </w:pPr>
            <w:r>
              <w:rPr>
                <w:rFonts w:ascii="Calibri" w:hAnsi="Calibri"/>
                <w:b/>
                <w:color w:val="FFFFFF"/>
                <w:sz w:val="44"/>
              </w:rPr>
              <w:t>Kommunikationsstrategie</w:t>
            </w:r>
          </w:p>
          <w:p>
            <w:pPr>
              <w:spacing w:before="80" w:after="80"/>
              <w:jc w:val="center"/>
            </w:pPr>
            <w:r>
              <w:rPr>
                <w:rFonts w:ascii="Calibri" w:hAnsi="Calibri"/>
                <w:b/>
                <w:color w:val="FFFFFF"/>
                <w:sz w:val="56"/>
              </w:rPr>
              <w:t>Beastly Investments</w:t>
            </w:r>
          </w:p>
          <w:p>
            <w:pPr>
              <w:spacing w:before="200" w:after="600"/>
              <w:jc w:val="center"/>
            </w:pPr>
            <w:r>
              <w:rPr>
                <w:rFonts w:ascii="Calibri" w:hAnsi="Calibri"/>
                <w:color w:val="A176F4"/>
                <w:sz w:val="20"/>
              </w:rPr>
              <w:t>Erstellt von DungeonMasterAlex  ·  24. June 2026</w:t>
            </w:r>
          </w:p>
        </w:tc>
      </w:tr>
    </w:tbl>
    <w:p>
      <w:r>
        <w:br w:type="page"/>
      </w:r>
    </w:p>
    <w:p>
      <w:pPr>
        <w:spacing w:before="320" w:after="120"/>
      </w:pPr>
      <w:r>
        <w:rPr>
          <w:rFonts w:ascii="Calibri" w:hAnsi="Calibri"/>
          <w:b/>
          <w:color w:val="4B319B"/>
          <w:sz w:val="32"/>
        </w:rPr>
        <w:t>Inhaltsverzeichnis</w:t>
      </w:r>
    </w:p>
    <w:p>
      <w:pPr>
        <w:pStyle w:val="ListBullet"/>
        <w:spacing w:after="60"/>
      </w:pPr>
      <w:r>
        <w:rPr>
          <w:rFonts w:ascii="Calibri" w:hAnsi="Calibri"/>
          <w:color w:val="444444"/>
          <w:sz w:val="21"/>
        </w:rPr>
        <w:t>1. Ausgangslage</w:t>
      </w:r>
    </w:p>
    <w:p>
      <w:pPr>
        <w:pStyle w:val="ListBullet"/>
        <w:spacing w:after="60"/>
      </w:pPr>
      <w:r>
        <w:rPr>
          <w:rFonts w:ascii="Calibri" w:hAnsi="Calibri"/>
          <w:color w:val="444444"/>
          <w:sz w:val="21"/>
        </w:rPr>
        <w:t>2. Das Ziel</w:t>
      </w:r>
    </w:p>
    <w:p>
      <w:pPr>
        <w:pStyle w:val="ListBullet"/>
        <w:spacing w:after="60"/>
      </w:pPr>
      <w:r>
        <w:rPr>
          <w:rFonts w:ascii="Calibri" w:hAnsi="Calibri"/>
          <w:color w:val="444444"/>
          <w:sz w:val="21"/>
        </w:rPr>
        <w:t>3. Die Zielgruppe</w:t>
      </w:r>
    </w:p>
    <w:p>
      <w:pPr>
        <w:pStyle w:val="ListBullet"/>
        <w:spacing w:after="60"/>
      </w:pPr>
      <w:r>
        <w:rPr>
          <w:rFonts w:ascii="Calibri" w:hAnsi="Calibri"/>
          <w:color w:val="444444"/>
          <w:sz w:val="21"/>
        </w:rPr>
        <w:t>4. Wie kommen wir dahin?</w:t>
      </w:r>
    </w:p>
    <w:p>
      <w:pPr>
        <w:pStyle w:val="ListBullet"/>
        <w:spacing w:after="60"/>
      </w:pPr>
      <w:r>
        <w:rPr>
          <w:rFonts w:ascii="Calibri" w:hAnsi="Calibri"/>
          <w:color w:val="444444"/>
          <w:sz w:val="21"/>
        </w:rPr>
        <w:t>5. Der Funnel</w:t>
      </w:r>
    </w:p>
    <w:p>
      <w:pPr>
        <w:pStyle w:val="ListBullet"/>
        <w:spacing w:after="60"/>
      </w:pPr>
      <w:r>
        <w:rPr>
          <w:rFonts w:ascii="Calibri" w:hAnsi="Calibri"/>
          <w:color w:val="444444"/>
          <w:sz w:val="21"/>
        </w:rPr>
        <w:t>6. Die einzelnen Elemente</w:t>
      </w:r>
    </w:p>
    <w:p>
      <w:pPr>
        <w:pStyle w:val="ListBullet"/>
        <w:spacing w:after="60"/>
      </w:pPr>
      <w:r>
        <w:rPr>
          <w:rFonts w:ascii="Calibri" w:hAnsi="Calibri"/>
          <w:color w:val="444444"/>
          <w:sz w:val="21"/>
        </w:rPr>
        <w:t>7. Fazit &amp; Nächste Schritte</w:t>
      </w:r>
    </w:p>
    <w:p>
      <w:pPr>
        <w:pStyle w:val="ListBullet"/>
        <w:spacing w:after="60"/>
      </w:pPr>
      <w:r>
        <w:rPr>
          <w:rFonts w:ascii="Calibri" w:hAnsi="Calibri"/>
          <w:color w:val="444444"/>
          <w:sz w:val="21"/>
        </w:rPr>
        <w:t>Anhang: PowerPoint-Snippets</w:t>
      </w:r>
    </w:p>
    <w:p>
      <w:pPr>
        <w:spacing w:before="80" w:after="80"/>
        <w:pBdr>
          <w:bottom w:val="single" w:sz="4" w:space="1" w:color="a176f4"/>
        </w:pBdr>
      </w:pPr>
    </w:p>
    <w:p>
      <w:r>
        <w:br w:type="page"/>
      </w:r>
    </w:p>
    <w:p>
      <w:pPr>
        <w:spacing w:before="320" w:after="120"/>
      </w:pPr>
      <w:r>
        <w:rPr>
          <w:rFonts w:ascii="Calibri" w:hAnsi="Calibri"/>
          <w:b/>
          <w:color w:val="4B319B"/>
          <w:sz w:val="32"/>
        </w:rPr>
        <w:t>1. Ausgangslage</w:t>
      </w:r>
    </w:p>
    <w:p>
      <w:pPr>
        <w:spacing w:after="160"/>
      </w:pPr>
      <w:r>
        <w:rPr>
          <w:rFonts w:ascii="Calibri" w:hAnsi="Calibri"/>
          <w:i w:val="0"/>
          <w:color w:val="444444"/>
          <w:sz w:val="21"/>
        </w:rPr>
        <w:t>Beastly Investments ist das erste Investmentprodukt der Chipiron AG — eines Non-Profit Asset Managers im Aufbau, gegründet von Viktor und Lydia Ackermann. Beide bringen akademische Hintergründe in Recht und Wirtschaft mit und haben gemeinsam die FourGive Tierklinik in Marsa Alam/Ägypten aufgebaut. Genau dort entstand die Haltung, aus der Beastly heute wächst, und die Identifikation einer klaren Marktlücke: ein Anlageprodukt, das Tierschutz und Rendite zusammenbringt, ohne in den einen oder anderen Kompromiss zu rutschen.</w:t>
      </w:r>
    </w:p>
    <w:p>
      <w:pPr>
        <w:spacing w:after="160"/>
      </w:pPr>
      <w:r>
        <w:rPr>
          <w:rFonts w:ascii="Calibri" w:hAnsi="Calibri"/>
          <w:i w:val="0"/>
          <w:color w:val="444444"/>
          <w:sz w:val="21"/>
        </w:rPr>
        <w:t>Das Produkt steht: ein Animal Cruelty Free Portfolio, bei dem eine KI börsennotierte Unternehmen nach tierschützenden Kriterien bewertet. Die Struktur ist konsequent durchdacht — 20 Prozent der Management Fee fliessen an fünf jährlich ausgewählte Tierschutzprojekte, die Löhne bei Chipiron sind gecappt, es gibt kein Bonus-System, und sämtliche operativen Gewinne gehen an Tierschutzprojekte. Was fehlt, ist die kommunikative Übersetzung dieser Substanz in eine Marke, die Menschen emotional abholt und Investoren rational überzeugt. Aktuell existieren noch keine aktiven Kanäle — wir bauen von Grund auf, aber auf einem aussergewöhnlich soliden Fundament.</w:t>
      </w:r>
    </w:p>
    <w:p>
      <w:pPr>
        <w:spacing w:before="80" w:after="80"/>
        <w:pBdr>
          <w:bottom w:val="single" w:sz="4" w:space="1" w:color="a176f4"/>
        </w:pBdr>
      </w:pPr>
    </w:p>
    <w:p>
      <w:pPr>
        <w:spacing w:before="320" w:after="120"/>
      </w:pPr>
      <w:r>
        <w:rPr>
          <w:rFonts w:ascii="Calibri" w:hAnsi="Calibri"/>
          <w:b/>
          <w:color w:val="4B319B"/>
          <w:sz w:val="32"/>
        </w:rPr>
        <w:t>2. Das Ziel</w:t>
      </w:r>
    </w:p>
    <w:p>
      <w:pPr>
        <w:spacing w:after="160"/>
      </w:pPr>
      <w:r>
        <w:rPr>
          <w:rFonts w:ascii="Calibri" w:hAnsi="Calibri"/>
          <w:i w:val="0"/>
          <w:color w:val="444444"/>
          <w:sz w:val="21"/>
        </w:rPr>
        <w:t>Beastly soll als eigenständige, glaubwürdige Anlagemarke im DACH-Raum etabliert werden — mit dem klaren Versprechen:</w:t>
      </w:r>
    </w:p>
    <w:p>
      <w:pPr>
        <w:pStyle w:val="ListBullet"/>
        <w:spacing w:after="60"/>
      </w:pPr>
      <w:r>
        <w:rPr>
          <w:rFonts w:ascii="Calibri" w:hAnsi="Calibri"/>
          <w:color w:val="444444"/>
          <w:sz w:val="21"/>
        </w:rPr>
        <w:t>Rendite für Investoren.</w:t>
      </w:r>
    </w:p>
    <w:p>
      <w:pPr>
        <w:pStyle w:val="ListBullet"/>
        <w:spacing w:after="60"/>
      </w:pPr>
      <w:r>
        <w:rPr>
          <w:rFonts w:ascii="Calibri" w:hAnsi="Calibri"/>
          <w:color w:val="444444"/>
          <w:sz w:val="21"/>
        </w:rPr>
        <w:t>Wirkung für Tiere.</w:t>
      </w:r>
    </w:p>
    <w:p>
      <w:pPr>
        <w:pStyle w:val="ListBullet"/>
        <w:spacing w:after="60"/>
      </w:pPr>
      <w:r>
        <w:rPr>
          <w:rFonts w:ascii="Calibri" w:hAnsi="Calibri"/>
          <w:color w:val="444444"/>
          <w:sz w:val="21"/>
        </w:rPr>
        <w:t>Keine Gewinnausschüttung an Eigentümer.</w:t>
      </w:r>
    </w:p>
    <w:p>
      <w:pPr>
        <w:spacing w:after="160"/>
      </w:pPr>
      <w:r>
        <w:rPr>
          <w:rFonts w:ascii="Calibri" w:hAnsi="Calibri"/>
          <w:i w:val="0"/>
          <w:color w:val="444444"/>
          <w:sz w:val="21"/>
        </w:rPr>
        <w:t>Konkret heisst das: messbare Sichtbarkeit im relevanten Finanz- und Tierwohl-Umfeld aufbauen, Vertrauen über radikale Transparenz schaffen und beide Zielgruppen — Retail ab CHF 50 und professionelle Investoren — entlang ihrer jeweiligen Beweistiefe zur Investmententscheidung führen.</w:t>
      </w:r>
    </w:p>
    <w:p>
      <w:pPr>
        <w:spacing w:after="160"/>
      </w:pPr>
      <w:r>
        <w:rPr>
          <w:rFonts w:ascii="Calibri" w:hAnsi="Calibri"/>
          <w:i w:val="0"/>
          <w:color w:val="444444"/>
          <w:sz w:val="21"/>
        </w:rPr>
        <w:t>Geografisch starten wir DACH, später folgt UK. Externe Kommunikation läuft auf Deutsch.</w:t>
      </w:r>
    </w:p>
    <w:p>
      <w:pPr>
        <w:spacing w:before="80" w:after="80"/>
        <w:pBdr>
          <w:bottom w:val="single" w:sz="4" w:space="1" w:color="a176f4"/>
        </w:pBdr>
      </w:pPr>
    </w:p>
    <w:p>
      <w:pPr>
        <w:spacing w:before="320" w:after="120"/>
      </w:pPr>
      <w:r>
        <w:rPr>
          <w:rFonts w:ascii="Calibri" w:hAnsi="Calibri"/>
          <w:b/>
          <w:color w:val="4B319B"/>
          <w:sz w:val="32"/>
        </w:rPr>
        <w:t>3. Die Zielgruppe</w:t>
      </w:r>
    </w:p>
    <w:p>
      <w:pPr>
        <w:spacing w:after="160"/>
      </w:pPr>
      <w:r>
        <w:rPr>
          <w:rFonts w:ascii="Calibri" w:hAnsi="Calibri"/>
          <w:i w:val="0"/>
          <w:color w:val="444444"/>
          <w:sz w:val="21"/>
        </w:rPr>
        <w:t>Wir sprechen zwei Gruppen an, die sich in der Motivation nicht unterscheiden — wohl aber in der Tiefe der Beweisführung.</w:t>
      </w:r>
    </w:p>
    <w:p>
      <w:pPr>
        <w:spacing w:before="200" w:after="120"/>
      </w:pPr>
      <w:r>
        <w:rPr>
          <w:rFonts w:ascii="Calibri" w:hAnsi="Calibri"/>
          <w:b/>
          <w:color w:val="1A1033"/>
          <w:sz w:val="26"/>
        </w:rPr>
        <w:t>Retail-Investoren</w:t>
      </w:r>
    </w:p>
    <w:p>
      <w:pPr>
        <w:pStyle w:val="ListBullet"/>
        <w:spacing w:after="60"/>
      </w:pPr>
      <w:r>
        <w:rPr>
          <w:rFonts w:ascii="Calibri" w:hAnsi="Calibri"/>
          <w:color w:val="444444"/>
          <w:sz w:val="21"/>
        </w:rPr>
        <w:t>Einstieg ab CHF 50</w:t>
      </w:r>
    </w:p>
    <w:p>
      <w:pPr>
        <w:pStyle w:val="ListBullet"/>
        <w:spacing w:after="60"/>
      </w:pPr>
      <w:r>
        <w:rPr>
          <w:rFonts w:ascii="Calibri" w:hAnsi="Calibri"/>
          <w:color w:val="444444"/>
          <w:sz w:val="21"/>
        </w:rPr>
        <w:t>Motivation: Tierwohl, positive Wirkung, Identifikation</w:t>
      </w:r>
    </w:p>
    <w:p>
      <w:pPr>
        <w:pStyle w:val="ListBullet"/>
        <w:spacing w:after="60"/>
      </w:pPr>
      <w:r>
        <w:rPr>
          <w:rFonts w:ascii="Calibri" w:hAnsi="Calibri"/>
          <w:color w:val="444444"/>
          <w:sz w:val="21"/>
        </w:rPr>
        <w:t>Entscheidend: emotionale Geschichte, niedriger Einstieg, gutes Gefühl</w:t>
      </w:r>
    </w:p>
    <w:p>
      <w:pPr>
        <w:spacing w:before="200" w:after="120"/>
      </w:pPr>
      <w:r>
        <w:rPr>
          <w:rFonts w:ascii="Calibri" w:hAnsi="Calibri"/>
          <w:b/>
          <w:color w:val="1A1033"/>
          <w:sz w:val="26"/>
        </w:rPr>
        <w:t>Professionelle Investoren</w:t>
      </w:r>
    </w:p>
    <w:p>
      <w:pPr>
        <w:pStyle w:val="ListBullet"/>
        <w:spacing w:after="60"/>
      </w:pPr>
      <w:r>
        <w:rPr>
          <w:rFonts w:ascii="Calibri" w:hAnsi="Calibri"/>
          <w:color w:val="444444"/>
          <w:sz w:val="21"/>
        </w:rPr>
        <w:t>Gleiche Grundmotivation, aber Beweistiefe nötig</w:t>
      </w:r>
    </w:p>
    <w:p>
      <w:pPr>
        <w:pStyle w:val="ListBullet"/>
        <w:spacing w:after="60"/>
      </w:pPr>
      <w:r>
        <w:rPr>
          <w:rFonts w:ascii="Calibri" w:hAnsi="Calibri"/>
          <w:color w:val="444444"/>
          <w:sz w:val="21"/>
        </w:rPr>
        <w:t>Brauchen: Struktur, Governance, Reporting, Risiko-Rendite-Profil</w:t>
      </w:r>
    </w:p>
    <w:p>
      <w:pPr>
        <w:pStyle w:val="ListBullet"/>
        <w:spacing w:after="60"/>
      </w:pPr>
      <w:r>
        <w:rPr>
          <w:rFonts w:ascii="Calibri" w:hAnsi="Calibri"/>
          <w:color w:val="444444"/>
          <w:sz w:val="21"/>
        </w:rPr>
        <w:t>Kaufen die Haltung erst, wenn die Zahlen und die Mechanik stimmen</w:t>
      </w:r>
    </w:p>
    <w:p>
      <w:pPr>
        <w:spacing w:after="160"/>
      </w:pPr>
      <w:r>
        <w:rPr>
          <w:rFonts w:ascii="Calibri" w:hAnsi="Calibri"/>
          <w:i/>
          <w:color w:val="444444"/>
          <w:sz w:val="21"/>
        </w:rPr>
        <w:t>Für beide gilt dieselbe Entscheidungslogik: Emotion → Vertrauen → Performance → Investmententscheidung.</w:t>
      </w:r>
    </w:p>
    <w:p>
      <w:pPr>
        <w:spacing w:before="80" w:after="80"/>
        <w:pBdr>
          <w:bottom w:val="single" w:sz="4" w:space="1" w:color="a176f4"/>
        </w:pBdr>
      </w:pPr>
    </w:p>
    <w:p>
      <w:pPr>
        <w:spacing w:before="320" w:after="120"/>
      </w:pPr>
      <w:r>
        <w:rPr>
          <w:rFonts w:ascii="Calibri" w:hAnsi="Calibri"/>
          <w:b/>
          <w:color w:val="4B319B"/>
          <w:sz w:val="32"/>
        </w:rPr>
        <w:t>4. Wie kommen wir dahin?</w:t>
      </w:r>
    </w:p>
    <w:p>
      <w:pPr>
        <w:spacing w:after="160"/>
      </w:pPr>
      <w:r>
        <w:rPr>
          <w:rFonts w:ascii="Calibri" w:hAnsi="Calibri"/>
          <w:i w:val="0"/>
          <w:color w:val="444444"/>
          <w:sz w:val="21"/>
        </w:rPr>
        <w:t>Wir bauen Beastly als emotionale Leitmarke auf, die eigenständig führt. Chipiron bleibt als Absender und Glaubwürdigkeitsträger optisch am Rande präsent — ohne die Bühne zu betreten.</w:t>
      </w:r>
    </w:p>
    <w:p>
      <w:pPr>
        <w:spacing w:before="200" w:after="120"/>
      </w:pPr>
      <w:r>
        <w:rPr>
          <w:rFonts w:ascii="Calibri" w:hAnsi="Calibri"/>
          <w:b/>
          <w:color w:val="1A1033"/>
          <w:sz w:val="26"/>
        </w:rPr>
        <w:t>Zwei Bildwelten, immer zusammen</w:t>
      </w:r>
    </w:p>
    <w:p>
      <w:pPr>
        <w:pStyle w:val="ListBullet"/>
        <w:spacing w:after="60"/>
      </w:pPr>
      <w:r>
        <w:rPr>
          <w:rFonts w:ascii="Calibri" w:hAnsi="Calibri"/>
          <w:b/>
          <w:color w:val="444444"/>
          <w:sz w:val="21"/>
        </w:rPr>
        <w:t xml:space="preserve">Investment-Seite: </w:t>
      </w:r>
      <w:r>
        <w:rPr>
          <w:rFonts w:ascii="Calibri" w:hAnsi="Calibri"/>
          <w:color w:val="444444"/>
          <w:sz w:val="21"/>
        </w:rPr>
        <w:t>Starke Tiere / Raubtier-Codes</w:t>
      </w:r>
    </w:p>
    <w:p>
      <w:pPr>
        <w:pStyle w:val="ListBullet"/>
        <w:spacing w:after="60"/>
      </w:pPr>
      <w:r>
        <w:rPr>
          <w:rFonts w:ascii="Calibri" w:hAnsi="Calibri"/>
          <w:b/>
          <w:color w:val="444444"/>
          <w:sz w:val="21"/>
        </w:rPr>
        <w:t xml:space="preserve">Wirkungsseite: </w:t>
      </w:r>
      <w:r>
        <w:rPr>
          <w:rFonts w:ascii="Calibri" w:hAnsi="Calibri"/>
          <w:color w:val="444444"/>
          <w:sz w:val="21"/>
        </w:rPr>
        <w:t>Schützenswerte Tiere / reale Geschichten</w:t>
      </w:r>
    </w:p>
    <w:p>
      <w:pPr>
        <w:spacing w:after="160"/>
      </w:pPr>
      <w:r>
        <w:rPr>
          <w:rFonts w:ascii="Calibri" w:hAnsi="Calibri"/>
          <w:i w:val="0"/>
          <w:color w:val="444444"/>
          <w:sz w:val="21"/>
        </w:rPr>
        <w:t>Wir erzählen immer beide Welten — nie isoliert.</w:t>
      </w:r>
    </w:p>
    <w:p>
      <w:pPr>
        <w:spacing w:before="200" w:after="120"/>
      </w:pPr>
      <w:r>
        <w:rPr>
          <w:rFonts w:ascii="Calibri" w:hAnsi="Calibri"/>
          <w:b/>
          <w:color w:val="1A1033"/>
          <w:sz w:val="26"/>
        </w:rPr>
        <w:t>Haltung ohne Aktivismus</w:t>
      </w:r>
    </w:p>
    <w:p>
      <w:pPr>
        <w:pStyle w:val="ListBullet"/>
        <w:spacing w:after="60"/>
      </w:pPr>
      <w:r>
        <w:rPr>
          <w:rFonts w:ascii="Calibri" w:hAnsi="Calibri"/>
          <w:color w:val="444444"/>
          <w:sz w:val="21"/>
        </w:rPr>
        <w:t>Konsequent, aber nicht belehrend</w:t>
      </w:r>
    </w:p>
    <w:p>
      <w:pPr>
        <w:pStyle w:val="ListBullet"/>
        <w:spacing w:after="60"/>
      </w:pPr>
      <w:r>
        <w:rPr>
          <w:rFonts w:ascii="Calibri" w:hAnsi="Calibri"/>
          <w:color w:val="444444"/>
          <w:sz w:val="21"/>
        </w:rPr>
        <w:t>Mutig, aber nicht laut</w:t>
      </w:r>
    </w:p>
    <w:p>
      <w:pPr>
        <w:pStyle w:val="ListBullet"/>
        <w:spacing w:after="60"/>
      </w:pPr>
      <w:r>
        <w:rPr>
          <w:rFonts w:ascii="Calibri" w:hAnsi="Calibri"/>
          <w:color w:val="444444"/>
          <w:sz w:val="21"/>
        </w:rPr>
        <w:t>Wertebasiert, aber nicht moralisch überheblich</w:t>
      </w:r>
    </w:p>
    <w:p>
      <w:pPr>
        <w:pStyle w:val="ListBullet"/>
        <w:spacing w:after="60"/>
      </w:pPr>
      <w:r>
        <w:rPr>
          <w:rFonts w:ascii="Calibri" w:hAnsi="Calibri"/>
          <w:color w:val="444444"/>
          <w:sz w:val="21"/>
        </w:rPr>
        <w:t>Anders, aber professionell investierbar</w:t>
      </w:r>
    </w:p>
    <w:p>
      <w:pPr>
        <w:spacing w:before="200" w:after="120"/>
      </w:pPr>
      <w:r>
        <w:rPr>
          <w:rFonts w:ascii="Calibri" w:hAnsi="Calibri"/>
          <w:b/>
          <w:color w:val="1A1033"/>
          <w:sz w:val="26"/>
        </w:rPr>
        <w:t>Radikale Transparenz als Differenzierungshebel</w:t>
      </w:r>
    </w:p>
    <w:p>
      <w:pPr>
        <w:spacing w:after="160"/>
      </w:pPr>
      <w:r>
        <w:rPr>
          <w:rFonts w:ascii="Calibri" w:hAnsi="Calibri"/>
          <w:i w:val="0"/>
          <w:color w:val="444444"/>
          <w:sz w:val="21"/>
        </w:rPr>
        <w:t>Gecappte Löhne, sichtbare Mittelverwendung, die fünf Tierschutzprojekte — alles direkt sichtbar, nicht gestaffelt. Das ist kein Beiwerk, das ist der Beweis.</w:t>
      </w:r>
    </w:p>
    <w:p>
      <w:pPr>
        <w:spacing w:before="200" w:after="120"/>
      </w:pPr>
      <w:r>
        <w:rPr>
          <w:rFonts w:ascii="Calibri" w:hAnsi="Calibri"/>
          <w:b/>
          <w:color w:val="1A1033"/>
          <w:sz w:val="26"/>
        </w:rPr>
        <w:t>Personenzentriert</w:t>
      </w:r>
    </w:p>
    <w:p>
      <w:pPr>
        <w:spacing w:after="160"/>
      </w:pPr>
      <w:r>
        <w:rPr>
          <w:rFonts w:ascii="Calibri" w:hAnsi="Calibri"/>
          <w:i w:val="0"/>
          <w:color w:val="444444"/>
          <w:sz w:val="21"/>
        </w:rPr>
        <w:t>Viktor als öffentliche Persönlichkeit, flankiert von Lydia. Persönliche Profile sind in dieser Grösse um ein Vielfaches wirksamer als ein Unternehmensauftritt.</w:t>
      </w:r>
    </w:p>
    <w:p>
      <w:pPr>
        <w:spacing w:before="80" w:after="80"/>
        <w:pBdr>
          <w:bottom w:val="single" w:sz="4" w:space="1" w:color="a176f4"/>
        </w:pBdr>
      </w:pPr>
    </w:p>
    <w:p>
      <w:pPr>
        <w:spacing w:before="320" w:after="120"/>
      </w:pPr>
      <w:r>
        <w:rPr>
          <w:rFonts w:ascii="Calibri" w:hAnsi="Calibri"/>
          <w:b/>
          <w:color w:val="4B319B"/>
          <w:sz w:val="32"/>
        </w:rPr>
        <w:t>5. Der Kommunikationsfunnel</w:t>
      </w:r>
    </w:p>
    <w:p>
      <w:pPr>
        <w:pStyle w:val="ListBullet"/>
        <w:spacing w:after="60"/>
      </w:pPr>
      <w:r>
        <w:rPr>
          <w:rFonts w:ascii="Calibri" w:hAnsi="Calibri"/>
          <w:b/>
          <w:color w:val="444444"/>
          <w:sz w:val="21"/>
        </w:rPr>
        <w:t xml:space="preserve">Aufmerksamkeit: </w:t>
      </w:r>
      <w:r>
        <w:rPr>
          <w:rFonts w:ascii="Calibri" w:hAnsi="Calibri"/>
          <w:color w:val="444444"/>
          <w:sz w:val="21"/>
        </w:rPr>
        <w:t>Viktors Personal Branding auf LinkedIn, Awareness-Ads, organisches Social-Media-Grundrauschen — emotionale Hooks und mutige Haltung, die auffallen.</w:t>
      </w:r>
    </w:p>
    <w:p>
      <w:pPr>
        <w:pStyle w:val="ListBullet"/>
        <w:spacing w:after="60"/>
      </w:pPr>
      <w:r>
        <w:rPr>
          <w:rFonts w:ascii="Calibri" w:hAnsi="Calibri"/>
          <w:b/>
          <w:color w:val="444444"/>
          <w:sz w:val="21"/>
        </w:rPr>
        <w:t xml:space="preserve">Neugier: </w:t>
      </w:r>
      <w:r>
        <w:rPr>
          <w:rFonts w:ascii="Calibri" w:hAnsi="Calibri"/>
          <w:color w:val="444444"/>
          <w:sz w:val="21"/>
        </w:rPr>
        <w:t>Gründerstory rund um FourGive und die ungewöhnliche Kombination aus Raubtier-Codes und Tierschutz.</w:t>
      </w:r>
    </w:p>
    <w:p>
      <w:pPr>
        <w:pStyle w:val="ListBullet"/>
        <w:spacing w:after="60"/>
      </w:pPr>
      <w:r>
        <w:rPr>
          <w:rFonts w:ascii="Calibri" w:hAnsi="Calibri"/>
          <w:b/>
          <w:color w:val="444444"/>
          <w:sz w:val="21"/>
        </w:rPr>
        <w:t xml:space="preserve">Vertrauen: </w:t>
      </w:r>
      <w:r>
        <w:rPr>
          <w:rFonts w:ascii="Calibri" w:hAnsi="Calibri"/>
          <w:color w:val="444444"/>
          <w:sz w:val="21"/>
        </w:rPr>
        <w:t>Website und durchgehende Transparenz — wir zeigen, dass wir nichts verstecken.</w:t>
      </w:r>
    </w:p>
    <w:p>
      <w:pPr>
        <w:pStyle w:val="ListBullet"/>
        <w:spacing w:after="60"/>
      </w:pPr>
      <w:r>
        <w:rPr>
          <w:rFonts w:ascii="Calibri" w:hAnsi="Calibri"/>
          <w:b/>
          <w:color w:val="444444"/>
          <w:sz w:val="21"/>
        </w:rPr>
        <w:t xml:space="preserve">Erklärung: </w:t>
      </w:r>
      <w:r>
        <w:rPr>
          <w:rFonts w:ascii="Calibri" w:hAnsi="Calibri"/>
          <w:color w:val="444444"/>
          <w:sz w:val="21"/>
        </w:rPr>
        <w:t>Beweistiefe für professionelle Investoren: Struktur, Governance, Reporting, KI-basierte Bewertungslogik.</w:t>
      </w:r>
    </w:p>
    <w:p>
      <w:pPr>
        <w:pStyle w:val="ListBullet"/>
        <w:spacing w:after="60"/>
      </w:pPr>
      <w:r>
        <w:rPr>
          <w:rFonts w:ascii="Calibri" w:hAnsi="Calibri"/>
          <w:b/>
          <w:color w:val="444444"/>
          <w:sz w:val="21"/>
        </w:rPr>
        <w:t xml:space="preserve">Entscheidung: </w:t>
      </w:r>
      <w:r>
        <w:rPr>
          <w:rFonts w:ascii="Calibri" w:hAnsi="Calibri"/>
          <w:color w:val="444444"/>
          <w:sz w:val="21"/>
        </w:rPr>
        <w:t>Niedrigschwellig ab CHF 50, über Conversion-Ads und klare Handlungsaufforderung — sobald das Fundament steht.</w:t>
      </w:r>
    </w:p>
    <w:p>
      <w:pPr>
        <w:spacing w:before="80" w:after="80"/>
        <w:pBdr>
          <w:bottom w:val="single" w:sz="4" w:space="1" w:color="a176f4"/>
        </w:pBdr>
      </w:pPr>
    </w:p>
    <w:p>
      <w:pPr>
        <w:spacing w:before="320" w:after="120"/>
      </w:pPr>
      <w:r>
        <w:rPr>
          <w:rFonts w:ascii="Calibri" w:hAnsi="Calibri"/>
          <w:b/>
          <w:color w:val="4B319B"/>
          <w:sz w:val="32"/>
        </w:rPr>
        <w:t>6. Die einzelnen Elemente</w:t>
      </w:r>
    </w:p>
    <w:p>
      <w:pPr>
        <w:spacing w:before="200" w:after="120"/>
      </w:pPr>
      <w:r>
        <w:rPr>
          <w:rFonts w:ascii="Calibri" w:hAnsi="Calibri"/>
          <w:b/>
          <w:color w:val="1A1033"/>
          <w:sz w:val="26"/>
        </w:rPr>
        <w:t>6.1  Logo und Branding (schärfen)</w:t>
      </w:r>
    </w:p>
    <w:p>
      <w:pPr>
        <w:spacing w:after="160"/>
      </w:pPr>
      <w:r>
        <w:rPr>
          <w:rFonts w:ascii="Calibri" w:hAnsi="Calibri"/>
          <w:i w:val="0"/>
          <w:color w:val="444444"/>
          <w:sz w:val="21"/>
        </w:rPr>
        <w:t>Das Branding-System steht: DM Sans als Schrift, Deep Strategic Navy (#142233) als Hauptfarbe, ergänzt durch Impact Clay (#BD5435) und Soft Neutral Ivory (#F7EFE0) plus definierte Secondary-Palette (8 Farben). Drei Logo-Varianten (Primary/Vertical/Logomark). Markenarchitektur: Beastly führt eigenständig, Chipiron erscheint nur als Logo am Rande. Der Designer fordert die Farbpalette im Website-Mockup separat heraus, um die Bildsprache aus starken und schützenswerten Tieren visuell scharf zu ziehen.</w:t>
      </w:r>
    </w:p>
    <w:p>
      <w:pPr>
        <w:spacing w:before="200" w:after="120"/>
      </w:pPr>
      <w:r>
        <w:rPr>
          <w:rFonts w:ascii="Calibri" w:hAnsi="Calibri"/>
          <w:b/>
          <w:color w:val="1A1033"/>
          <w:sz w:val="26"/>
        </w:rPr>
        <w:t>6.2  Repräsentationsmaterial / Sales-Desk (emotionalisieren)</w:t>
      </w:r>
    </w:p>
    <w:p>
      <w:pPr>
        <w:spacing w:after="160"/>
      </w:pPr>
      <w:r>
        <w:rPr>
          <w:rFonts w:ascii="Calibri" w:hAnsi="Calibri"/>
          <w:i w:val="0"/>
          <w:color w:val="444444"/>
          <w:sz w:val="21"/>
        </w:rPr>
        <w:t>Im Zentrum steht ein emotionales Pitch Deck, das faktisch abholt und gleichzeitig berührt. Viktor und Lydia führen die Verkaufsgespräche direkt — ein eigenständiges Leave-Behind ist nicht nötig. Das Deck muss die Entscheidungslogik Emotion → Vertrauen → Performance dramaturgisch abbilden.</w:t>
      </w:r>
    </w:p>
    <w:p>
      <w:pPr>
        <w:spacing w:before="200" w:after="120"/>
      </w:pPr>
      <w:r>
        <w:rPr>
          <w:rFonts w:ascii="Calibri" w:hAnsi="Calibri"/>
          <w:b/>
          <w:color w:val="1A1033"/>
          <w:sz w:val="26"/>
        </w:rPr>
        <w:t>6.3  Webseite (überarbeiten)</w:t>
      </w:r>
    </w:p>
    <w:p>
      <w:pPr>
        <w:spacing w:after="160"/>
      </w:pPr>
      <w:r>
        <w:rPr>
          <w:rFonts w:ascii="Calibri" w:hAnsi="Calibri"/>
          <w:i w:val="0"/>
          <w:color w:val="444444"/>
          <w:sz w:val="21"/>
        </w:rPr>
        <w:t>Die Website ist ein Vertrauensschritt im Funnel — sie muss nicht allein konvertieren. Design und Inhalte werden näher an die Werte gebracht. Die volle Transparenz (gecappte Löhne, Mittelverwendung, die fünf Tierschutzprojekte) wird direkt sichtbar gemacht — nicht gestaffelt, als bewusstes Differenzierungsmerkmal.</w:t>
      </w:r>
    </w:p>
    <w:p>
      <w:pPr>
        <w:spacing w:before="200" w:after="120"/>
      </w:pPr>
      <w:r>
        <w:rPr>
          <w:rFonts w:ascii="Calibri" w:hAnsi="Calibri"/>
          <w:b/>
          <w:color w:val="1A1033"/>
          <w:sz w:val="26"/>
        </w:rPr>
        <w:t>6.4  Personal Branding — Viktor Ackermann (neu)</w:t>
      </w:r>
    </w:p>
    <w:p>
      <w:pPr>
        <w:spacing w:after="160"/>
      </w:pPr>
      <w:r>
        <w:rPr>
          <w:rFonts w:ascii="Calibri" w:hAnsi="Calibri"/>
          <w:i w:val="0"/>
          <w:color w:val="444444"/>
          <w:sz w:val="21"/>
        </w:rPr>
        <w:t>Viktor baut ein LinkedIn-Profil als öffentliche Persönlichkeit auf: Aufmerksamkeit generieren und Vertrauen aufbauen. Lydia flankiert, Viktor ist der Hauptakteur. Persönliche Profile sind in dieser Grösse und Branche um ein Vielfaches wirksamer als Markenprofile — das ist der wichtigste Reichweiten- und Vertrauensmotor der gesamten Strategie.</w:t>
      </w:r>
    </w:p>
    <w:p>
      <w:pPr>
        <w:spacing w:before="200" w:after="120"/>
      </w:pPr>
      <w:r>
        <w:rPr>
          <w:rFonts w:ascii="Calibri" w:hAnsi="Calibri"/>
          <w:b/>
          <w:color w:val="1A1033"/>
          <w:sz w:val="26"/>
        </w:rPr>
        <w:t>6.5  Partnerschaften / FourGive (neu)</w:t>
      </w:r>
    </w:p>
    <w:p>
      <w:pPr>
        <w:spacing w:after="160"/>
      </w:pPr>
      <w:r>
        <w:rPr>
          <w:rFonts w:ascii="Calibri" w:hAnsi="Calibri"/>
          <w:i w:val="0"/>
          <w:color w:val="444444"/>
          <w:sz w:val="21"/>
        </w:rPr>
        <w:t>FourGive dient als Glaubwürdigkeitsbeweis innerhalb von Beastly und als prägender Bestandteil der Gründerstory von Viktor und Lydia. Es wird nicht als eigener Kanal bespielt (das wäre ein späterer Schritt). FourGive ist eines der fünf Tierschutzprojekte 2026, da Projekte jedoch jährlich wechseln, kommunizieren wir es nicht als feste Partnerschaft. Es darf nicht instrumentalisiert werden.</w:t>
      </w:r>
    </w:p>
    <w:p>
      <w:pPr>
        <w:spacing w:before="200" w:after="120"/>
      </w:pPr>
      <w:r>
        <w:rPr>
          <w:rFonts w:ascii="Calibri" w:hAnsi="Calibri"/>
          <w:b/>
          <w:color w:val="1A1033"/>
          <w:sz w:val="26"/>
        </w:rPr>
        <w:t>6.6  Social Media Posting (neu)</w:t>
      </w:r>
    </w:p>
    <w:p>
      <w:pPr>
        <w:spacing w:after="160"/>
      </w:pPr>
      <w:r>
        <w:rPr>
          <w:rFonts w:ascii="Calibri" w:hAnsi="Calibri"/>
          <w:i w:val="0"/>
          <w:color w:val="444444"/>
          <w:sz w:val="21"/>
        </w:rPr>
        <w:t>Drei Kanäle, unterschiedliche Schwerpunkte — immer beide Botschaften (Investieren UND Tierwohl):</w:t>
      </w:r>
    </w:p>
    <w:p>
      <w:pPr>
        <w:pStyle w:val="ListBullet"/>
        <w:spacing w:after="60"/>
      </w:pPr>
      <w:r>
        <w:rPr>
          <w:rFonts w:ascii="Calibri" w:hAnsi="Calibri"/>
          <w:color w:val="444444"/>
          <w:sz w:val="21"/>
        </w:rPr>
        <w:t>LinkedIn (Hauptempfehlung): professionell und nahbar</w:t>
      </w:r>
    </w:p>
    <w:p>
      <w:pPr>
        <w:pStyle w:val="ListBullet"/>
        <w:spacing w:after="60"/>
      </w:pPr>
      <w:r>
        <w:rPr>
          <w:rFonts w:ascii="Calibri" w:hAnsi="Calibri"/>
          <w:color w:val="444444"/>
          <w:sz w:val="21"/>
        </w:rPr>
        <w:t>TikTok (strategische Option): Persönlichkeit und Gesichter</w:t>
      </w:r>
    </w:p>
    <w:p>
      <w:pPr>
        <w:pStyle w:val="ListBullet"/>
        <w:spacing w:after="60"/>
      </w:pPr>
      <w:r>
        <w:rPr>
          <w:rFonts w:ascii="Calibri" w:hAnsi="Calibri"/>
          <w:color w:val="444444"/>
          <w:sz w:val="21"/>
        </w:rPr>
        <w:t>Instagram/Meta (strategische Option): Schwerpunkt Tierschutz und Emotion</w:t>
      </w:r>
    </w:p>
    <w:p>
      <w:pPr>
        <w:spacing w:before="200" w:after="120"/>
      </w:pPr>
      <w:r>
        <w:rPr>
          <w:rFonts w:ascii="Calibri" w:hAnsi="Calibri"/>
          <w:b/>
          <w:color w:val="1A1033"/>
          <w:sz w:val="26"/>
        </w:rPr>
        <w:t>6.7  Events (neu)</w:t>
      </w:r>
    </w:p>
    <w:p>
      <w:pPr>
        <w:spacing w:after="160"/>
      </w:pPr>
      <w:r>
        <w:rPr>
          <w:rFonts w:ascii="Calibri" w:hAnsi="Calibri"/>
          <w:i w:val="0"/>
          <w:color w:val="444444"/>
          <w:sz w:val="21"/>
        </w:rPr>
        <w:t>Der Swiss Funds Anlass von Norbert Bernhard am 16.09.2026 (mit Simonetta Sommaruga) ist eine Auftrittschance — nicht Beastlys eigener Anlass. Beastly zeigt sich, steht aber nicht im Mittelpunkt. Strategisches Ziel: Präsenz, Networking und erste Sichtbarkeit im relevanten Umfeld.</w:t>
      </w:r>
    </w:p>
    <w:p>
      <w:pPr>
        <w:spacing w:before="200" w:after="120"/>
      </w:pPr>
      <w:r>
        <w:rPr>
          <w:rFonts w:ascii="Calibri" w:hAnsi="Calibri"/>
          <w:b/>
          <w:color w:val="1A1033"/>
          <w:sz w:val="26"/>
        </w:rPr>
        <w:t>6.8  Social Media Ads (neu)</w:t>
      </w:r>
    </w:p>
    <w:p>
      <w:pPr>
        <w:spacing w:after="160"/>
      </w:pPr>
      <w:r>
        <w:rPr>
          <w:rFonts w:ascii="Calibri" w:hAnsi="Calibri"/>
          <w:i w:val="0"/>
          <w:color w:val="444444"/>
          <w:sz w:val="21"/>
        </w:rPr>
        <w:t>Zwei Phasen: Zuerst Reichweite und Awareness (Grundrauschen aufbauen), dann Conversion (ab CHF 50), sobald das Fundament steht. Primär LinkedIn-ausgerichtet, dem organischen Setup folgend: Meta für den emotionalen Tierwohl-Hook, LinkedIn für die professionelle Beweisführung.</w:t>
      </w:r>
    </w:p>
    <w:p>
      <w:pPr>
        <w:spacing w:before="80" w:after="80"/>
        <w:pBdr>
          <w:bottom w:val="single" w:sz="4" w:space="1" w:color="a176f4"/>
        </w:pBdr>
      </w:pPr>
    </w:p>
    <w:p>
      <w:pPr>
        <w:spacing w:before="320" w:after="120"/>
      </w:pPr>
      <w:r>
        <w:rPr>
          <w:rFonts w:ascii="Calibri" w:hAnsi="Calibri"/>
          <w:b/>
          <w:color w:val="4B319B"/>
          <w:sz w:val="32"/>
        </w:rPr>
        <w:t>7. Fazit &amp; Nächste Schritte</w:t>
      </w:r>
    </w:p>
    <w:p>
      <w:pPr>
        <w:spacing w:after="160"/>
      </w:pPr>
      <w:r>
        <w:rPr>
          <w:rFonts w:ascii="Calibri" w:hAnsi="Calibri"/>
          <w:i w:val="0"/>
          <w:color w:val="444444"/>
          <w:sz w:val="21"/>
        </w:rPr>
        <w:t>Die Elemente greifen sauber ineinander: Viktors Personal Branding und die Awareness-Ads erzeugen Aufmerksamkeit, das organische Social-Media-Setup hält das Grundrauschen, die Website fängt die Neugier auf und baut über Transparenz Vertrauen auf, das Pitch Deck und die Beweisführung schliessen für professionelle Investoren ab, und die Conversion-Ads machen den Einstieg ab CHF 50 möglich. Alles ist personenzentriert verankert und folgt durchgängig der Logik Emotion → Vertrauen → Performance.</w:t>
      </w:r>
    </w:p>
    <w:p>
      <w:pPr>
        <w:spacing w:before="200" w:after="120"/>
      </w:pPr>
      <w:r>
        <w:rPr>
          <w:rFonts w:ascii="Calibri" w:hAnsi="Calibri"/>
          <w:b/>
          <w:color w:val="1A1033"/>
          <w:sz w:val="26"/>
        </w:rPr>
        <w:t>Offene Punkte</w:t>
      </w:r>
    </w:p>
    <w:p>
      <w:pPr>
        <w:pStyle w:val="ListBullet"/>
        <w:spacing w:after="60"/>
      </w:pPr>
      <w:r>
        <w:rPr>
          <w:rFonts w:ascii="Calibri" w:hAnsi="Calibri"/>
          <w:color w:val="444444"/>
          <w:sz w:val="21"/>
        </w:rPr>
        <w:t>Rendite- und Risikostruktur für die Beweisführung der professionellen Zielgruppe</w:t>
      </w:r>
    </w:p>
    <w:p>
      <w:pPr>
        <w:pStyle w:val="ListBullet"/>
        <w:spacing w:after="60"/>
      </w:pPr>
      <w:r>
        <w:rPr>
          <w:rFonts w:ascii="Calibri" w:hAnsi="Calibri"/>
          <w:color w:val="444444"/>
          <w:sz w:val="21"/>
        </w:rPr>
        <w:t>Finale Kanalwahl: LinkedIn ist gesetzt, TikTok und Instagram je nach Ressourcen priorisieren</w:t>
      </w:r>
    </w:p>
    <w:p>
      <w:pPr>
        <w:pStyle w:val="ListBullet"/>
        <w:spacing w:after="60"/>
      </w:pPr>
      <w:r>
        <w:rPr>
          <w:rFonts w:ascii="Calibri" w:hAnsi="Calibri"/>
          <w:color w:val="444444"/>
          <w:sz w:val="21"/>
        </w:rPr>
        <w:t>Reporting-Format für Transparenzkommunikation (Mittelverwendung, Projekt-Updates) als Content-Anker</w:t>
      </w:r>
    </w:p>
    <w:p>
      <w:pPr>
        <w:pStyle w:val="ListBullet"/>
        <w:spacing w:after="60"/>
      </w:pPr>
      <w:r>
        <w:rPr>
          <w:rFonts w:ascii="Calibri" w:hAnsi="Calibri"/>
          <w:color w:val="444444"/>
          <w:sz w:val="21"/>
        </w:rPr>
        <w:t>Schlagzahl Viktors LinkedIn-Profil und Verantwortung Content-Produktion</w:t>
      </w:r>
    </w:p>
    <w:p>
      <w:pPr>
        <w:spacing w:before="200" w:after="120"/>
      </w:pPr>
      <w:r>
        <w:rPr>
          <w:rFonts w:ascii="Calibri" w:hAnsi="Calibri"/>
          <w:b/>
          <w:color w:val="1A1033"/>
          <w:sz w:val="26"/>
        </w:rPr>
        <w:t>Nächste Schritte</w:t>
      </w:r>
    </w:p>
    <w:p>
      <w:pPr>
        <w:pStyle w:val="ListBullet"/>
        <w:spacing w:after="60"/>
      </w:pPr>
      <w:r>
        <w:rPr>
          <w:rFonts w:ascii="Calibri" w:hAnsi="Calibri"/>
          <w:color w:val="444444"/>
          <w:sz w:val="21"/>
        </w:rPr>
        <w:t>Website-Mockup beim Designer anstossen — Farbpalette herausfordern, Transparenz direkt sichtbar machen</w:t>
      </w:r>
    </w:p>
    <w:p>
      <w:pPr>
        <w:pStyle w:val="ListBullet"/>
        <w:spacing w:after="60"/>
      </w:pPr>
      <w:r>
        <w:rPr>
          <w:rFonts w:ascii="Calibri" w:hAnsi="Calibri"/>
          <w:color w:val="444444"/>
          <w:sz w:val="21"/>
        </w:rPr>
        <w:t>Viktors LinkedIn-Profil aufsetzen und Content-Plan für die ersten 8–12 Wochen definieren</w:t>
      </w:r>
    </w:p>
    <w:p>
      <w:pPr>
        <w:pStyle w:val="ListBullet"/>
        <w:spacing w:after="60"/>
      </w:pPr>
      <w:r>
        <w:rPr>
          <w:rFonts w:ascii="Calibri" w:hAnsi="Calibri"/>
          <w:color w:val="444444"/>
          <w:sz w:val="21"/>
        </w:rPr>
        <w:t>Emotionales Pitch Deck konzipieren — Dramaturgie entlang Emotion → Vertrauen → Performance</w:t>
      </w:r>
    </w:p>
    <w:p>
      <w:pPr>
        <w:pStyle w:val="ListBullet"/>
        <w:spacing w:after="60"/>
      </w:pPr>
      <w:r>
        <w:rPr>
          <w:rFonts w:ascii="Calibri" w:hAnsi="Calibri"/>
          <w:color w:val="444444"/>
          <w:sz w:val="21"/>
        </w:rPr>
        <w:t>Rendite-/Risikostruktur und Reporting-Format mit Viktor &amp; Lydia klären</w:t>
      </w:r>
    </w:p>
    <w:p>
      <w:pPr>
        <w:pStyle w:val="ListBullet"/>
        <w:spacing w:after="60"/>
      </w:pPr>
      <w:r>
        <w:rPr>
          <w:rFonts w:ascii="Calibri" w:hAnsi="Calibri"/>
          <w:color w:val="444444"/>
          <w:sz w:val="21"/>
        </w:rPr>
        <w:t>Organisches Social-Media-Setup starten — LinkedIn priorisiert, TikTok/Meta bewerten</w:t>
      </w:r>
    </w:p>
    <w:p>
      <w:pPr>
        <w:pStyle w:val="ListBullet"/>
        <w:spacing w:after="60"/>
      </w:pPr>
      <w:r>
        <w:rPr>
          <w:rFonts w:ascii="Calibri" w:hAnsi="Calibri"/>
          <w:color w:val="444444"/>
          <w:sz w:val="21"/>
        </w:rPr>
        <w:t>Auftritt am Swiss Funds Anlass (16.09.2026) vorbereiten — Networking-Ziele und Materialien definieren</w:t>
      </w:r>
    </w:p>
    <w:p>
      <w:pPr>
        <w:pStyle w:val="ListBullet"/>
        <w:spacing w:after="60"/>
      </w:pPr>
      <w:r>
        <w:rPr>
          <w:rFonts w:ascii="Calibri" w:hAnsi="Calibri"/>
          <w:color w:val="444444"/>
          <w:sz w:val="21"/>
        </w:rPr>
        <w:t>Ads Phase 1 (Awareness) planen, Conversion-Phase als Folgeschritt vormerken</w:t>
      </w:r>
    </w:p>
    <w:p>
      <w:r>
        <w:br w:type="page"/>
      </w:r>
    </w:p>
    <w:p>
      <w:pPr>
        <w:spacing w:before="320" w:after="120"/>
      </w:pPr>
      <w:r>
        <w:rPr>
          <w:rFonts w:ascii="Calibri" w:hAnsi="Calibri"/>
          <w:b/>
          <w:color w:val="4B319B"/>
          <w:sz w:val="32"/>
        </w:rPr>
        <w:t>Anhang: PowerPoint-Snippets</w:t>
      </w:r>
    </w:p>
    <w:p>
      <w:pPr>
        <w:spacing w:after="160"/>
      </w:pPr>
      <w:r>
        <w:rPr>
          <w:rFonts w:ascii="Calibri" w:hAnsi="Calibri"/>
          <w:i/>
          <w:color w:val="444444"/>
          <w:sz w:val="21"/>
        </w:rPr>
        <w:t>Folgende Folien-Inhalte können direkt in ein Präsentations-Deck übertragen werden.</w:t>
      </w:r>
    </w:p>
    <w:p>
      <w:pPr>
        <w:spacing w:before="200" w:after="120"/>
      </w:pPr>
      <w:r>
        <w:rPr>
          <w:rFonts w:ascii="Calibri" w:hAnsi="Calibri"/>
          <w:b/>
          <w:color w:val="1A1033"/>
          <w:sz w:val="26"/>
        </w:rPr>
        <w:t>Folie 1 — Ausgangslage</w:t>
      </w:r>
    </w:p>
    <w:p>
      <w:pPr>
        <w:pStyle w:val="ListBullet"/>
        <w:spacing w:after="60"/>
      </w:pPr>
      <w:r>
        <w:rPr>
          <w:rFonts w:ascii="Calibri" w:hAnsi="Calibri"/>
          <w:color w:val="444444"/>
          <w:sz w:val="21"/>
        </w:rPr>
        <w:t>Beastly = erstes Produkt der Non-Profit Chipiron AG</w:t>
      </w:r>
    </w:p>
    <w:p>
      <w:pPr>
        <w:pStyle w:val="ListBullet"/>
        <w:spacing w:after="60"/>
      </w:pPr>
      <w:r>
        <w:rPr>
          <w:rFonts w:ascii="Calibri" w:hAnsi="Calibri"/>
          <w:color w:val="444444"/>
          <w:sz w:val="21"/>
        </w:rPr>
        <w:t>Gegründet von Viktor &amp; Lydia Ackermann, geprägt durch FourGive Tierklinik</w:t>
      </w:r>
    </w:p>
    <w:p>
      <w:pPr>
        <w:pStyle w:val="ListBullet"/>
        <w:spacing w:after="60"/>
      </w:pPr>
      <w:r>
        <w:rPr>
          <w:rFonts w:ascii="Calibri" w:hAnsi="Calibri"/>
          <w:color w:val="444444"/>
          <w:sz w:val="21"/>
        </w:rPr>
        <w:t>Animal Cruelty Free Portfolio, KI-basierte Bewertung</w:t>
      </w:r>
    </w:p>
    <w:p>
      <w:pPr>
        <w:pStyle w:val="ListBullet"/>
        <w:spacing w:after="60"/>
      </w:pPr>
      <w:r>
        <w:rPr>
          <w:rFonts w:ascii="Calibri" w:hAnsi="Calibri"/>
          <w:color w:val="444444"/>
          <w:sz w:val="21"/>
        </w:rPr>
        <w:t>Starke Substanz: gecappte Löhne, kein Bonus-System, Gewinne → Tierschutz</w:t>
      </w:r>
    </w:p>
    <w:p>
      <w:pPr>
        <w:pStyle w:val="ListBullet"/>
        <w:spacing w:after="60"/>
      </w:pPr>
      <w:r>
        <w:rPr>
          <w:rFonts w:ascii="Calibri" w:hAnsi="Calibri"/>
          <w:color w:val="444444"/>
          <w:sz w:val="21"/>
        </w:rPr>
        <w:t>Noch keine aktiven Kanäle — Aufbau von Grund auf</w:t>
      </w:r>
    </w:p>
    <w:p/>
    <w:p>
      <w:pPr>
        <w:spacing w:before="200" w:after="120"/>
      </w:pPr>
      <w:r>
        <w:rPr>
          <w:rFonts w:ascii="Calibri" w:hAnsi="Calibri"/>
          <w:b/>
          <w:color w:val="1A1033"/>
          <w:sz w:val="26"/>
        </w:rPr>
        <w:t>Folie 2 — Das Ziel</w:t>
      </w:r>
    </w:p>
    <w:p>
      <w:pPr>
        <w:pStyle w:val="ListBullet"/>
        <w:spacing w:after="60"/>
      </w:pPr>
      <w:r>
        <w:rPr>
          <w:rFonts w:ascii="Calibri" w:hAnsi="Calibri"/>
          <w:color w:val="444444"/>
          <w:sz w:val="21"/>
        </w:rPr>
        <w:t>Beastly als eigenständige, glaubwürdige Anlagemarke etablieren</w:t>
      </w:r>
    </w:p>
    <w:p>
      <w:pPr>
        <w:pStyle w:val="ListBullet"/>
        <w:spacing w:after="60"/>
      </w:pPr>
      <w:r>
        <w:rPr>
          <w:rFonts w:ascii="Calibri" w:hAnsi="Calibri"/>
          <w:color w:val="444444"/>
          <w:sz w:val="21"/>
        </w:rPr>
        <w:t>Versprechen: Rendite für Investoren · Wirkung für Tiere · Keine Gewinnausschüttung</w:t>
      </w:r>
    </w:p>
    <w:p>
      <w:pPr>
        <w:pStyle w:val="ListBullet"/>
        <w:spacing w:after="60"/>
      </w:pPr>
      <w:r>
        <w:rPr>
          <w:rFonts w:ascii="Calibri" w:hAnsi="Calibri"/>
          <w:color w:val="444444"/>
          <w:sz w:val="21"/>
        </w:rPr>
        <w:t>Sichtbarkeit + Vertrauen über radikale Transparenz</w:t>
      </w:r>
    </w:p>
    <w:p>
      <w:pPr>
        <w:pStyle w:val="ListBullet"/>
        <w:spacing w:after="60"/>
      </w:pPr>
      <w:r>
        <w:rPr>
          <w:rFonts w:ascii="Calibri" w:hAnsi="Calibri"/>
          <w:color w:val="444444"/>
          <w:sz w:val="21"/>
        </w:rPr>
        <w:t>Beide Zielgruppen zur Investmententscheidung führen</w:t>
      </w:r>
    </w:p>
    <w:p>
      <w:pPr>
        <w:pStyle w:val="ListBullet"/>
        <w:spacing w:after="60"/>
      </w:pPr>
      <w:r>
        <w:rPr>
          <w:rFonts w:ascii="Calibri" w:hAnsi="Calibri"/>
          <w:color w:val="444444"/>
          <w:sz w:val="21"/>
        </w:rPr>
        <w:t>Start DACH, später UK — Kommunikation auf Deutsch</w:t>
      </w:r>
    </w:p>
    <w:p/>
    <w:p>
      <w:pPr>
        <w:spacing w:before="200" w:after="120"/>
      </w:pPr>
      <w:r>
        <w:rPr>
          <w:rFonts w:ascii="Calibri" w:hAnsi="Calibri"/>
          <w:b/>
          <w:color w:val="1A1033"/>
          <w:sz w:val="26"/>
        </w:rPr>
        <w:t>Folie 3 — Die Zielgruppe</w:t>
      </w:r>
    </w:p>
    <w:p>
      <w:pPr>
        <w:pStyle w:val="ListBullet"/>
        <w:spacing w:after="60"/>
      </w:pPr>
      <w:r>
        <w:rPr>
          <w:rFonts w:ascii="Calibri" w:hAnsi="Calibri"/>
          <w:color w:val="444444"/>
          <w:sz w:val="21"/>
        </w:rPr>
        <w:t>Retail: ab CHF 50, Motivation Tierwohl &amp; Identifikation</w:t>
      </w:r>
    </w:p>
    <w:p>
      <w:pPr>
        <w:pStyle w:val="ListBullet"/>
        <w:spacing w:after="60"/>
      </w:pPr>
      <w:r>
        <w:rPr>
          <w:rFonts w:ascii="Calibri" w:hAnsi="Calibri"/>
          <w:color w:val="444444"/>
          <w:sz w:val="21"/>
        </w:rPr>
        <w:t>Professionell: gleiche Motivation, braucht Beweistiefe</w:t>
      </w:r>
    </w:p>
    <w:p>
      <w:pPr>
        <w:pStyle w:val="ListBullet"/>
        <w:spacing w:after="60"/>
      </w:pPr>
      <w:r>
        <w:rPr>
          <w:rFonts w:ascii="Calibri" w:hAnsi="Calibri"/>
          <w:color w:val="444444"/>
          <w:sz w:val="21"/>
        </w:rPr>
        <w:t>Entscheidungslogik: Emotion → Vertrauen → Performance</w:t>
      </w:r>
    </w:p>
    <w:p>
      <w:pPr>
        <w:pStyle w:val="ListBullet"/>
        <w:spacing w:after="60"/>
      </w:pPr>
      <w:r>
        <w:rPr>
          <w:rFonts w:ascii="Calibri" w:hAnsi="Calibri"/>
          <w:color w:val="444444"/>
          <w:sz w:val="21"/>
        </w:rPr>
        <w:t>Gleiche Haltung, unterschiedliche Beweistiefe</w:t>
      </w:r>
    </w:p>
    <w:p/>
    <w:p>
      <w:pPr>
        <w:spacing w:before="200" w:after="120"/>
      </w:pPr>
      <w:r>
        <w:rPr>
          <w:rFonts w:ascii="Calibri" w:hAnsi="Calibri"/>
          <w:b/>
          <w:color w:val="1A1033"/>
          <w:sz w:val="26"/>
        </w:rPr>
        <w:t>Folie 4 — Wie kommen wir dahin?</w:t>
      </w:r>
    </w:p>
    <w:p>
      <w:pPr>
        <w:pStyle w:val="ListBullet"/>
        <w:spacing w:after="60"/>
      </w:pPr>
      <w:r>
        <w:rPr>
          <w:rFonts w:ascii="Calibri" w:hAnsi="Calibri"/>
          <w:color w:val="444444"/>
          <w:sz w:val="21"/>
        </w:rPr>
        <w:t>Beastly führt, Chipiron als Glaubwürdigkeitsträger am Rand</w:t>
      </w:r>
    </w:p>
    <w:p>
      <w:pPr>
        <w:pStyle w:val="ListBullet"/>
        <w:spacing w:after="60"/>
      </w:pPr>
      <w:r>
        <w:rPr>
          <w:rFonts w:ascii="Calibri" w:hAnsi="Calibri"/>
          <w:color w:val="444444"/>
          <w:sz w:val="21"/>
        </w:rPr>
        <w:t>Zwei Bildwelten: Raubtier = Performance · Schützenswert = Wirkung</w:t>
      </w:r>
    </w:p>
    <w:p>
      <w:pPr>
        <w:pStyle w:val="ListBullet"/>
        <w:spacing w:after="60"/>
      </w:pPr>
      <w:r>
        <w:rPr>
          <w:rFonts w:ascii="Calibri" w:hAnsi="Calibri"/>
          <w:color w:val="444444"/>
          <w:sz w:val="21"/>
        </w:rPr>
        <w:t>Haltung ohne Aktivismus — mutig, nie belehrend</w:t>
      </w:r>
    </w:p>
    <w:p>
      <w:pPr>
        <w:pStyle w:val="ListBullet"/>
        <w:spacing w:after="60"/>
      </w:pPr>
      <w:r>
        <w:rPr>
          <w:rFonts w:ascii="Calibri" w:hAnsi="Calibri"/>
          <w:color w:val="444444"/>
          <w:sz w:val="21"/>
        </w:rPr>
        <w:t>Radikale Transparenz als Differenzierungshebel</w:t>
      </w:r>
    </w:p>
    <w:p>
      <w:pPr>
        <w:pStyle w:val="ListBullet"/>
        <w:spacing w:after="60"/>
      </w:pPr>
      <w:r>
        <w:rPr>
          <w:rFonts w:ascii="Calibri" w:hAnsi="Calibri"/>
          <w:color w:val="444444"/>
          <w:sz w:val="21"/>
        </w:rPr>
        <w:t>Personenzentriert: Viktor vorne, Lydia flankierend</w:t>
      </w:r>
    </w:p>
    <w:p/>
    <w:p>
      <w:pPr>
        <w:spacing w:before="200" w:after="120"/>
      </w:pPr>
      <w:r>
        <w:rPr>
          <w:rFonts w:ascii="Calibri" w:hAnsi="Calibri"/>
          <w:b/>
          <w:color w:val="1A1033"/>
          <w:sz w:val="26"/>
        </w:rPr>
        <w:t>Folie 5 — Der Funnel</w:t>
      </w:r>
    </w:p>
    <w:p>
      <w:pPr>
        <w:pStyle w:val="ListBullet"/>
        <w:spacing w:after="60"/>
      </w:pPr>
      <w:r>
        <w:rPr>
          <w:rFonts w:ascii="Calibri" w:hAnsi="Calibri"/>
          <w:color w:val="444444"/>
          <w:sz w:val="21"/>
        </w:rPr>
        <w:t>Aufmerksamkeit: Personal Branding + Awareness-Ads</w:t>
      </w:r>
    </w:p>
    <w:p>
      <w:pPr>
        <w:pStyle w:val="ListBullet"/>
        <w:spacing w:after="60"/>
      </w:pPr>
      <w:r>
        <w:rPr>
          <w:rFonts w:ascii="Calibri" w:hAnsi="Calibri"/>
          <w:color w:val="444444"/>
          <w:sz w:val="21"/>
        </w:rPr>
        <w:t>Neugier: Gründerstory &amp; ungewöhnliche Code-Kombination</w:t>
      </w:r>
    </w:p>
    <w:p>
      <w:pPr>
        <w:pStyle w:val="ListBullet"/>
        <w:spacing w:after="60"/>
      </w:pPr>
      <w:r>
        <w:rPr>
          <w:rFonts w:ascii="Calibri" w:hAnsi="Calibri"/>
          <w:color w:val="444444"/>
          <w:sz w:val="21"/>
        </w:rPr>
        <w:t>Vertrauen: Website + durchgehende Transparenz</w:t>
      </w:r>
    </w:p>
    <w:p>
      <w:pPr>
        <w:pStyle w:val="ListBullet"/>
        <w:spacing w:after="60"/>
      </w:pPr>
      <w:r>
        <w:rPr>
          <w:rFonts w:ascii="Calibri" w:hAnsi="Calibri"/>
          <w:color w:val="444444"/>
          <w:sz w:val="21"/>
        </w:rPr>
        <w:t>Erklärung: Beweisführung für professionelle Investoren</w:t>
      </w:r>
    </w:p>
    <w:p>
      <w:pPr>
        <w:pStyle w:val="ListBullet"/>
        <w:spacing w:after="60"/>
      </w:pPr>
      <w:r>
        <w:rPr>
          <w:rFonts w:ascii="Calibri" w:hAnsi="Calibri"/>
          <w:color w:val="444444"/>
          <w:sz w:val="21"/>
        </w:rPr>
        <w:t>Entscheidung: Einstieg ab CHF 50, Conversion-Ads</w:t>
      </w:r>
    </w:p>
    <w:p/>
    <w:p>
      <w:pPr>
        <w:spacing w:before="200" w:after="120"/>
      </w:pPr>
      <w:r>
        <w:rPr>
          <w:rFonts w:ascii="Calibri" w:hAnsi="Calibri"/>
          <w:b/>
          <w:color w:val="1A1033"/>
          <w:sz w:val="26"/>
        </w:rPr>
        <w:t>Folie 6 — Die Elemente</w:t>
      </w:r>
    </w:p>
    <w:p>
      <w:pPr>
        <w:pStyle w:val="ListBullet"/>
        <w:spacing w:after="60"/>
      </w:pPr>
      <w:r>
        <w:rPr>
          <w:rFonts w:ascii="Calibri" w:hAnsi="Calibri"/>
          <w:color w:val="444444"/>
          <w:sz w:val="21"/>
        </w:rPr>
        <w:t>Branding geschärft, Website als Vertrauensschritt überarbeitet</w:t>
      </w:r>
    </w:p>
    <w:p>
      <w:pPr>
        <w:pStyle w:val="ListBullet"/>
        <w:spacing w:after="60"/>
      </w:pPr>
      <w:r>
        <w:rPr>
          <w:rFonts w:ascii="Calibri" w:hAnsi="Calibri"/>
          <w:color w:val="444444"/>
          <w:sz w:val="21"/>
        </w:rPr>
        <w:t>Emotionales Pitch Deck für direkten Verkauf durch Viktor &amp; Lydia</w:t>
      </w:r>
    </w:p>
    <w:p>
      <w:pPr>
        <w:pStyle w:val="ListBullet"/>
        <w:spacing w:after="60"/>
      </w:pPr>
      <w:r>
        <w:rPr>
          <w:rFonts w:ascii="Calibri" w:hAnsi="Calibri"/>
          <w:color w:val="444444"/>
          <w:sz w:val="21"/>
        </w:rPr>
        <w:t>Viktors LinkedIn als zentraler Reichweiten- &amp; Vertrauensmotor</w:t>
      </w:r>
    </w:p>
    <w:p>
      <w:pPr>
        <w:pStyle w:val="ListBullet"/>
        <w:spacing w:after="60"/>
      </w:pPr>
      <w:r>
        <w:rPr>
          <w:rFonts w:ascii="Calibri" w:hAnsi="Calibri"/>
          <w:color w:val="444444"/>
          <w:sz w:val="21"/>
        </w:rPr>
        <w:t>3 Social-Kanäle, immer beide Botschaften (Invest + Tierwohl)</w:t>
      </w:r>
    </w:p>
    <w:p>
      <w:pPr>
        <w:pStyle w:val="ListBullet"/>
        <w:spacing w:after="60"/>
      </w:pPr>
      <w:r>
        <w:rPr>
          <w:rFonts w:ascii="Calibri" w:hAnsi="Calibri"/>
          <w:color w:val="444444"/>
          <w:sz w:val="21"/>
        </w:rPr>
        <w:t>Events als Auftrittschance, Ads in zwei Phasen</w:t>
      </w:r>
    </w:p>
    <w:p/>
    <w:p>
      <w:pPr>
        <w:spacing w:before="200" w:after="120"/>
      </w:pPr>
      <w:r>
        <w:rPr>
          <w:rFonts w:ascii="Calibri" w:hAnsi="Calibri"/>
          <w:b/>
          <w:color w:val="1A1033"/>
          <w:sz w:val="26"/>
        </w:rPr>
        <w:t>Folie 7 — Fazit &amp; Offene Punkte</w:t>
      </w:r>
    </w:p>
    <w:p>
      <w:pPr>
        <w:pStyle w:val="ListBullet"/>
        <w:spacing w:after="60"/>
      </w:pPr>
      <w:r>
        <w:rPr>
          <w:rFonts w:ascii="Calibri" w:hAnsi="Calibri"/>
          <w:color w:val="444444"/>
          <w:sz w:val="21"/>
        </w:rPr>
        <w:t>Elemente greifen entlang Emotion → Vertrauen → Performance</w:t>
      </w:r>
    </w:p>
    <w:p>
      <w:pPr>
        <w:pStyle w:val="ListBullet"/>
        <w:spacing w:after="60"/>
      </w:pPr>
      <w:r>
        <w:rPr>
          <w:rFonts w:ascii="Calibri" w:hAnsi="Calibri"/>
          <w:color w:val="444444"/>
          <w:sz w:val="21"/>
        </w:rPr>
        <w:t>Offen: Rendite-/Risikostruktur, finale Kanalwahl, Reporting-Format</w:t>
      </w:r>
    </w:p>
    <w:p>
      <w:pPr>
        <w:pStyle w:val="ListBullet"/>
        <w:spacing w:after="60"/>
      </w:pPr>
      <w:r>
        <w:rPr>
          <w:rFonts w:ascii="Calibri" w:hAnsi="Calibri"/>
          <w:color w:val="444444"/>
          <w:sz w:val="21"/>
        </w:rPr>
        <w:t>Zu entscheiden: Content-Schlagzahl &amp; Produktionsverantwortung</w:t>
      </w:r>
    </w:p>
    <w:p>
      <w:pPr>
        <w:pStyle w:val="ListBullet"/>
        <w:spacing w:after="60"/>
      </w:pPr>
      <w:r>
        <w:rPr>
          <w:rFonts w:ascii="Calibri" w:hAnsi="Calibri"/>
          <w:color w:val="444444"/>
          <w:sz w:val="21"/>
        </w:rPr>
        <w:t>FourGive nie instrumentalisieren — Teil der Story, kein Kanal</w:t>
      </w:r>
    </w:p>
    <w:p>
      <w:pPr>
        <w:pStyle w:val="ListBullet"/>
        <w:spacing w:after="60"/>
      </w:pPr>
      <w:r>
        <w:rPr>
          <w:rFonts w:ascii="Calibri" w:hAnsi="Calibri"/>
          <w:color w:val="444444"/>
          <w:sz w:val="21"/>
        </w:rPr>
        <w:t>Solides Fundament, klare Priorisierung nötig</w:t>
      </w:r>
    </w:p>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