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12"/>
      </w:tblGrid>
      <w:tr>
        <w:tc>
          <w:tcPr>
            <w:tcW w:type="dxa" w:w="8612"/>
            <w:shd w:val="clear" w:color="auto" w:fill="4b319b"/>
            <w:tcMar>
              <w:top w:w="400" w:type="dxa"/>
              <w:bottom w:w="400" w:type="dxa"/>
              <w:left w:w="300" w:type="dxa"/>
              <w:right w:w="300" w:type="dxa"/>
            </w:tcMar>
          </w:tcPr>
          <w:p>
            <w:pPr>
              <w:spacing w:before="0"/>
              <w:jc w:val="center"/>
            </w:pPr>
            <w:r>
              <w:rPr>
                <w:rFonts w:ascii="Calibri" w:hAnsi="Calibri"/>
                <w:b/>
                <w:color w:val="A176F4"/>
                <w:sz w:val="18"/>
              </w:rPr>
              <w:t>MOURNIVAL GMBH</w:t>
            </w:r>
          </w:p>
          <w:p>
            <w:pPr>
              <w:spacing w:before="400"/>
              <w:jc w:val="center"/>
            </w:pPr>
            <w:r>
              <w:rPr>
                <w:rFonts w:ascii="Calibri" w:hAnsi="Calibri"/>
                <w:b/>
                <w:color w:val="FFFFFF"/>
                <w:sz w:val="36"/>
              </w:rPr>
              <w:t>Kommunikationsstrategie</w:t>
            </w:r>
          </w:p>
          <w:p>
            <w:pPr>
              <w:spacing w:before="80"/>
              <w:jc w:val="center"/>
            </w:pPr>
            <w:r>
              <w:rPr>
                <w:rFonts w:ascii="Calibri" w:hAnsi="Calibri"/>
                <w:b/>
                <w:color w:val="FFFFFF"/>
                <w:sz w:val="64"/>
              </w:rPr>
              <w:t>Beastly Investments</w:t>
            </w:r>
          </w:p>
          <w:p>
            <w:pPr>
              <w:spacing w:before="800"/>
              <w:jc w:val="center"/>
            </w:pPr>
            <w:r>
              <w:rPr>
                <w:rFonts w:ascii="Calibri" w:hAnsi="Calibri"/>
                <w:b/>
                <w:color w:val="A176F4"/>
                <w:sz w:val="18"/>
              </w:rPr>
              <w:t>Erstellt von DungeonMasterAlex  ·  24. June 2026</w:t>
            </w:r>
          </w:p>
        </w:tc>
      </w:tr>
    </w:tbl>
    <w:p>
      <w:r>
        <w:br w:type="page"/>
      </w:r>
    </w:p>
    <w:p>
      <w:pPr>
        <w:spacing w:before="360" w:after="120"/>
      </w:pPr>
      <w:r>
        <w:rPr>
          <w:rFonts w:ascii="Calibri" w:hAnsi="Calibri"/>
          <w:b/>
          <w:i w:val="0"/>
          <w:color w:val="4B319B"/>
          <w:sz w:val="32"/>
        </w:rPr>
        <w:t>Inhaltsverzeichnis</w:t>
      </w:r>
    </w:p>
    <w:p>
      <w:pPr>
        <w:pStyle w:val="ListBullet"/>
        <w:spacing w:after="60"/>
      </w:pPr>
      <w:r>
        <w:rPr>
          <w:rFonts w:ascii="Calibri" w:hAnsi="Calibri"/>
          <w:b w:val="0"/>
          <w:i w:val="0"/>
          <w:color w:val="333333"/>
          <w:sz w:val="21"/>
        </w:rPr>
        <w:t>1.  Ausgangslage &amp; strategische Ausgangsdiskrepanzen</w:t>
      </w:r>
    </w:p>
    <w:p>
      <w:pPr>
        <w:pStyle w:val="ListBullet"/>
        <w:spacing w:after="60"/>
      </w:pPr>
      <w:r>
        <w:rPr>
          <w:rFonts w:ascii="Calibri" w:hAnsi="Calibri"/>
          <w:b w:val="0"/>
          <w:i w:val="0"/>
          <w:color w:val="333333"/>
          <w:sz w:val="21"/>
        </w:rPr>
        <w:t>2.  Strategische Positionierung</w:t>
      </w:r>
    </w:p>
    <w:p>
      <w:pPr>
        <w:pStyle w:val="ListBullet"/>
        <w:spacing w:after="60"/>
      </w:pPr>
      <w:r>
        <w:rPr>
          <w:rFonts w:ascii="Calibri" w:hAnsi="Calibri"/>
          <w:b w:val="0"/>
          <w:i w:val="0"/>
          <w:color w:val="333333"/>
          <w:sz w:val="21"/>
        </w:rPr>
        <w:t>3.  Die Zielgruppen</w:t>
      </w:r>
    </w:p>
    <w:p>
      <w:pPr>
        <w:pStyle w:val="ListBullet"/>
        <w:spacing w:after="60"/>
      </w:pPr>
      <w:r>
        <w:rPr>
          <w:rFonts w:ascii="Calibri" w:hAnsi="Calibri"/>
          <w:b w:val="0"/>
          <w:i w:val="0"/>
          <w:color w:val="333333"/>
          <w:sz w:val="21"/>
        </w:rPr>
        <w:t>4.  Strategischer Rahmen — Warum machen wir das so?</w:t>
      </w:r>
    </w:p>
    <w:p>
      <w:pPr>
        <w:pStyle w:val="ListBullet"/>
        <w:spacing w:after="60"/>
      </w:pPr>
      <w:r>
        <w:rPr>
          <w:rFonts w:ascii="Calibri" w:hAnsi="Calibri"/>
          <w:b w:val="0"/>
          <w:i w:val="0"/>
          <w:color w:val="333333"/>
          <w:sz w:val="21"/>
        </w:rPr>
        <w:t>5.  Der Kommunikationsfunnel</w:t>
      </w:r>
    </w:p>
    <w:p>
      <w:pPr>
        <w:pStyle w:val="ListBullet"/>
        <w:spacing w:after="60"/>
      </w:pPr>
      <w:r>
        <w:rPr>
          <w:rFonts w:ascii="Calibri" w:hAnsi="Calibri"/>
          <w:b w:val="0"/>
          <w:i w:val="0"/>
          <w:color w:val="333333"/>
          <w:sz w:val="21"/>
        </w:rPr>
        <w:t>6.  Die Kommunikationselemente</w:t>
      </w:r>
    </w:p>
    <w:p>
      <w:pPr>
        <w:pStyle w:val="ListBullet"/>
        <w:spacing w:after="60"/>
      </w:pPr>
      <w:r>
        <w:rPr>
          <w:rFonts w:ascii="Calibri" w:hAnsi="Calibri"/>
          <w:b w:val="0"/>
          <w:i w:val="0"/>
          <w:color w:val="333333"/>
          <w:sz w:val="21"/>
        </w:rPr>
        <w:t>7.  Persönliche Einschätzung — Hohe Kommunikationskomplexität</w:t>
      </w:r>
    </w:p>
    <w:p>
      <w:pPr>
        <w:pStyle w:val="ListBullet"/>
        <w:spacing w:after="60"/>
      </w:pPr>
      <w:r>
        <w:rPr>
          <w:rFonts w:ascii="Calibri" w:hAnsi="Calibri"/>
          <w:b w:val="0"/>
          <w:i w:val="0"/>
          <w:color w:val="333333"/>
          <w:sz w:val="21"/>
        </w:rPr>
        <w:t>8.  Empfehlung — Strategische Kommunikationsführung</w:t>
      </w:r>
    </w:p>
    <w:p>
      <w:pPr>
        <w:pStyle w:val="ListBullet"/>
        <w:spacing w:after="60"/>
      </w:pPr>
      <w:r>
        <w:rPr>
          <w:rFonts w:ascii="Calibri" w:hAnsi="Calibri"/>
          <w:b w:val="0"/>
          <w:i w:val="0"/>
          <w:color w:val="333333"/>
          <w:sz w:val="21"/>
        </w:rPr>
        <w:t>9.  Mögliche Einstiege in die Umsetzung</w:t>
      </w:r>
    </w:p>
    <w:p>
      <w:pPr>
        <w:pStyle w:val="ListBullet"/>
        <w:spacing w:after="60"/>
      </w:pPr>
      <w:r>
        <w:rPr>
          <w:rFonts w:ascii="Calibri" w:hAnsi="Calibri"/>
          <w:b w:val="0"/>
          <w:i w:val="0"/>
          <w:color w:val="333333"/>
          <w:sz w:val="21"/>
        </w:rPr>
        <w:t>Anhang: PowerPoint-Snippets</w:t>
      </w:r>
    </w:p>
    <w:p>
      <w:pPr>
        <w:spacing w:before="120" w:after="120"/>
        <w:pBdr>
          <w:bottom w:val="single" w:sz="4" w:space="1" w:color="a176f4"/>
        </w:pBdr>
      </w:pPr>
    </w:p>
    <w:p>
      <w:r>
        <w:br w:type="page"/>
      </w:r>
    </w:p>
    <w:p>
      <w:pPr>
        <w:spacing w:before="360" w:after="120"/>
      </w:pPr>
      <w:r>
        <w:rPr>
          <w:rFonts w:ascii="Calibri" w:hAnsi="Calibri"/>
          <w:b/>
          <w:i w:val="0"/>
          <w:color w:val="4B319B"/>
          <w:sz w:val="32"/>
        </w:rPr>
        <w:t>1.  Ausgangslage &amp; strategische Ausgangsdiskrepanzen</w:t>
      </w:r>
    </w:p>
    <w:p>
      <w:pPr>
        <w:spacing w:after="140"/>
      </w:pPr>
      <w:r>
        <w:rPr>
          <w:rFonts w:ascii="Calibri" w:hAnsi="Calibri"/>
          <w:b w:val="0"/>
          <w:i w:val="0"/>
          <w:color w:val="333333"/>
          <w:sz w:val="21"/>
        </w:rPr>
        <w:t>Beastly Investments ist das erste Investmentprodukt der Chipiron AG, eines Non-Profit Asset Managers im Aufbau. Gründer Viktor und Lydia Ackermann haben die FourGive Tierklinik in Marsa Alam/Ägypten aufgebaut — dort entstand die direkte Konfrontation mit Tierleid, und daraus die Überzeugung, dass Finanzlogik und Tierschutz sich nicht ausschliessen. Das Produkt ist einzigartig: ein KI-gesteuertes Animal Cruelty Free Portfolio, das börsennotierte Unternehmen nach tierschützenden Kriterien bewertet.</w:t>
      </w:r>
    </w:p>
    <w:p>
      <w:pPr>
        <w:spacing w:after="140"/>
      </w:pPr>
      <w:r>
        <w:rPr>
          <w:rFonts w:ascii="Calibri" w:hAnsi="Calibri"/>
          <w:b w:val="0"/>
          <w:i w:val="0"/>
          <w:color w:val="333333"/>
          <w:sz w:val="21"/>
        </w:rPr>
        <w:t>Die Substanz ist stark. Was fehlt, ist die kommunikative Übersetzung dieser Substanz in eine Marke, die Menschen emotional abholt, Vertrauen aufbaut und Investoren rational überzeugt.</w:t>
      </w:r>
    </w:p>
    <w:p>
      <w:pPr>
        <w:spacing w:before="240" w:after="80"/>
      </w:pPr>
      <w:r>
        <w:rPr>
          <w:rFonts w:ascii="Calibri" w:hAnsi="Calibri"/>
          <w:b/>
          <w:i w:val="0"/>
          <w:color w:val="1A1033"/>
          <w:sz w:val="24"/>
        </w:rPr>
        <w:t>Die drei Ebenen — und warum das komplex ist</w:t>
      </w:r>
    </w:p>
    <w:p>
      <w:pPr>
        <w:spacing w:after="140"/>
      </w:pPr>
      <w:r>
        <w:rPr>
          <w:rFonts w:ascii="Calibri" w:hAnsi="Calibri"/>
          <w:b w:val="0"/>
          <w:i w:val="0"/>
          <w:color w:val="333333"/>
          <w:sz w:val="21"/>
        </w:rPr>
        <w:t>Das Projekt besteht aus drei kommunikativen Ebenen, die gleichzeitig und widerspruchsfrei geführt werden müssen:</w:t>
      </w:r>
    </w:p>
    <w:p>
      <w:pPr>
        <w:pStyle w:val="ListBullet"/>
        <w:spacing w:after="60"/>
      </w:pPr>
      <w:r>
        <w:rPr>
          <w:rFonts w:ascii="Calibri" w:hAnsi="Calibri"/>
          <w:b/>
          <w:i w:val="0"/>
          <w:color w:val="333333"/>
          <w:sz w:val="21"/>
        </w:rPr>
        <w:t xml:space="preserve">Beastly invested  </w:t>
      </w:r>
      <w:r>
        <w:rPr>
          <w:rFonts w:ascii="Calibri" w:hAnsi="Calibri"/>
          <w:b w:val="0"/>
          <w:i w:val="0"/>
          <w:color w:val="333333"/>
          <w:sz w:val="21"/>
        </w:rPr>
        <w:t>als emotionales, erklärungsbedürftiges Investmentprodukt</w:t>
      </w:r>
    </w:p>
    <w:p>
      <w:pPr>
        <w:pStyle w:val="ListBullet"/>
        <w:spacing w:after="60"/>
      </w:pPr>
      <w:r>
        <w:rPr>
          <w:rFonts w:ascii="Calibri" w:hAnsi="Calibri"/>
          <w:b/>
          <w:i w:val="0"/>
          <w:color w:val="333333"/>
          <w:sz w:val="21"/>
        </w:rPr>
        <w:t xml:space="preserve">Chipiron  </w:t>
      </w:r>
      <w:r>
        <w:rPr>
          <w:rFonts w:ascii="Calibri" w:hAnsi="Calibri"/>
          <w:b w:val="0"/>
          <w:i w:val="0"/>
          <w:color w:val="333333"/>
          <w:sz w:val="21"/>
        </w:rPr>
        <w:t>als vertrauensbildender Träger und Asset Manager</w:t>
      </w:r>
    </w:p>
    <w:p>
      <w:pPr>
        <w:pStyle w:val="ListBullet"/>
        <w:spacing w:after="60"/>
      </w:pPr>
      <w:r>
        <w:rPr>
          <w:rFonts w:ascii="Calibri" w:hAnsi="Calibri"/>
          <w:b/>
          <w:i w:val="0"/>
          <w:color w:val="333333"/>
          <w:sz w:val="21"/>
        </w:rPr>
        <w:t xml:space="preserve">FourGive / Tierschutzprojekte  </w:t>
      </w:r>
      <w:r>
        <w:rPr>
          <w:rFonts w:ascii="Calibri" w:hAnsi="Calibri"/>
          <w:b w:val="0"/>
          <w:i w:val="0"/>
          <w:color w:val="333333"/>
          <w:sz w:val="21"/>
        </w:rPr>
        <w:t>als Wirkungs- und Glaubwürdigkeitsebene</w:t>
      </w:r>
    </w:p>
    <w:p>
      <w:pPr>
        <w:spacing w:after="140"/>
      </w:pPr>
      <w:r>
        <w:rPr>
          <w:rFonts w:ascii="Calibri" w:hAnsi="Calibri"/>
          <w:b w:val="0"/>
          <w:i w:val="0"/>
          <w:color w:val="333333"/>
          <w:sz w:val="21"/>
        </w:rPr>
        <w:t>Die grösste kommunikative Herausforderung liegt darin, Vertrauen aufzubauen, ohne zu überladen: transparent sein, ohne alles offenzulegen; Wirkung zeigen, ohne falsche Versprechen zu machen; Emotion wecken, ohne aktivistisch zu wirken.</w:t>
      </w:r>
    </w:p>
    <w:p>
      <w:pPr>
        <w:spacing w:before="240" w:after="80"/>
      </w:pPr>
      <w:r>
        <w:rPr>
          <w:rFonts w:ascii="Calibri" w:hAnsi="Calibri"/>
          <w:b/>
          <w:i w:val="0"/>
          <w:color w:val="1A1033"/>
          <w:sz w:val="24"/>
        </w:rPr>
        <w:t>Ausgangsdiskrepanzen aus dem Workshop</w:t>
      </w:r>
    </w:p>
    <w:p>
      <w:pPr>
        <w:spacing w:after="140"/>
      </w:pPr>
      <w:r>
        <w:rPr>
          <w:rFonts w:ascii="Calibri" w:hAnsi="Calibri"/>
          <w:b w:val="0"/>
          <w:i w:val="0"/>
          <w:color w:val="333333"/>
          <w:sz w:val="21"/>
        </w:rPr>
        <w:t>Im Workshop wurden folgende strategische Spannungsfelder sichtbar, die die Kommunikationsstrategie direkt beeinflussen:</w:t>
      </w: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8"/>
              </w:rPr>
              <w:t xml:space="preserve">DISKREPANZ 1  </w:t>
            </w:r>
            <w:r>
              <w:rPr>
                <w:rFonts w:ascii="Calibri" w:hAnsi="Calibri"/>
                <w:b w:val="0"/>
                <w:i w:val="0"/>
                <w:color w:val="FFFFFF"/>
                <w:sz w:val="20"/>
              </w:rPr>
              <w:t>Beastly / Chipiron: Rollen logisch erklärbar, aber kommunikativ noch nicht gelöst. «Beastly verkauft die Idee. Chipiron verkauft die Glaubwürdigkeit.»</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8"/>
              </w:rPr>
              <w:t xml:space="preserve">DISKREPANZ 2  </w:t>
            </w:r>
            <w:r>
              <w:rPr>
                <w:rFonts w:ascii="Calibri" w:hAnsi="Calibri"/>
                <w:b w:val="0"/>
                <w:i w:val="0"/>
                <w:color w:val="FFFFFF"/>
                <w:sz w:val="20"/>
              </w:rPr>
              <w:t>«Non-Profit» ist stark, aber gefährlich missverständlich. Menschen denken sofort an Spende, Charity oder Renditeverzicht.</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8"/>
              </w:rPr>
              <w:t xml:space="preserve">DISKREPANZ 3  </w:t>
            </w:r>
            <w:r>
              <w:rPr>
                <w:rFonts w:ascii="Calibri" w:hAnsi="Calibri"/>
                <w:b w:val="0"/>
                <w:i w:val="0"/>
                <w:color w:val="FFFFFF"/>
                <w:sz w:val="20"/>
              </w:rPr>
              <w:t>Haltung ohne Aktivismus: Sie wollen nicht aktivistisch wirken — aber die Idee hat Sprengkraft. Diese Linie muss kommunikativ präzise gezogen werden.</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8"/>
              </w:rPr>
              <w:t xml:space="preserve">DISKREPANZ 4  </w:t>
            </w:r>
            <w:r>
              <w:rPr>
                <w:rFonts w:ascii="Calibri" w:hAnsi="Calibri"/>
                <w:b w:val="0"/>
                <w:i w:val="0"/>
                <w:color w:val="FFFFFF"/>
                <w:sz w:val="20"/>
              </w:rPr>
              <w:t>Die Gründerstory ist stark, aber noch zu wenig sichtbar. Ohne Viktor &amp; Lydia als menschliche Träger bleibt Beastly abstrakt.</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8"/>
              </w:rPr>
              <w:t xml:space="preserve">DISKREPANZ 5  </w:t>
            </w:r>
            <w:r>
              <w:rPr>
                <w:rFonts w:ascii="Calibri" w:hAnsi="Calibri"/>
                <w:b w:val="0"/>
                <w:i w:val="0"/>
                <w:color w:val="FFFFFF"/>
                <w:sz w:val="20"/>
              </w:rPr>
              <w:t>Die Kommunikationsambition ist deutlich grösser als die aktuelle interne Kapazität. Die Marketingverantwortliche arbeitet 40% — für Branding, Website, LinkedIn, Events, PR, Sales-Materialien, Storytelling.</w:t>
            </w:r>
          </w:p>
        </w:tc>
      </w:tr>
    </w:tbl>
    <w:p>
      <w:pPr>
        <w:spacing w:after="60"/>
      </w:pPr>
    </w:p>
    <w:p>
      <w:pPr>
        <w:spacing w:before="120" w:after="120"/>
        <w:pBdr>
          <w:bottom w:val="single" w:sz="4" w:space="1" w:color="a176f4"/>
        </w:pBdr>
      </w:pPr>
    </w:p>
    <w:p>
      <w:pPr>
        <w:spacing w:before="360" w:after="120"/>
      </w:pPr>
      <w:r>
        <w:rPr>
          <w:rFonts w:ascii="Calibri" w:hAnsi="Calibri"/>
          <w:b/>
          <w:i w:val="0"/>
          <w:color w:val="4B319B"/>
          <w:sz w:val="32"/>
        </w:rPr>
        <w:t>2.  Strategische Positionierung</w:t>
      </w:r>
    </w:p>
    <w:p>
      <w:pPr>
        <w:spacing w:after="140"/>
      </w:pPr>
      <w:r>
        <w:rPr>
          <w:rFonts w:ascii="Calibri" w:hAnsi="Calibri"/>
          <w:b w:val="0"/>
          <w:i w:val="0"/>
          <w:color w:val="333333"/>
          <w:sz w:val="21"/>
        </w:rPr>
        <w:t>Aus den Diskrepanzen leiten sich drei strategische Positionierungsentscheide ab, die alle weiteren Massnahmen prägen:</w:t>
      </w:r>
    </w:p>
    <w:p>
      <w:pPr>
        <w:spacing w:before="240" w:after="80"/>
      </w:pPr>
      <w:r>
        <w:rPr>
          <w:rFonts w:ascii="Calibri" w:hAnsi="Calibri"/>
          <w:b/>
          <w:i w:val="0"/>
          <w:color w:val="1A1033"/>
          <w:sz w:val="24"/>
        </w:rPr>
        <w:t>2.1  Beastly führt — Chipiron bleibt diskret</w:t>
      </w:r>
    </w:p>
    <w:p>
      <w:pPr>
        <w:spacing w:after="140"/>
      </w:pPr>
      <w:r>
        <w:rPr>
          <w:rFonts w:ascii="Calibri" w:hAnsi="Calibri"/>
          <w:b w:val="0"/>
          <w:i w:val="0"/>
          <w:color w:val="333333"/>
          <w:sz w:val="21"/>
        </w:rPr>
        <w:t>Beastly war immer der emotionale Ausgangspunkt, die Idee. Chipiron entstand, weil kein passender Asset Manager die Philosophie verstanden hätte. Das bedeutet: Chipiron ist strukturelle Notwendigkeit und Glaubwürdigkeitsträger — aber nicht die emotionale Bühne. In der Kommunikation führt Beastly eigenständig, Chipiron erscheint optisch am Rande (Logo, Kleingedrucktes). Diese Entscheidung ist keine Kosmetik, sondern eine fundamentale Markenarchitektur-Frage.</w:t>
      </w:r>
    </w:p>
    <w:p>
      <w:pPr>
        <w:spacing w:before="240" w:after="80"/>
      </w:pPr>
      <w:r>
        <w:rPr>
          <w:rFonts w:ascii="Calibri" w:hAnsi="Calibri"/>
          <w:b/>
          <w:i w:val="0"/>
          <w:color w:val="1A1033"/>
          <w:sz w:val="24"/>
        </w:rPr>
        <w:t>2.2  «Non-Profit» wird erklärt, nicht vermieden</w:t>
      </w:r>
    </w:p>
    <w:p>
      <w:pPr>
        <w:spacing w:after="140"/>
      </w:pPr>
      <w:r>
        <w:rPr>
          <w:rFonts w:ascii="Calibri" w:hAnsi="Calibri"/>
          <w:b w:val="0"/>
          <w:i w:val="0"/>
          <w:color w:val="333333"/>
          <w:sz w:val="21"/>
        </w:rPr>
        <w:t>«Non-Profit Asset Manager» als einfache Selbstbeschreibung ist kommunikativ gefährlich — weil Menschen sofort an Charity, Spende oder Renditeverzicht denken. Das exakte Gegenteil dessen, was Beastly vermitteln will. Die Lösung ist nicht, den Begriff zu meiden, sondern ihn zu erklären:</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«Rendite für Investoren. Wirkung für Tiere. Keine Gewinnausschüttung an Eigentümer.»</w:t>
            </w:r>
          </w:p>
          <w:p>
            <w:r>
              <w:rPr>
                <w:rFonts w:ascii="Calibri" w:hAnsi="Calibri"/>
                <w:b w:val="0"/>
                <w:i w:val="0"/>
                <w:color w:val="555555"/>
                <w:sz w:val="19"/>
              </w:rPr>
              <w:t>— Kernversprechen Beastly Investments</w:t>
            </w:r>
          </w:p>
        </w:tc>
      </w:tr>
    </w:tbl>
    <w:p>
      <w:pPr>
        <w:spacing w:after="80"/>
      </w:pPr>
    </w:p>
    <w:p>
      <w:pPr>
        <w:spacing w:after="140"/>
      </w:pPr>
      <w:r>
        <w:rPr>
          <w:rFonts w:ascii="Calibri" w:hAnsi="Calibri"/>
          <w:b w:val="0"/>
          <w:i w:val="0"/>
          <w:color w:val="333333"/>
          <w:sz w:val="21"/>
        </w:rPr>
        <w:t>Dieser Satz ist wahrscheinlich der wichtigste Satz der gesamten Kommunikation. Er ersetzt das missverständliche «Non-Profit» durch eine klare, dreiteilige Wahrheit.</w:t>
      </w:r>
    </w:p>
    <w:p>
      <w:pPr>
        <w:spacing w:before="240" w:after="80"/>
      </w:pPr>
      <w:r>
        <w:rPr>
          <w:rFonts w:ascii="Calibri" w:hAnsi="Calibri"/>
          <w:b/>
          <w:i w:val="0"/>
          <w:color w:val="1A1033"/>
          <w:sz w:val="24"/>
        </w:rPr>
        <w:t>2.3  Haltung ohne Aktivismus — die feine Linie</w:t>
      </w:r>
    </w:p>
    <w:p>
      <w:pPr>
        <w:spacing w:after="140"/>
      </w:pPr>
      <w:r>
        <w:rPr>
          <w:rFonts w:ascii="Calibri" w:hAnsi="Calibri"/>
          <w:b w:val="0"/>
          <w:i w:val="0"/>
          <w:color w:val="333333"/>
          <w:sz w:val="21"/>
        </w:rPr>
        <w:t>Beastly ist objektiv eine Provokation für den Finanzmarkt: Tierschutz im ESG-Bereich fehlt praktisch. Das Produkt ist eine Nische, die niemand erwartet. Gleichzeitig grenzen sich Viktor und Lydia klar ab von Greenpeace, PETA, Erziehung, Aktivismus. Diese Linie muss in jeder Botschaft gehalten werden: Wenn man zu brav kommuniziert, verliert Beastly die Kraft. Wenn man zu stark moralisiert, widerspricht es dem Selbstbild.</w:t>
      </w:r>
    </w:p>
    <w:p>
      <w:pPr>
        <w:spacing w:after="140"/>
      </w:pPr>
      <w:r>
        <w:rPr>
          <w:rFonts w:ascii="Calibri" w:hAnsi="Calibri"/>
          <w:b w:val="0"/>
          <w:i w:val="0"/>
          <w:color w:val="333333"/>
          <w:sz w:val="21"/>
        </w:rPr>
        <w:t>Die Kommunikationsrichtung ist daher:</w:t>
      </w:r>
    </w:p>
    <w:p>
      <w:pPr>
        <w:pStyle w:val="ListBullet"/>
        <w:spacing w:after="60"/>
      </w:pPr>
      <w:r>
        <w:rPr>
          <w:rFonts w:ascii="Calibri" w:hAnsi="Calibri"/>
          <w:b w:val="0"/>
          <w:i w:val="0"/>
          <w:color w:val="333333"/>
          <w:sz w:val="21"/>
        </w:rPr>
        <w:t>konsequent, aber nicht belehrend</w:t>
      </w:r>
    </w:p>
    <w:p>
      <w:pPr>
        <w:pStyle w:val="ListBullet"/>
        <w:spacing w:after="60"/>
      </w:pPr>
      <w:r>
        <w:rPr>
          <w:rFonts w:ascii="Calibri" w:hAnsi="Calibri"/>
          <w:b w:val="0"/>
          <w:i w:val="0"/>
          <w:color w:val="333333"/>
          <w:sz w:val="21"/>
        </w:rPr>
        <w:t>mutig, aber nicht laut</w:t>
      </w:r>
    </w:p>
    <w:p>
      <w:pPr>
        <w:pStyle w:val="ListBullet"/>
        <w:spacing w:after="60"/>
      </w:pPr>
      <w:r>
        <w:rPr>
          <w:rFonts w:ascii="Calibri" w:hAnsi="Calibri"/>
          <w:b w:val="0"/>
          <w:i w:val="0"/>
          <w:color w:val="333333"/>
          <w:sz w:val="21"/>
        </w:rPr>
        <w:t>wertebasiert, aber nicht moralisch überheblich</w:t>
      </w:r>
    </w:p>
    <w:p>
      <w:pPr>
        <w:pStyle w:val="ListBullet"/>
        <w:spacing w:after="60"/>
      </w:pPr>
      <w:r>
        <w:rPr>
          <w:rFonts w:ascii="Calibri" w:hAnsi="Calibri"/>
          <w:b w:val="0"/>
          <w:i w:val="0"/>
          <w:color w:val="333333"/>
          <w:sz w:val="21"/>
        </w:rPr>
        <w:t>anders, aber professionell investierbar</w:t>
      </w:r>
    </w:p>
    <w:p>
      <w:pPr>
        <w:spacing w:before="120" w:after="120"/>
        <w:pBdr>
          <w:bottom w:val="single" w:sz="4" w:space="1" w:color="a176f4"/>
        </w:pBdr>
      </w:pPr>
    </w:p>
    <w:p>
      <w:pPr>
        <w:spacing w:before="360" w:after="120"/>
      </w:pPr>
      <w:r>
        <w:rPr>
          <w:rFonts w:ascii="Calibri" w:hAnsi="Calibri"/>
          <w:b/>
          <w:i w:val="0"/>
          <w:color w:val="4B319B"/>
          <w:sz w:val="32"/>
        </w:rPr>
        <w:t>3.  Die Zielgruppen</w:t>
      </w:r>
    </w:p>
    <w:p>
      <w:pPr>
        <w:spacing w:after="140"/>
      </w:pPr>
      <w:r>
        <w:rPr>
          <w:rFonts w:ascii="Calibri" w:hAnsi="Calibri"/>
          <w:b w:val="0"/>
          <w:i w:val="0"/>
          <w:color w:val="333333"/>
          <w:sz w:val="21"/>
        </w:rPr>
        <w:t>Die ursprüngliche Annahme — Retail-Investoren sind emotional getrieben, professionelle Investoren sind rational getrieben — ist zu einfach und stimmt nicht. Viktor selbst hat das im Workshop korrigiert: Auch grosse Investoren kommen nur, wenn sie eine echte Affinität zum Tierwohl haben. Performance ist wichtig, aber die Grundmotivation ist bei beiden Gruppen nicht grundsätzlich verschieden.</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«Nicht Retail = Herz / Institutionell = Kopf. Sondern: Beide brauchen Herz. Aber Institutionelle brauchen zusätzlich mehr Beweisführung.»</w:t>
            </w:r>
          </w:p>
          <w:p>
            <w:r>
              <w:rPr>
                <w:rFonts w:ascii="Calibri" w:hAnsi="Calibri"/>
                <w:b w:val="0"/>
                <w:i w:val="0"/>
                <w:color w:val="555555"/>
                <w:sz w:val="19"/>
              </w:rPr>
              <w:t>— Gedanken aus dem Workshop</w:t>
            </w:r>
          </w:p>
        </w:tc>
      </w:tr>
    </w:tbl>
    <w:p>
      <w:pPr>
        <w:spacing w:after="80"/>
      </w:pPr>
    </w:p>
    <w:p>
      <w:pPr>
        <w:spacing w:after="140"/>
      </w:pPr>
      <w:r>
        <w:rPr>
          <w:rFonts w:ascii="Calibri" w:hAnsi="Calibri"/>
          <w:b w:val="0"/>
          <w:i w:val="0"/>
          <w:color w:val="333333"/>
          <w:sz w:val="21"/>
        </w:rPr>
        <w:t>Die echte Unterscheidung liegt in der Entscheidungslogik:</w:t>
      </w:r>
    </w:p>
    <w:p>
      <w:pPr>
        <w:spacing w:before="240" w:after="80"/>
      </w:pPr>
      <w:r>
        <w:rPr>
          <w:rFonts w:ascii="Calibri" w:hAnsi="Calibri"/>
          <w:b/>
          <w:i w:val="0"/>
          <w:color w:val="1A1033"/>
          <w:sz w:val="24"/>
        </w:rPr>
        <w:t>Retail-Investoren (ab CHF 50)</w:t>
      </w:r>
    </w:p>
    <w:p>
      <w:pPr>
        <w:pStyle w:val="ListBullet"/>
        <w:spacing w:after="60"/>
      </w:pPr>
      <w:r>
        <w:rPr>
          <w:rFonts w:ascii="Calibri" w:hAnsi="Calibri"/>
          <w:b w:val="0"/>
          <w:i w:val="0"/>
          <w:color w:val="333333"/>
          <w:sz w:val="21"/>
        </w:rPr>
        <w:t>Emotionaler Einstieg, verständliche Erklärung, tiefe Einstiegshürde</w:t>
      </w:r>
    </w:p>
    <w:p>
      <w:pPr>
        <w:pStyle w:val="ListBullet"/>
        <w:spacing w:after="60"/>
      </w:pPr>
      <w:r>
        <w:rPr>
          <w:rFonts w:ascii="Calibri" w:hAnsi="Calibri"/>
          <w:b w:val="0"/>
          <w:i w:val="0"/>
          <w:color w:val="333333"/>
          <w:sz w:val="21"/>
        </w:rPr>
        <w:t>Vertrauen über Menschen und Geschichten</w:t>
      </w:r>
    </w:p>
    <w:p>
      <w:pPr>
        <w:pStyle w:val="ListBullet"/>
        <w:spacing w:after="60"/>
      </w:pPr>
      <w:r>
        <w:rPr>
          <w:rFonts w:ascii="Calibri" w:hAnsi="Calibri"/>
          <w:b w:val="0"/>
          <w:i w:val="0"/>
          <w:color w:val="333333"/>
          <w:sz w:val="21"/>
        </w:rPr>
        <w:t>Motivation: Tierwohl, positive Wirkung, Identifikation</w:t>
      </w:r>
    </w:p>
    <w:p>
      <w:pPr>
        <w:spacing w:before="240" w:after="80"/>
      </w:pPr>
      <w:r>
        <w:rPr>
          <w:rFonts w:ascii="Calibri" w:hAnsi="Calibri"/>
          <w:b/>
          <w:i w:val="0"/>
          <w:color w:val="1A1033"/>
          <w:sz w:val="24"/>
        </w:rPr>
        <w:t>Professionelle Investoren</w:t>
      </w:r>
    </w:p>
    <w:p>
      <w:pPr>
        <w:pStyle w:val="ListBullet"/>
        <w:spacing w:after="60"/>
      </w:pPr>
      <w:r>
        <w:rPr>
          <w:rFonts w:ascii="Calibri" w:hAnsi="Calibri"/>
          <w:b w:val="0"/>
          <w:i w:val="0"/>
          <w:color w:val="333333"/>
          <w:sz w:val="21"/>
        </w:rPr>
        <w:t>Gleiche emotionale Grundmotivation — aber stärkere Prüfung von Struktur, Risiko, Track Record, Governance, Reporting</w:t>
      </w:r>
    </w:p>
    <w:p>
      <w:pPr>
        <w:pStyle w:val="ListBullet"/>
        <w:spacing w:after="60"/>
      </w:pPr>
      <w:r>
        <w:rPr>
          <w:rFonts w:ascii="Calibri" w:hAnsi="Calibri"/>
          <w:b w:val="0"/>
          <w:i w:val="0"/>
          <w:color w:val="333333"/>
          <w:sz w:val="21"/>
        </w:rPr>
        <w:t>Brauchen zusätzlich: regulatorische Sicherheit, Performance-Logik, Chipiron als glaubwürdigen Asset Manager</w:t>
      </w:r>
    </w:p>
    <w:p>
      <w:pPr>
        <w:pStyle w:val="ListBullet"/>
        <w:spacing w:after="60"/>
      </w:pPr>
      <w:r>
        <w:rPr>
          <w:rFonts w:ascii="Calibri" w:hAnsi="Calibri"/>
          <w:b w:val="0"/>
          <w:i w:val="0"/>
          <w:color w:val="333333"/>
          <w:sz w:val="21"/>
        </w:rPr>
        <w:t>Entscheidung dauert länger, braucht mehr Berührungspunkte</w:t>
      </w:r>
    </w:p>
    <w:p>
      <w:pPr>
        <w:spacing w:after="140"/>
      </w:pPr>
      <w:r>
        <w:rPr>
          <w:rFonts w:ascii="Calibri" w:hAnsi="Calibri"/>
          <w:b w:val="0"/>
          <w:i/>
          <w:color w:val="333333"/>
          <w:sz w:val="21"/>
        </w:rPr>
        <w:t>Für beide gilt dieselbe Entscheidungslogik — nur in unterschiedlicher Tiefe:</w:t>
      </w:r>
    </w:p>
    <w:p>
      <w:pPr>
        <w:pStyle w:val="ListBullet"/>
        <w:spacing w:after="60"/>
      </w:pPr>
      <w:r>
        <w:rPr>
          <w:rFonts w:ascii="Calibri" w:hAnsi="Calibri"/>
          <w:b w:val="0"/>
          <w:i w:val="0"/>
          <w:color w:val="333333"/>
          <w:sz w:val="21"/>
        </w:rPr>
        <w:t>Emotion → Vertrauen → Performance → Investmententscheidung</w:t>
      </w:r>
    </w:p>
    <w:p>
      <w:pPr>
        <w:spacing w:before="120" w:after="120"/>
        <w:pBdr>
          <w:bottom w:val="single" w:sz="4" w:space="1" w:color="a176f4"/>
        </w:pBdr>
      </w:pPr>
    </w:p>
    <w:p>
      <w:pPr>
        <w:spacing w:before="360" w:after="120"/>
      </w:pPr>
      <w:r>
        <w:rPr>
          <w:rFonts w:ascii="Calibri" w:hAnsi="Calibri"/>
          <w:b/>
          <w:i w:val="0"/>
          <w:color w:val="4B319B"/>
          <w:sz w:val="32"/>
        </w:rPr>
        <w:t>4.  Strategischer Rahmen — Warum machen wir das so?</w:t>
      </w:r>
    </w:p>
    <w:p>
      <w:pPr>
        <w:spacing w:after="140"/>
      </w:pPr>
      <w:r>
        <w:rPr>
          <w:rFonts w:ascii="Calibri" w:hAnsi="Calibri"/>
          <w:b w:val="0"/>
          <w:i w:val="0"/>
          <w:color w:val="333333"/>
          <w:sz w:val="21"/>
        </w:rPr>
        <w:t>Hinter jeder strategischen Entscheidung in diesem Konzept steht ein klares Warum. Diese Begründungsebene ist entscheidend, um Massnahmen nicht nur auszuführen, sondern zu verstehen und laufend zu justieren.</w:t>
      </w:r>
    </w:p>
    <w:p>
      <w:pPr>
        <w:spacing w:before="240" w:after="80"/>
      </w:pPr>
      <w:r>
        <w:rPr>
          <w:rFonts w:ascii="Calibri" w:hAnsi="Calibri"/>
          <w:b/>
          <w:i w:val="0"/>
          <w:color w:val="1A1033"/>
          <w:sz w:val="24"/>
        </w:rPr>
        <w:t>Warum personenzentriert?</w:t>
      </w:r>
    </w:p>
    <w:p>
      <w:pPr>
        <w:spacing w:after="140"/>
      </w:pPr>
      <w:r>
        <w:rPr>
          <w:rFonts w:ascii="Calibri" w:hAnsi="Calibri"/>
          <w:b w:val="0"/>
          <w:i w:val="0"/>
          <w:color w:val="333333"/>
          <w:sz w:val="21"/>
        </w:rPr>
        <w:t>«Vertrauen entsteht über Menschen, Bilder, Momente und Nahbarkeit.» Geld + Tierschutz + neuartiges Produkt ist eine aussergewöhnlich hohe Vertrauenshürde. Ohne Viktor und Lydia als menschliche Träger wird Beastly zu abstrakt — ein Fonds ohne Gesicht, eine Idee ohne Verwurzelung. Sie müssen nicht zu Influencern werden. Aber sie müssen als glaubwürdige Träger sichtbar sein.</w:t>
      </w:r>
    </w:p>
    <w:p>
      <w:pPr>
        <w:spacing w:before="240" w:after="80"/>
      </w:pPr>
      <w:r>
        <w:rPr>
          <w:rFonts w:ascii="Calibri" w:hAnsi="Calibri"/>
          <w:b/>
          <w:i w:val="0"/>
          <w:color w:val="1A1033"/>
          <w:sz w:val="24"/>
        </w:rPr>
        <w:t>Warum radikale Transparenz als Stärke?</w:t>
      </w:r>
    </w:p>
    <w:p>
      <w:pPr>
        <w:spacing w:after="140"/>
      </w:pPr>
      <w:r>
        <w:rPr>
          <w:rFonts w:ascii="Calibri" w:hAnsi="Calibri"/>
          <w:b w:val="0"/>
          <w:i w:val="0"/>
          <w:color w:val="333333"/>
          <w:sz w:val="21"/>
        </w:rPr>
        <w:t>Beastly hat etwas, das kein anderer Asset Manager hat: gecappte Löhne, kein Bonus-System, öffentlich ausgewiesene Vergütungen, und sämtliche Gewinne fliessen in Tierschutzprojekte. Diese Fakten sind kommunikativ Gold — aber nur, wenn sie direkt sichtbar sind, nicht im Kleingedruckten. Transparenz ist hier kein ethisches Gebot, sondern ein Differenzierungshebel.</w:t>
      </w:r>
    </w:p>
    <w:p>
      <w:pPr>
        <w:spacing w:before="240" w:after="80"/>
      </w:pPr>
      <w:r>
        <w:rPr>
          <w:rFonts w:ascii="Calibri" w:hAnsi="Calibri"/>
          <w:b/>
          <w:i w:val="0"/>
          <w:color w:val="1A1033"/>
          <w:sz w:val="24"/>
        </w:rPr>
        <w:t>Warum dosieren statt alles auf einmal?</w:t>
      </w:r>
    </w:p>
    <w:p>
      <w:pPr>
        <w:spacing w:after="140"/>
      </w:pPr>
      <w:r>
        <w:rPr>
          <w:rFonts w:ascii="Calibri" w:hAnsi="Calibri"/>
          <w:b w:val="0"/>
          <w:i w:val="0"/>
          <w:color w:val="333333"/>
          <w:sz w:val="21"/>
        </w:rPr>
        <w:t>Das Produkt ist komplex: AMC, Non-Profit-Logik, Management Fees, Tierschutzprojekte, Chipiron, Beastly, FourGive, KI-Screening, Retail und institutionelle Investoren. Wer das alles von Anfang an erklären will, verliert Menschen.</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«Die Herausforderung wird nicht sein, genug zu sagen. Die Herausforderung wird sein, zum richtigen Zeitpunkt das Richtige zu sagen.»</w:t>
            </w:r>
          </w:p>
          <w:p>
            <w:r>
              <w:rPr>
                <w:rFonts w:ascii="Calibri" w:hAnsi="Calibri"/>
                <w:b w:val="0"/>
                <w:i w:val="0"/>
                <w:color w:val="555555"/>
                <w:sz w:val="19"/>
              </w:rPr>
              <w:t>— Gedanken aus dem Workshop</w:t>
            </w:r>
          </w:p>
        </w:tc>
      </w:tr>
    </w:tbl>
    <w:p>
      <w:pPr>
        <w:spacing w:after="80"/>
      </w:pPr>
    </w:p>
    <w:p>
      <w:pPr>
        <w:spacing w:after="140"/>
      </w:pPr>
      <w:r>
        <w:rPr>
          <w:rFonts w:ascii="Calibri" w:hAnsi="Calibri"/>
          <w:b w:val="0"/>
          <w:i w:val="0"/>
          <w:color w:val="333333"/>
          <w:sz w:val="21"/>
        </w:rPr>
        <w:t>Deshalb folgt die gesamte Kommunikation einem klar gestuften Funnel-Prinzip: zuerst Aufmerksamkeit, dann Neugier, dann Vertrauen, dann Erklärung, dann erst Entscheidung. Keine Stufe wird übersprungen.</w:t>
      </w:r>
    </w:p>
    <w:p>
      <w:pPr>
        <w:spacing w:before="240" w:after="80"/>
      </w:pPr>
      <w:r>
        <w:rPr>
          <w:rFonts w:ascii="Calibri" w:hAnsi="Calibri"/>
          <w:b/>
          <w:i w:val="0"/>
          <w:color w:val="1A1033"/>
          <w:sz w:val="24"/>
        </w:rPr>
        <w:t>Warum zwei Bildwelten?</w:t>
      </w:r>
    </w:p>
    <w:p>
      <w:pPr>
        <w:spacing w:after="140"/>
      </w:pPr>
      <w:r>
        <w:rPr>
          <w:rFonts w:ascii="Calibri" w:hAnsi="Calibri"/>
          <w:b w:val="0"/>
          <w:i w:val="0"/>
          <w:color w:val="333333"/>
          <w:sz w:val="21"/>
        </w:rPr>
        <w:t>Die Spannung zwischen starken Tieren (Raubtier, Stärke, Durchsetzungskraft) und schützenswerten Tieren (Laborhase, Beagle, Tiere aus der Klinik) ist keine Inkonsistenz — sie ist ein kommunikatives System:</w:t>
      </w:r>
    </w:p>
    <w:p>
      <w:pPr>
        <w:pStyle w:val="ListBullet"/>
        <w:spacing w:after="60"/>
      </w:pPr>
      <w:r>
        <w:rPr>
          <w:rFonts w:ascii="Calibri" w:hAnsi="Calibri"/>
          <w:b/>
          <w:i w:val="0"/>
          <w:color w:val="333333"/>
          <w:sz w:val="21"/>
        </w:rPr>
        <w:t xml:space="preserve">Starke Tiere / Raubtier-Codes →  </w:t>
      </w:r>
      <w:r>
        <w:rPr>
          <w:rFonts w:ascii="Calibri" w:hAnsi="Calibri"/>
          <w:b w:val="0"/>
          <w:i w:val="0"/>
          <w:color w:val="333333"/>
          <w:sz w:val="21"/>
        </w:rPr>
        <w:t>Strategie, Investment, Schutzinstinkt, Analyse, Kontrolle</w:t>
      </w:r>
    </w:p>
    <w:p>
      <w:pPr>
        <w:pStyle w:val="ListBullet"/>
        <w:spacing w:after="60"/>
      </w:pPr>
      <w:r>
        <w:rPr>
          <w:rFonts w:ascii="Calibri" w:hAnsi="Calibri"/>
          <w:b/>
          <w:i w:val="0"/>
          <w:color w:val="333333"/>
          <w:sz w:val="21"/>
        </w:rPr>
        <w:t xml:space="preserve">Schützenswerte Tiere / reale Geschichten →  </w:t>
      </w:r>
      <w:r>
        <w:rPr>
          <w:rFonts w:ascii="Calibri" w:hAnsi="Calibri"/>
          <w:b w:val="0"/>
          <w:i w:val="0"/>
          <w:color w:val="333333"/>
          <w:sz w:val="21"/>
        </w:rPr>
        <w:t>Wirkung, Projekte, Emotion, Vertrauen, Sinn</w:t>
      </w:r>
    </w:p>
    <w:p>
      <w:pPr>
        <w:spacing w:after="140"/>
      </w:pPr>
      <w:r>
        <w:rPr>
          <w:rFonts w:ascii="Calibri" w:hAnsi="Calibri"/>
          <w:b w:val="0"/>
          <w:i w:val="0"/>
          <w:color w:val="333333"/>
          <w:sz w:val="21"/>
        </w:rPr>
        <w:t>Beide Welten werden immer zusammen kommuniziert — nie isoliert. Das verbindet die Investment- mit der Wirkungsebene und spricht beide Zielgruppen gleichzeitig an.</w:t>
      </w:r>
    </w:p>
    <w:p>
      <w:pPr>
        <w:spacing w:before="120" w:after="120"/>
        <w:pBdr>
          <w:bottom w:val="single" w:sz="4" w:space="1" w:color="a176f4"/>
        </w:pBdr>
      </w:pPr>
    </w:p>
    <w:p>
      <w:pPr>
        <w:spacing w:before="360" w:after="120"/>
      </w:pPr>
      <w:r>
        <w:rPr>
          <w:rFonts w:ascii="Calibri" w:hAnsi="Calibri"/>
          <w:b/>
          <w:i w:val="0"/>
          <w:color w:val="4B319B"/>
          <w:sz w:val="32"/>
        </w:rPr>
        <w:t>5.  Der Kommunikationsfunnel</w:t>
      </w:r>
    </w:p>
    <w:p>
      <w:pPr>
        <w:spacing w:after="140"/>
      </w:pPr>
      <w:r>
        <w:rPr>
          <w:rFonts w:ascii="Calibri" w:hAnsi="Calibri"/>
          <w:b w:val="0"/>
          <w:i w:val="0"/>
          <w:color w:val="333333"/>
          <w:sz w:val="21"/>
        </w:rPr>
        <w:t>Der Funnel bildet ab, wie eine Person schrittweise von der ersten Berührung mit Beastly zur Investmententscheidung geführt wird. Jede Stufe hat andere Kanäle, andere Botschaften und ein anderes Ziel. Die Kommunikation dosiert — nicht alles auf einmal.</w:t>
      </w:r>
    </w:p>
    <w:p>
      <w:pPr>
        <w:spacing w:after="80"/>
      </w:pPr>
    </w:p>
    <w:tbl>
      <w:tblPr>
        <w:tblStyle w:val="TableGrid"/>
        <w:tblW w:type="auto" w:w="0"/>
        <w:tblLook w:firstColumn="1" w:firstRow="1" w:lastColumn="0" w:lastRow="0" w:noHBand="0" w:noVBand="1" w:val="04A0"/>
      </w:tblPr>
      <w:tblGrid>
        <w:gridCol w:w="4306"/>
        <w:gridCol w:w="4306"/>
      </w:tblGrid>
      <w:tr>
        <w:tc>
          <w:tcPr>
            <w:tcW w:type="dxa" w:w="720"/>
            <w:shd w:val="clear" w:color="auto" w:fill="142233"/>
            <w:tcMar>
              <w:top w:w="80" w:type="dxa"/>
              <w:bottom w:w="80" w:type="dxa"/>
              <w:left w:w="120" w:type="dxa"/>
              <w:right w:w="60" w:type="dxa"/>
            </w:tcMar>
          </w:tcPr>
          <w:p>
            <w:pPr>
              <w:jc w:val="center"/>
            </w:pPr>
            <w:r>
              <w:rPr>
                <w:rFonts w:ascii="Calibri" w:hAnsi="Calibri"/>
                <w:b/>
                <w:color w:val="FFFFFF"/>
                <w:sz w:val="40"/>
              </w:rPr>
              <w:t>01</w:t>
            </w:r>
          </w:p>
        </w:tc>
        <w:tc>
          <w:tcPr>
            <w:tcW w:type="dxa" w:w="4306"/>
            <w:shd w:val="clear" w:color="auto" w:fill="142233"/>
            <w:tcMar>
              <w:top w:w="80" w:type="dxa"/>
              <w:bottom w:w="80" w:type="dxa"/>
              <w:left w:w="100" w:type="dxa"/>
              <w:right w:w="100" w:type="dxa"/>
            </w:tcMar>
          </w:tcPr>
          <w:p>
            <w:pPr>
              <w:jc w:val="left"/>
            </w:pPr>
            <w:r>
              <w:rPr>
                <w:rFonts w:ascii="Calibri" w:hAnsi="Calibri"/>
                <w:b/>
                <w:color w:val="FFFFFF"/>
                <w:sz w:val="26"/>
              </w:rPr>
              <w:t>AUFMERKSAMKEIT</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7F3FF"/>
            <w:tcMar>
              <w:top w:w="90" w:type="dxa"/>
              <w:bottom w:w="90" w:type="dxa"/>
              <w:left w:w="100" w:type="dxa"/>
              <w:right w:w="100" w:type="dxa"/>
            </w:tcMar>
          </w:tcPr>
          <w:p>
            <w:r>
              <w:rPr>
                <w:rFonts w:ascii="Calibri" w:hAnsi="Calibri"/>
                <w:b/>
                <w:color w:val="4B319B"/>
                <w:sz w:val="16"/>
              </w:rPr>
              <w:t>KANÄLE</w:t>
            </w:r>
          </w:p>
          <w:p>
            <w:r>
              <w:rPr>
                <w:rFonts w:ascii="Calibri" w:hAnsi="Calibri"/>
                <w:color w:val="333333"/>
                <w:sz w:val="18"/>
              </w:rPr>
              <w:t>→ Viktor Ackermann — LinkedIn (persönliches Profil)</w:t>
              <w:br/>
              <w:t>→ Beastly — Social Media Posting (Markenkanal)</w:t>
              <w:br/>
              <w:t>→ Paid Awareness-Ads — LinkedIn &amp; Meta</w:t>
            </w:r>
          </w:p>
        </w:tc>
        <w:tc>
          <w:tcPr>
            <w:tcW w:type="dxa" w:w="2871"/>
            <w:shd w:val="clear" w:color="auto" w:fill="F7F3FF"/>
            <w:tcMar>
              <w:top w:w="90" w:type="dxa"/>
              <w:bottom w:w="90" w:type="dxa"/>
              <w:left w:w="100" w:type="dxa"/>
              <w:right w:w="100" w:type="dxa"/>
            </w:tcMar>
          </w:tcPr>
          <w:p>
            <w:r>
              <w:rPr>
                <w:rFonts w:ascii="Calibri" w:hAnsi="Calibri"/>
                <w:b/>
                <w:color w:val="4B319B"/>
                <w:sz w:val="16"/>
              </w:rPr>
              <w:t>BOTSCHAFT</w:t>
            </w:r>
          </w:p>
          <w:p>
            <w:r>
              <w:rPr>
                <w:rFonts w:ascii="Calibri" w:hAnsi="Calibri"/>
                <w:color w:val="333333"/>
                <w:sz w:val="18"/>
              </w:rPr>
              <w:t>«Tierschutz und Rendite schliessen sich nicht aus.»  /  «Gutes tun ohne Verzicht.»  /  «Der einzige Asset Manager, der seine Löhne zeigt.»</w:t>
            </w:r>
          </w:p>
        </w:tc>
        <w:tc>
          <w:tcPr>
            <w:tcW w:type="dxa" w:w="2871"/>
            <w:shd w:val="clear" w:color="auto" w:fill="F7F3FF"/>
            <w:tcMar>
              <w:top w:w="90" w:type="dxa"/>
              <w:bottom w:w="90" w:type="dxa"/>
              <w:left w:w="100" w:type="dxa"/>
              <w:right w:w="100" w:type="dxa"/>
            </w:tcMar>
          </w:tcPr>
          <w:p>
            <w:r>
              <w:rPr>
                <w:rFonts w:ascii="Calibri" w:hAnsi="Calibri"/>
                <w:b/>
                <w:color w:val="4B319B"/>
                <w:sz w:val="16"/>
              </w:rPr>
              <w:t>ZUR NÄCHSTEN STUFE</w:t>
            </w:r>
          </w:p>
          <w:p>
            <w:r>
              <w:rPr>
                <w:rFonts w:ascii="Calibri" w:hAnsi="Calibri"/>
                <w:color w:val="333333"/>
                <w:sz w:val="18"/>
              </w:rPr>
              <w:t>Ziel: Erste Berührung. Hook erzeugen. Nicht erklären — neugierig machen.</w:t>
              <w:br/>
              <w:br/>
              <w:t>Wer kommt weiter? Alle, die emotional berührt werden oder die Idee spannend finden.</w:t>
            </w:r>
          </w:p>
        </w:tc>
      </w:tr>
    </w:tbl>
    <w:p>
      <w:pPr>
        <w:spacing w:before="40" w:after="40"/>
        <w:jc w:val="center"/>
      </w:pPr>
      <w:r>
        <w:rPr>
          <w:rFonts w:ascii="Calibri" w:hAnsi="Calibri"/>
          <w:color w:val="A176F4"/>
          <w:sz w:val="28"/>
        </w:rPr>
        <w:t>▼</w:t>
      </w:r>
    </w:p>
    <w:tbl>
      <w:tblPr>
        <w:tblStyle w:val="TableGrid"/>
        <w:tblW w:type="auto" w:w="0"/>
        <w:tblLook w:firstColumn="1" w:firstRow="1" w:lastColumn="0" w:lastRow="0" w:noHBand="0" w:noVBand="1" w:val="04A0"/>
      </w:tblPr>
      <w:tblGrid>
        <w:gridCol w:w="4306"/>
        <w:gridCol w:w="4306"/>
      </w:tblGrid>
      <w:tr>
        <w:tc>
          <w:tcPr>
            <w:tcW w:type="dxa" w:w="720"/>
            <w:shd w:val="clear" w:color="auto" w:fill="1e3350"/>
            <w:tcMar>
              <w:top w:w="80" w:type="dxa"/>
              <w:bottom w:w="80" w:type="dxa"/>
              <w:left w:w="120" w:type="dxa"/>
              <w:right w:w="60" w:type="dxa"/>
            </w:tcMar>
          </w:tcPr>
          <w:p>
            <w:pPr>
              <w:jc w:val="center"/>
            </w:pPr>
            <w:r>
              <w:rPr>
                <w:rFonts w:ascii="Calibri" w:hAnsi="Calibri"/>
                <w:b/>
                <w:color w:val="FFFFFF"/>
                <w:sz w:val="40"/>
              </w:rPr>
              <w:t>02</w:t>
            </w:r>
          </w:p>
        </w:tc>
        <w:tc>
          <w:tcPr>
            <w:tcW w:type="dxa" w:w="4306"/>
            <w:shd w:val="clear" w:color="auto" w:fill="1e3350"/>
            <w:tcMar>
              <w:top w:w="80" w:type="dxa"/>
              <w:bottom w:w="80" w:type="dxa"/>
              <w:left w:w="100" w:type="dxa"/>
              <w:right w:w="100" w:type="dxa"/>
            </w:tcMar>
          </w:tcPr>
          <w:p>
            <w:pPr>
              <w:jc w:val="left"/>
            </w:pPr>
            <w:r>
              <w:rPr>
                <w:rFonts w:ascii="Calibri" w:hAnsi="Calibri"/>
                <w:b/>
                <w:color w:val="FFFFFF"/>
                <w:sz w:val="26"/>
              </w:rPr>
              <w:t>NEUGIER</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0F4FF"/>
            <w:tcMar>
              <w:top w:w="90" w:type="dxa"/>
              <w:bottom w:w="90" w:type="dxa"/>
              <w:left w:w="100" w:type="dxa"/>
              <w:right w:w="100" w:type="dxa"/>
            </w:tcMar>
          </w:tcPr>
          <w:p>
            <w:r>
              <w:rPr>
                <w:rFonts w:ascii="Calibri" w:hAnsi="Calibri"/>
                <w:b/>
                <w:color w:val="4B319B"/>
                <w:sz w:val="16"/>
              </w:rPr>
              <w:t>KANÄLE</w:t>
            </w:r>
          </w:p>
          <w:p>
            <w:r>
              <w:rPr>
                <w:rFonts w:ascii="Calibri" w:hAnsi="Calibri"/>
                <w:color w:val="333333"/>
                <w:sz w:val="18"/>
              </w:rPr>
              <w:t>→ Viktor LinkedIn — Story-Content (FourGive-Hintergrund)</w:t>
              <w:br/>
              <w:t>→ Beastly Social Media — Dual-Bildwelt (Raubtier ↔ schützenswertes Tier)</w:t>
              <w:br/>
              <w:t>→ Website — Einstiegsseite (Gründerstory, Werte)</w:t>
            </w:r>
          </w:p>
        </w:tc>
        <w:tc>
          <w:tcPr>
            <w:tcW w:type="dxa" w:w="2871"/>
            <w:shd w:val="clear" w:color="auto" w:fill="F0F4FF"/>
            <w:tcMar>
              <w:top w:w="90" w:type="dxa"/>
              <w:bottom w:w="90" w:type="dxa"/>
              <w:left w:w="100" w:type="dxa"/>
              <w:right w:w="100" w:type="dxa"/>
            </w:tcMar>
          </w:tcPr>
          <w:p>
            <w:r>
              <w:rPr>
                <w:rFonts w:ascii="Calibri" w:hAnsi="Calibri"/>
                <w:b/>
                <w:color w:val="4B319B"/>
                <w:sz w:val="16"/>
              </w:rPr>
              <w:t>BOTSCHAFT</w:t>
            </w:r>
          </w:p>
          <w:p>
            <w:r>
              <w:rPr>
                <w:rFonts w:ascii="Calibri" w:hAnsi="Calibri"/>
                <w:color w:val="333333"/>
                <w:sz w:val="18"/>
              </w:rPr>
              <w:t>Die Geschichte hinter der Idee. Ägypten. Tierklinik. Die Erkenntnis. Warum Beastly existiert.</w:t>
            </w:r>
          </w:p>
        </w:tc>
        <w:tc>
          <w:tcPr>
            <w:tcW w:type="dxa" w:w="2871"/>
            <w:shd w:val="clear" w:color="auto" w:fill="F0F4FF"/>
            <w:tcMar>
              <w:top w:w="90" w:type="dxa"/>
              <w:bottom w:w="90" w:type="dxa"/>
              <w:left w:w="100" w:type="dxa"/>
              <w:right w:w="100" w:type="dxa"/>
            </w:tcMar>
          </w:tcPr>
          <w:p>
            <w:r>
              <w:rPr>
                <w:rFonts w:ascii="Calibri" w:hAnsi="Calibri"/>
                <w:b/>
                <w:color w:val="4B319B"/>
                <w:sz w:val="16"/>
              </w:rPr>
              <w:t>ZUR NÄCHSTEN STUFE</w:t>
            </w:r>
          </w:p>
          <w:p>
            <w:r>
              <w:rPr>
                <w:rFonts w:ascii="Calibri" w:hAnsi="Calibri"/>
                <w:color w:val="333333"/>
                <w:sz w:val="18"/>
              </w:rPr>
              <w:t>Ziel: Aus Aufmerksamkeit wird Auseinandersetzung. Der Mensch sucht aktiv nach mehr.</w:t>
              <w:br/>
              <w:br/>
              <w:t>Wer kommt weiter? Alle, die mehr wissen wollen und aktiv weiterklicken.</w:t>
            </w:r>
          </w:p>
        </w:tc>
      </w:tr>
    </w:tbl>
    <w:p>
      <w:pPr>
        <w:spacing w:before="40" w:after="40"/>
        <w:jc w:val="center"/>
      </w:pPr>
      <w:r>
        <w:rPr>
          <w:rFonts w:ascii="Calibri" w:hAnsi="Calibri"/>
          <w:color w:val="A176F4"/>
          <w:sz w:val="28"/>
        </w:rPr>
        <w:t>▼</w:t>
      </w:r>
    </w:p>
    <w:tbl>
      <w:tblPr>
        <w:tblStyle w:val="TableGrid"/>
        <w:tblW w:type="auto" w:w="0"/>
        <w:tblLook w:firstColumn="1" w:firstRow="1" w:lastColumn="0" w:lastRow="0" w:noHBand="0" w:noVBand="1" w:val="04A0"/>
      </w:tblPr>
      <w:tblGrid>
        <w:gridCol w:w="4306"/>
        <w:gridCol w:w="4306"/>
      </w:tblGrid>
      <w:tr>
        <w:tc>
          <w:tcPr>
            <w:tcW w:type="dxa" w:w="720"/>
            <w:shd w:val="clear" w:color="auto" w:fill="27406A"/>
            <w:tcMar>
              <w:top w:w="80" w:type="dxa"/>
              <w:bottom w:w="80" w:type="dxa"/>
              <w:left w:w="120" w:type="dxa"/>
              <w:right w:w="60" w:type="dxa"/>
            </w:tcMar>
          </w:tcPr>
          <w:p>
            <w:pPr>
              <w:jc w:val="center"/>
            </w:pPr>
            <w:r>
              <w:rPr>
                <w:rFonts w:ascii="Calibri" w:hAnsi="Calibri"/>
                <w:b/>
                <w:color w:val="FFFFFF"/>
                <w:sz w:val="40"/>
              </w:rPr>
              <w:t>03</w:t>
            </w:r>
          </w:p>
        </w:tc>
        <w:tc>
          <w:tcPr>
            <w:tcW w:type="dxa" w:w="4306"/>
            <w:shd w:val="clear" w:color="auto" w:fill="27406A"/>
            <w:tcMar>
              <w:top w:w="80" w:type="dxa"/>
              <w:bottom w:w="80" w:type="dxa"/>
              <w:left w:w="100" w:type="dxa"/>
              <w:right w:w="100" w:type="dxa"/>
            </w:tcMar>
          </w:tcPr>
          <w:p>
            <w:pPr>
              <w:jc w:val="left"/>
            </w:pPr>
            <w:r>
              <w:rPr>
                <w:rFonts w:ascii="Calibri" w:hAnsi="Calibri"/>
                <w:b/>
                <w:color w:val="FFFFFF"/>
                <w:sz w:val="26"/>
              </w:rPr>
              <w:t>VERTRAUEN</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7F3FF"/>
            <w:tcMar>
              <w:top w:w="90" w:type="dxa"/>
              <w:bottom w:w="90" w:type="dxa"/>
              <w:left w:w="100" w:type="dxa"/>
              <w:right w:w="100" w:type="dxa"/>
            </w:tcMar>
          </w:tcPr>
          <w:p>
            <w:r>
              <w:rPr>
                <w:rFonts w:ascii="Calibri" w:hAnsi="Calibri"/>
                <w:b/>
                <w:color w:val="4B319B"/>
                <w:sz w:val="16"/>
              </w:rPr>
              <w:t>KANÄLE</w:t>
            </w:r>
          </w:p>
          <w:p>
            <w:r>
              <w:rPr>
                <w:rFonts w:ascii="Calibri" w:hAnsi="Calibri"/>
                <w:color w:val="333333"/>
                <w:sz w:val="18"/>
              </w:rPr>
              <w:t>→ Website — Transparenzbereich (Löhne, Struktur, Mittelverwendung)</w:t>
              <w:br/>
              <w:t>→ Viktor &amp; Lydia als Personen (Nahbarkeit, Authentizität)</w:t>
              <w:br/>
              <w:t>→ FourGive — Wirkungsbelege, reale Geschichten</w:t>
            </w:r>
          </w:p>
        </w:tc>
        <w:tc>
          <w:tcPr>
            <w:tcW w:type="dxa" w:w="2871"/>
            <w:shd w:val="clear" w:color="auto" w:fill="F7F3FF"/>
            <w:tcMar>
              <w:top w:w="90" w:type="dxa"/>
              <w:bottom w:w="90" w:type="dxa"/>
              <w:left w:w="100" w:type="dxa"/>
              <w:right w:w="100" w:type="dxa"/>
            </w:tcMar>
          </w:tcPr>
          <w:p>
            <w:r>
              <w:rPr>
                <w:rFonts w:ascii="Calibri" w:hAnsi="Calibri"/>
                <w:b/>
                <w:color w:val="4B319B"/>
                <w:sz w:val="16"/>
              </w:rPr>
              <w:t>BOTSCHAFT</w:t>
            </w:r>
          </w:p>
          <w:p>
            <w:r>
              <w:rPr>
                <w:rFonts w:ascii="Calibri" w:hAnsi="Calibri"/>
                <w:color w:val="333333"/>
                <w:sz w:val="18"/>
              </w:rPr>
              <w:t>«Hier werden Löhne gezeigt.»  /  «Kein Bonus-System.»  /  «20% der Fee geht direkt an Tierschutz.»  /  Nicht Charity — Struktur.</w:t>
            </w:r>
          </w:p>
        </w:tc>
        <w:tc>
          <w:tcPr>
            <w:tcW w:type="dxa" w:w="2871"/>
            <w:shd w:val="clear" w:color="auto" w:fill="F7F3FF"/>
            <w:tcMar>
              <w:top w:w="90" w:type="dxa"/>
              <w:bottom w:w="90" w:type="dxa"/>
              <w:left w:w="100" w:type="dxa"/>
              <w:right w:w="100" w:type="dxa"/>
            </w:tcMar>
          </w:tcPr>
          <w:p>
            <w:r>
              <w:rPr>
                <w:rFonts w:ascii="Calibri" w:hAnsi="Calibri"/>
                <w:b/>
                <w:color w:val="4B319B"/>
                <w:sz w:val="16"/>
              </w:rPr>
              <w:t>ZUR NÄCHSTEN STUFE</w:t>
            </w:r>
          </w:p>
          <w:p>
            <w:r>
              <w:rPr>
                <w:rFonts w:ascii="Calibri" w:hAnsi="Calibri"/>
                <w:color w:val="333333"/>
                <w:sz w:val="18"/>
              </w:rPr>
              <w:t>Ziel: Zweifel ausräumen. Substanz beweisen. Beastly als ernsthaftes, glaubwürdiges Produkt verankern.</w:t>
              <w:br/>
              <w:br/>
              <w:t>Wer kommt weiter? Alle, die bereit sind zu prüfen — ob das stimmt, was versprochen wird.</w:t>
            </w:r>
          </w:p>
        </w:tc>
      </w:tr>
    </w:tbl>
    <w:p>
      <w:pPr>
        <w:spacing w:before="40" w:after="40"/>
        <w:jc w:val="center"/>
      </w:pPr>
      <w:r>
        <w:rPr>
          <w:rFonts w:ascii="Calibri" w:hAnsi="Calibri"/>
          <w:color w:val="A176F4"/>
          <w:sz w:val="28"/>
        </w:rPr>
        <w:t>▼</w:t>
      </w:r>
    </w:p>
    <w:tbl>
      <w:tblPr>
        <w:tblStyle w:val="TableGrid"/>
        <w:tblW w:type="auto" w:w="0"/>
        <w:tblLook w:firstColumn="1" w:firstRow="1" w:lastColumn="0" w:lastRow="0" w:noHBand="0" w:noVBand="1" w:val="04A0"/>
      </w:tblPr>
      <w:tblGrid>
        <w:gridCol w:w="4306"/>
        <w:gridCol w:w="4306"/>
      </w:tblGrid>
      <w:tr>
        <w:tc>
          <w:tcPr>
            <w:tcW w:type="dxa" w:w="720"/>
            <w:shd w:val="clear" w:color="auto" w:fill="344E5A"/>
            <w:tcMar>
              <w:top w:w="80" w:type="dxa"/>
              <w:bottom w:w="80" w:type="dxa"/>
              <w:left w:w="120" w:type="dxa"/>
              <w:right w:w="60" w:type="dxa"/>
            </w:tcMar>
          </w:tcPr>
          <w:p>
            <w:pPr>
              <w:jc w:val="center"/>
            </w:pPr>
            <w:r>
              <w:rPr>
                <w:rFonts w:ascii="Calibri" w:hAnsi="Calibri"/>
                <w:b/>
                <w:color w:val="FFFFFF"/>
                <w:sz w:val="40"/>
              </w:rPr>
              <w:t>04</w:t>
            </w:r>
          </w:p>
        </w:tc>
        <w:tc>
          <w:tcPr>
            <w:tcW w:type="dxa" w:w="4306"/>
            <w:shd w:val="clear" w:color="auto" w:fill="344E5A"/>
            <w:tcMar>
              <w:top w:w="80" w:type="dxa"/>
              <w:bottom w:w="80" w:type="dxa"/>
              <w:left w:w="100" w:type="dxa"/>
              <w:right w:w="100" w:type="dxa"/>
            </w:tcMar>
          </w:tcPr>
          <w:p>
            <w:pPr>
              <w:jc w:val="left"/>
            </w:pPr>
            <w:r>
              <w:rPr>
                <w:rFonts w:ascii="Calibri" w:hAnsi="Calibri"/>
                <w:b/>
                <w:color w:val="FFFFFF"/>
                <w:sz w:val="26"/>
              </w:rPr>
              <w:t>ERKLÄRUNG</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0F4FF"/>
            <w:tcMar>
              <w:top w:w="90" w:type="dxa"/>
              <w:bottom w:w="90" w:type="dxa"/>
              <w:left w:w="100" w:type="dxa"/>
              <w:right w:w="100" w:type="dxa"/>
            </w:tcMar>
          </w:tcPr>
          <w:p>
            <w:r>
              <w:rPr>
                <w:rFonts w:ascii="Calibri" w:hAnsi="Calibri"/>
                <w:b/>
                <w:color w:val="4B319B"/>
                <w:sz w:val="16"/>
              </w:rPr>
              <w:t>KANÄLE</w:t>
            </w:r>
          </w:p>
          <w:p>
            <w:r>
              <w:rPr>
                <w:rFonts w:ascii="Calibri" w:hAnsi="Calibri"/>
                <w:color w:val="333333"/>
                <w:sz w:val="18"/>
              </w:rPr>
              <w:t>→ Pitch Deck — emotionaler Aufbau, faktische Tiefe</w:t>
              <w:br/>
              <w:t>→ Direktgespräch Viktor &amp; Lydia (professionelle Investoren)</w:t>
              <w:br/>
              <w:t>→ Vertiefende Website-Inhalte (KI-Logik, Governance, Reporting)</w:t>
            </w:r>
          </w:p>
        </w:tc>
        <w:tc>
          <w:tcPr>
            <w:tcW w:type="dxa" w:w="2871"/>
            <w:shd w:val="clear" w:color="auto" w:fill="F0F4FF"/>
            <w:tcMar>
              <w:top w:w="90" w:type="dxa"/>
              <w:bottom w:w="90" w:type="dxa"/>
              <w:left w:w="100" w:type="dxa"/>
              <w:right w:w="100" w:type="dxa"/>
            </w:tcMar>
          </w:tcPr>
          <w:p>
            <w:r>
              <w:rPr>
                <w:rFonts w:ascii="Calibri" w:hAnsi="Calibri"/>
                <w:b/>
                <w:color w:val="4B319B"/>
                <w:sz w:val="16"/>
              </w:rPr>
              <w:t>BOTSCHAFT</w:t>
            </w:r>
          </w:p>
          <w:p>
            <w:r>
              <w:rPr>
                <w:rFonts w:ascii="Calibri" w:hAnsi="Calibri"/>
                <w:color w:val="333333"/>
                <w:sz w:val="18"/>
              </w:rPr>
              <w:t>Wie funktioniert die KI-Bewertung? Was ist die Rendite-Logik? Was passiert mit den 20%? Wer ist Chipiron?</w:t>
            </w:r>
          </w:p>
        </w:tc>
        <w:tc>
          <w:tcPr>
            <w:tcW w:type="dxa" w:w="2871"/>
            <w:shd w:val="clear" w:color="auto" w:fill="F0F4FF"/>
            <w:tcMar>
              <w:top w:w="90" w:type="dxa"/>
              <w:bottom w:w="90" w:type="dxa"/>
              <w:left w:w="100" w:type="dxa"/>
              <w:right w:w="100" w:type="dxa"/>
            </w:tcMar>
          </w:tcPr>
          <w:p>
            <w:r>
              <w:rPr>
                <w:rFonts w:ascii="Calibri" w:hAnsi="Calibri"/>
                <w:b/>
                <w:color w:val="4B319B"/>
                <w:sz w:val="16"/>
              </w:rPr>
              <w:t>ZUR NÄCHSTEN STUFE</w:t>
            </w:r>
          </w:p>
          <w:p>
            <w:r>
              <w:rPr>
                <w:rFonts w:ascii="Calibri" w:hAnsi="Calibri"/>
                <w:color w:val="333333"/>
                <w:sz w:val="18"/>
              </w:rPr>
              <w:t>Ziel: Investitionsentscheidung vorbereiten. Retail: einfacher Prozess. Professionell: tiefe Beweisführung.</w:t>
              <w:br/>
              <w:br/>
              <w:t>Wer kommt weiter? Alle, die investieren wollen — aber noch Fragen haben.</w:t>
            </w:r>
          </w:p>
        </w:tc>
      </w:tr>
    </w:tbl>
    <w:p>
      <w:pPr>
        <w:spacing w:before="40" w:after="40"/>
        <w:jc w:val="center"/>
      </w:pPr>
      <w:r>
        <w:rPr>
          <w:rFonts w:ascii="Calibri" w:hAnsi="Calibri"/>
          <w:color w:val="A176F4"/>
          <w:sz w:val="28"/>
        </w:rPr>
        <w:t>▼</w:t>
      </w:r>
    </w:p>
    <w:tbl>
      <w:tblPr>
        <w:tblStyle w:val="TableGrid"/>
        <w:tblW w:type="auto" w:w="0"/>
        <w:tblLook w:firstColumn="1" w:firstRow="1" w:lastColumn="0" w:lastRow="0" w:noHBand="0" w:noVBand="1" w:val="04A0"/>
      </w:tblPr>
      <w:tblGrid>
        <w:gridCol w:w="4306"/>
        <w:gridCol w:w="4306"/>
      </w:tblGrid>
      <w:tr>
        <w:tc>
          <w:tcPr>
            <w:tcW w:type="dxa" w:w="720"/>
            <w:shd w:val="clear" w:color="auto" w:fill="BD5435"/>
            <w:tcMar>
              <w:top w:w="80" w:type="dxa"/>
              <w:bottom w:w="80" w:type="dxa"/>
              <w:left w:w="120" w:type="dxa"/>
              <w:right w:w="60" w:type="dxa"/>
            </w:tcMar>
          </w:tcPr>
          <w:p>
            <w:pPr>
              <w:jc w:val="center"/>
            </w:pPr>
            <w:r>
              <w:rPr>
                <w:rFonts w:ascii="Calibri" w:hAnsi="Calibri"/>
                <w:b/>
                <w:color w:val="FFFFFF"/>
                <w:sz w:val="40"/>
              </w:rPr>
              <w:t>05</w:t>
            </w:r>
          </w:p>
        </w:tc>
        <w:tc>
          <w:tcPr>
            <w:tcW w:type="dxa" w:w="4306"/>
            <w:shd w:val="clear" w:color="auto" w:fill="BD5435"/>
            <w:tcMar>
              <w:top w:w="80" w:type="dxa"/>
              <w:bottom w:w="80" w:type="dxa"/>
              <w:left w:w="100" w:type="dxa"/>
              <w:right w:w="100" w:type="dxa"/>
            </w:tcMar>
          </w:tcPr>
          <w:p>
            <w:pPr>
              <w:jc w:val="left"/>
            </w:pPr>
            <w:r>
              <w:rPr>
                <w:rFonts w:ascii="Calibri" w:hAnsi="Calibri"/>
                <w:b/>
                <w:color w:val="FFFFFF"/>
                <w:sz w:val="26"/>
              </w:rPr>
              <w:t>ENTSCHEIDUNG</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7F3FF"/>
            <w:tcMar>
              <w:top w:w="90" w:type="dxa"/>
              <w:bottom w:w="90" w:type="dxa"/>
              <w:left w:w="100" w:type="dxa"/>
              <w:right w:w="100" w:type="dxa"/>
            </w:tcMar>
          </w:tcPr>
          <w:p>
            <w:r>
              <w:rPr>
                <w:rFonts w:ascii="Calibri" w:hAnsi="Calibri"/>
                <w:b/>
                <w:color w:val="4B319B"/>
                <w:sz w:val="16"/>
              </w:rPr>
              <w:t>KANÄLE</w:t>
            </w:r>
          </w:p>
          <w:p>
            <w:r>
              <w:rPr>
                <w:rFonts w:ascii="Calibri" w:hAnsi="Calibri"/>
                <w:color w:val="333333"/>
                <w:sz w:val="18"/>
              </w:rPr>
              <w:t>→ Retail: Online-Einstieg ab CHF 50 — niedrigschwellig</w:t>
              <w:br/>
              <w:t>→ Professionell: Direktabschluss nach Gespräch mit Viktor &amp; Lydia</w:t>
              <w:br/>
              <w:t>→ Conversion-Ads (Phase 2, wenn Fundament steht)</w:t>
            </w:r>
          </w:p>
        </w:tc>
        <w:tc>
          <w:tcPr>
            <w:tcW w:type="dxa" w:w="2871"/>
            <w:shd w:val="clear" w:color="auto" w:fill="F7F3FF"/>
            <w:tcMar>
              <w:top w:w="90" w:type="dxa"/>
              <w:bottom w:w="90" w:type="dxa"/>
              <w:left w:w="100" w:type="dxa"/>
              <w:right w:w="100" w:type="dxa"/>
            </w:tcMar>
          </w:tcPr>
          <w:p>
            <w:r>
              <w:rPr>
                <w:rFonts w:ascii="Calibri" w:hAnsi="Calibri"/>
                <w:b/>
                <w:color w:val="4B319B"/>
                <w:sz w:val="16"/>
              </w:rPr>
              <w:t>BOTSCHAFT</w:t>
            </w:r>
          </w:p>
          <w:p>
            <w:r>
              <w:rPr>
                <w:rFonts w:ascii="Calibri" w:hAnsi="Calibri"/>
                <w:color w:val="333333"/>
                <w:sz w:val="18"/>
              </w:rPr>
              <w:t>«Jetzt investieren.»  /  «Wirkung ab CHF 50.»  /  Klare, einfache Handlungsaufforderung.</w:t>
            </w:r>
          </w:p>
        </w:tc>
        <w:tc>
          <w:tcPr>
            <w:tcW w:type="dxa" w:w="2871"/>
            <w:shd w:val="clear" w:color="auto" w:fill="F7F3FF"/>
            <w:tcMar>
              <w:top w:w="90" w:type="dxa"/>
              <w:bottom w:w="90" w:type="dxa"/>
              <w:left w:w="100" w:type="dxa"/>
              <w:right w:w="100" w:type="dxa"/>
            </w:tcMar>
          </w:tcPr>
          <w:p>
            <w:r>
              <w:rPr>
                <w:rFonts w:ascii="Calibri" w:hAnsi="Calibri"/>
                <w:b/>
                <w:color w:val="4B319B"/>
                <w:sz w:val="16"/>
              </w:rPr>
              <w:t>ZUR NÄCHSTEN STUFE</w:t>
            </w:r>
          </w:p>
          <w:p>
            <w:r>
              <w:rPr>
                <w:rFonts w:ascii="Calibri" w:hAnsi="Calibri"/>
                <w:color w:val="333333"/>
                <w:sz w:val="18"/>
              </w:rPr>
              <w:t>Ziel: Investmententscheidung auslösen. Retail ohne Hürden. Professionell mit Begleitung.</w:t>
              <w:br/>
              <w:br/>
              <w:t>Wer kommt weiter? Alle, die sich entschieden haben — Retail digital, Profis über persönlichen Kontakt.</w:t>
            </w:r>
          </w:p>
        </w:tc>
      </w:tr>
    </w:tbl>
    <w:p>
      <w:pPr>
        <w:spacing w:after="120"/>
      </w:pPr>
    </w:p>
    <w:p>
      <w:pPr>
        <w:spacing w:before="120" w:after="120"/>
        <w:pBdr>
          <w:bottom w:val="single" w:sz="4" w:space="1" w:color="a176f4"/>
        </w:pBdr>
      </w:pPr>
    </w:p>
    <w:p>
      <w:pPr>
        <w:spacing w:before="360" w:after="120"/>
      </w:pPr>
      <w:r>
        <w:rPr>
          <w:rFonts w:ascii="Calibri" w:hAnsi="Calibri"/>
          <w:b/>
          <w:i w:val="0"/>
          <w:color w:val="4B319B"/>
          <w:sz w:val="32"/>
        </w:rPr>
        <w:t>6.  Die Kommunikationselemente</w:t>
      </w:r>
    </w:p>
    <w:p>
      <w:pPr>
        <w:spacing w:after="140"/>
      </w:pPr>
      <w:r>
        <w:rPr>
          <w:rFonts w:ascii="Calibri" w:hAnsi="Calibri"/>
          <w:b w:val="0"/>
          <w:i w:val="0"/>
          <w:color w:val="333333"/>
          <w:sz w:val="21"/>
        </w:rPr>
        <w:t>Die acht Kommunikationselemente sind nach der Umsetzungslogik priorisiert: Fundament → Marke → Botschaft → Sichtbarkeit → Reichweite. Jedes Element enthält die strategische Begründung — das Warum ist ebenso wichtig wie das Was.</w:t>
      </w:r>
    </w:p>
    <w:p>
      <w:pPr>
        <w:spacing w:before="240" w:after="80"/>
      </w:pPr>
      <w:r>
        <w:rPr>
          <w:rFonts w:ascii="Calibri" w:hAnsi="Calibri"/>
          <w:b/>
          <w:i w:val="0"/>
          <w:color w:val="1A1033"/>
          <w:sz w:val="24"/>
        </w:rPr>
        <w:t>6.1  Logo und Branding — schärfen</w:t>
      </w:r>
    </w:p>
    <w:p>
      <w:pPr>
        <w:spacing w:after="140"/>
      </w:pPr>
      <w:r>
        <w:rPr>
          <w:rFonts w:ascii="Calibri" w:hAnsi="Calibri"/>
          <w:b w:val="0"/>
          <w:i w:val="0"/>
          <w:color w:val="333333"/>
          <w:sz w:val="21"/>
        </w:rPr>
        <w:t>Das Branding-System steht: DM Sans, Farbpalette (Navy #142233 / Clay #BD5435 / Ivory #F7EFE0 + 8 Sekundärfarben), drei Logo-Varianten. Das visuelle Grundsystem ist stark. Die strategische Aufgabe ist jetzt, die Rollentrennung sauber visuell zu verankern: Beastly als emotionaler Markenauftritt, Chipiron als diskreter Absender. Solange diese Architektur nicht klar geführt wird, sendet jede Massnahme ein widersprüchliches Signal.</w:t>
      </w:r>
    </w:p>
    <w:p>
      <w:pPr>
        <w:spacing w:after="140"/>
      </w:pPr>
      <w:r>
        <w:rPr>
          <w:rFonts w:ascii="Calibri" w:hAnsi="Calibri"/>
          <w:b w:val="0"/>
          <w:i w:val="0"/>
          <w:color w:val="333333"/>
          <w:sz w:val="21"/>
        </w:rPr>
        <w:t>Die duale Bildwelt (starke vs. schützenswerte Tiere) muss als konsistentes visuelles System ausgebaut werden — nicht als einmaliger Designentscheid.</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Das Branding ist die Sprache, in der alles andere kommuniziert wird. Ohne saubere Rollenklärung auf visueller Ebene ist jeder Kanal inkonsistent. Erst wenn die Markenarchitektur klar ist, kann konsequent gebaut werden.</w:t>
            </w:r>
          </w:p>
        </w:tc>
      </w:tr>
    </w:tbl>
    <w:p>
      <w:pPr>
        <w:spacing w:after="80"/>
      </w:pPr>
    </w:p>
    <w:p>
      <w:pPr>
        <w:spacing w:before="240" w:after="80"/>
      </w:pPr>
      <w:r>
        <w:rPr>
          <w:rFonts w:ascii="Calibri" w:hAnsi="Calibri"/>
          <w:b/>
          <w:i w:val="0"/>
          <w:color w:val="1A1033"/>
          <w:sz w:val="24"/>
        </w:rPr>
        <w:t>6.2  Webseite — überarbeiten</w:t>
      </w:r>
    </w:p>
    <w:p>
      <w:pPr>
        <w:spacing w:after="140"/>
      </w:pPr>
      <w:r>
        <w:rPr>
          <w:rFonts w:ascii="Calibri" w:hAnsi="Calibri"/>
          <w:b w:val="0"/>
          <w:i w:val="0"/>
          <w:color w:val="333333"/>
          <w:sz w:val="21"/>
        </w:rPr>
        <w:t>Die Website ist nicht der Akquise-Kanal, sondern der Vertrauensschritt im Funnel. Sie wird von Menschen besucht, die sich bereits interessieren und mehr wissen wollen. Heute zeigt die Seite Werte, aber lebt sie nicht: Gesichter fehlen, die Gründerstory ist kaum sichtbar, die Substanz (Löhne, Mittelverwendung, Projektstruktur) ist nicht direkt zugänglich.</w:t>
      </w:r>
    </w:p>
    <w:p>
      <w:pPr>
        <w:spacing w:after="140"/>
      </w:pPr>
      <w:r>
        <w:rPr>
          <w:rFonts w:ascii="Calibri" w:hAnsi="Calibri"/>
          <w:b w:val="0"/>
          <w:i w:val="0"/>
          <w:color w:val="333333"/>
          <w:sz w:val="21"/>
        </w:rPr>
        <w:t>Das Design wird überarbeitet (Fabio erarbeitet das visuelle Mockup parallel zu dieser Strategie — es wird als Bestandteil dieser Strategie ergänzt). Inhaltlich wird volle Transparenz als sichtbare Stärke direkt zugänglich gemacht, nicht gestaffelt.</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Die Webseite ist der einzige Ort, der vollständig kontrolliert wird. Sie muss die Vertrauensfrage beantworten — nicht durch Versprechen, sondern durch Beweis. Wer die Seite verlässt ohne Vertrauen gewonnen zu haben, investiert nicht.</w:t>
            </w:r>
          </w:p>
        </w:tc>
      </w:tr>
    </w:tbl>
    <w:p>
      <w:pPr>
        <w:spacing w:after="80"/>
      </w:pPr>
    </w:p>
    <w:p>
      <w:pPr>
        <w:spacing w:before="240" w:after="80"/>
      </w:pPr>
      <w:r>
        <w:rPr>
          <w:rFonts w:ascii="Calibri" w:hAnsi="Calibri"/>
          <w:b/>
          <w:i w:val="0"/>
          <w:color w:val="1A1033"/>
          <w:sz w:val="24"/>
        </w:rPr>
        <w:t>6.3  Personal Branding — Viktor Ackermann</w:t>
      </w:r>
    </w:p>
    <w:p>
      <w:pPr>
        <w:spacing w:after="140"/>
      </w:pPr>
      <w:r>
        <w:rPr>
          <w:rFonts w:ascii="Calibri" w:hAnsi="Calibri"/>
          <w:b w:val="0"/>
          <w:i w:val="0"/>
          <w:color w:val="333333"/>
          <w:sz w:val="21"/>
        </w:rPr>
        <w:t>Viktor baut ein LinkedIn-Profil als öffentliche Persönlichkeit auf — mit doppeltem Auftrag: Aufmerksamkeit generieren und Vertrauen aufbauen. Lydia flankiert, Viktor ist der Hauptakteur. Sein Profil ist kein ergänzendes Instrument — es ist der wichtigste Kommunikationskanal in der gesamten Strategie.</w:t>
      </w:r>
    </w:p>
    <w:p>
      <w:pPr>
        <w:spacing w:after="140"/>
      </w:pPr>
      <w:r>
        <w:rPr>
          <w:rFonts w:ascii="Calibri" w:hAnsi="Calibri"/>
          <w:b w:val="0"/>
          <w:i w:val="0"/>
          <w:color w:val="333333"/>
          <w:sz w:val="21"/>
        </w:rPr>
        <w:t>Personenzentriertes Content: Haltung, Gründerstory, FourGive-Momente, Investment-Reflexionen. Nicht selbst-promotend, sondern überzeugend durch Substanz.</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«Vertrauen entsteht über Menschen, Bilder, Momente und Nahbarkeit.» Persönliche LinkedIn-Profile sind in dieser Grösse um ein Vielfaches wirksamer als Unternehmens- oder Markenprofile. Viktor ist die glaubwürdigste Stimme für Beastly — weil er das Produkt nicht nur führt, sondern lebt. Ohne diese menschliche Ebene bleibt Beastly abstrakt.</w:t>
            </w:r>
          </w:p>
        </w:tc>
      </w:tr>
    </w:tbl>
    <w:p>
      <w:pPr>
        <w:spacing w:after="80"/>
      </w:pPr>
    </w:p>
    <w:p>
      <w:pPr>
        <w:spacing w:before="240" w:after="80"/>
      </w:pPr>
      <w:r>
        <w:rPr>
          <w:rFonts w:ascii="Calibri" w:hAnsi="Calibri"/>
          <w:b/>
          <w:i w:val="0"/>
          <w:color w:val="1A1033"/>
          <w:sz w:val="24"/>
        </w:rPr>
        <w:t>6.4  Repräsentationsmaterial — Pitch Deck</w:t>
      </w:r>
    </w:p>
    <w:p>
      <w:pPr>
        <w:spacing w:after="140"/>
      </w:pPr>
      <w:r>
        <w:rPr>
          <w:rFonts w:ascii="Calibri" w:hAnsi="Calibri"/>
          <w:b w:val="0"/>
          <w:i w:val="0"/>
          <w:color w:val="333333"/>
          <w:sz w:val="21"/>
        </w:rPr>
        <w:t>Ein emotionales Pitch Deck, das faktisch abholt und gleichzeitig berührt. Viktor und Lydia führen alle Verkaufsgespräche direkt — kein eigenständiges Leave-Behind ist nötig. Das Deck muss die dramaturgische Kurve abbilden: Emotion → Vertrauen → Performance. Die Gründerstory kommt zuerst. Die Struktur kommt danach. Die Zahlen kommen am Ende.</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Wer emotional berührt wird, hört zu. Wer vertraut, prüft. Wer überzeugt ist, investiert. Ein rein faktisches Pitch Deck überspringt die ersten beiden Stufen — und verliert genau die Investoren, die eigentlich offen wären.</w:t>
            </w:r>
          </w:p>
        </w:tc>
      </w:tr>
    </w:tbl>
    <w:p>
      <w:pPr>
        <w:spacing w:after="80"/>
      </w:pPr>
    </w:p>
    <w:p>
      <w:pPr>
        <w:spacing w:before="240" w:after="80"/>
      </w:pPr>
      <w:r>
        <w:rPr>
          <w:rFonts w:ascii="Calibri" w:hAnsi="Calibri"/>
          <w:b/>
          <w:i w:val="0"/>
          <w:color w:val="1A1033"/>
          <w:sz w:val="24"/>
        </w:rPr>
        <w:t>6.5  Partnerschaften — FourGive</w:t>
      </w:r>
    </w:p>
    <w:p>
      <w:pPr>
        <w:spacing w:after="140"/>
      </w:pPr>
      <w:r>
        <w:rPr>
          <w:rFonts w:ascii="Calibri" w:hAnsi="Calibri"/>
          <w:b w:val="0"/>
          <w:i w:val="0"/>
          <w:color w:val="333333"/>
          <w:sz w:val="21"/>
        </w:rPr>
        <w:t>FourGive ist keine akquirierte Partnerschaft — es ist die Gründungsgeschichte. Die Tierklinik, in der die Idee zu Beastly entstand. Genau deshalb ist sie kommunikativ so wertvoll: als lebender Beweis der Überzeugung, nicht als Kampagnenelement. FourGive wird eines der fünf Tierschutzprojekte 2026 sein. Da die Projekte jährlich wechseln, wird es nicht als feste Partnerschaft kommuniziert, sondern als prägender Bestandteil der Gründerstory.</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FourGive darf nie instrumentalisiert werden — das würde die Echtheit zerstören, die Beastly ausmacht. Der Wert liegt in der Authentizität, nicht in der Verwendung als Marketinginstrument.</w:t>
            </w:r>
          </w:p>
        </w:tc>
      </w:tr>
    </w:tbl>
    <w:p>
      <w:pPr>
        <w:spacing w:after="80"/>
      </w:pPr>
    </w:p>
    <w:p>
      <w:pPr>
        <w:spacing w:before="240" w:after="80"/>
      </w:pPr>
      <w:r>
        <w:rPr>
          <w:rFonts w:ascii="Calibri" w:hAnsi="Calibri"/>
          <w:b/>
          <w:i w:val="0"/>
          <w:color w:val="1A1033"/>
          <w:sz w:val="24"/>
        </w:rPr>
        <w:t>6.6  Social Media Posting — drei Kanäle</w:t>
      </w:r>
    </w:p>
    <w:p>
      <w:pPr>
        <w:spacing w:after="140"/>
      </w:pPr>
      <w:r>
        <w:rPr>
          <w:rFonts w:ascii="Calibri" w:hAnsi="Calibri"/>
          <w:b w:val="0"/>
          <w:i w:val="0"/>
          <w:color w:val="333333"/>
          <w:sz w:val="21"/>
        </w:rPr>
        <w:t>Drei Kanäle, unterschiedliche Schwerpunkte — alle kommunizieren immer beide Botschaften: Investieren UND Tierwohl.</w:t>
      </w:r>
    </w:p>
    <w:p>
      <w:pPr>
        <w:pStyle w:val="ListBullet"/>
        <w:spacing w:after="60"/>
      </w:pPr>
      <w:r>
        <w:rPr>
          <w:rFonts w:ascii="Calibri" w:hAnsi="Calibri"/>
          <w:b w:val="0"/>
          <w:i w:val="0"/>
          <w:color w:val="333333"/>
          <w:sz w:val="21"/>
        </w:rPr>
        <w:t>LinkedIn (Hauptempfehlung): professionell und nahbar, längere Inhalte, Vertrauen und Expertise</w:t>
      </w:r>
    </w:p>
    <w:p>
      <w:pPr>
        <w:pStyle w:val="ListBullet"/>
        <w:spacing w:after="60"/>
      </w:pPr>
      <w:r>
        <w:rPr>
          <w:rFonts w:ascii="Calibri" w:hAnsi="Calibri"/>
          <w:b w:val="0"/>
          <w:i w:val="0"/>
          <w:color w:val="333333"/>
          <w:sz w:val="21"/>
        </w:rPr>
        <w:t>TikTok (strategische Option): Persönlichkeit und Gesichter im Vordergrund, kurze authentische Formate</w:t>
      </w:r>
    </w:p>
    <w:p>
      <w:pPr>
        <w:pStyle w:val="ListBullet"/>
        <w:spacing w:after="60"/>
      </w:pPr>
      <w:r>
        <w:rPr>
          <w:rFonts w:ascii="Calibri" w:hAnsi="Calibri"/>
          <w:b w:val="0"/>
          <w:i w:val="0"/>
          <w:color w:val="333333"/>
          <w:sz w:val="21"/>
        </w:rPr>
        <w:t>Instagram/Meta (strategische Option): visuelle Stärke, Schwerpunkt Tierschutz und Emotion</w:t>
      </w:r>
    </w:p>
    <w:p>
      <w:pPr>
        <w:spacing w:after="140"/>
      </w:pPr>
      <w:r>
        <w:rPr>
          <w:rFonts w:ascii="Calibri" w:hAnsi="Calibri"/>
          <w:b w:val="0"/>
          <w:i w:val="0"/>
          <w:color w:val="333333"/>
          <w:sz w:val="21"/>
        </w:rPr>
        <w:t>Der Markenkanal ist der Hintergrund — Viktors Profil ist der Hauptmotor.</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Drei Kanäle weil: unterschiedliche Zielgruppen, unterschiedliche Aggregatzustände. LinkedIn erreicht professionelle Investoren und erlaubt tiefere Inhalte. TikTok ist der ehrlichste Kanal für Persönlichkeit. Instagram übersetzt Tierwohl-Emotionen visuell. Kein Kanal reicht allein.</w:t>
            </w:r>
          </w:p>
        </w:tc>
      </w:tr>
    </w:tbl>
    <w:p>
      <w:pPr>
        <w:spacing w:after="80"/>
      </w:pPr>
    </w:p>
    <w:p>
      <w:pPr>
        <w:spacing w:before="240" w:after="80"/>
      </w:pPr>
      <w:r>
        <w:rPr>
          <w:rFonts w:ascii="Calibri" w:hAnsi="Calibri"/>
          <w:b/>
          <w:i w:val="0"/>
          <w:color w:val="1A1033"/>
          <w:sz w:val="24"/>
        </w:rPr>
        <w:t>6.7  Events — Swiss Funds Anlass 16.09.2026</w:t>
      </w:r>
    </w:p>
    <w:p>
      <w:pPr>
        <w:spacing w:after="140"/>
      </w:pPr>
      <w:r>
        <w:rPr>
          <w:rFonts w:ascii="Calibri" w:hAnsi="Calibri"/>
          <w:b w:val="0"/>
          <w:i w:val="0"/>
          <w:color w:val="333333"/>
          <w:sz w:val="21"/>
        </w:rPr>
        <w:t>Der Swiss Funds Anlass von Norbert Bernhard am 16.09.2026 ist nicht Beastlys eigener Event — es ist eine Auftrittschance in einem hochwertigen Umfeld. Mit Simonetta Sommaruga und Norbert Bernhard als Kontext signalisiert dieser Anlass: Das ist genau das Finanzmarkt-Umfeld, in dem Beastly langfristig gehört werden will. Präsenz hier baut Glaubwürdigkeit in der richtigen Community auf — ohne dass Beastly schon alles fertig haben muss.</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Events dieser Qualität können nicht gebucht werden — sie müssen sich ergeben. Diese Chance strategisch zu nutzen bedeutet: Klar auftreten, offen vernetzen, ohne zu überwältigen. Beastly zeigt sich als seriöser Player, nicht als Pitch.</w:t>
            </w:r>
          </w:p>
        </w:tc>
      </w:tr>
    </w:tbl>
    <w:p>
      <w:pPr>
        <w:spacing w:after="80"/>
      </w:pPr>
    </w:p>
    <w:p>
      <w:pPr>
        <w:spacing w:before="240" w:after="80"/>
      </w:pPr>
      <w:r>
        <w:rPr>
          <w:rFonts w:ascii="Calibri" w:hAnsi="Calibri"/>
          <w:b/>
          <w:i w:val="0"/>
          <w:color w:val="1A1033"/>
          <w:sz w:val="24"/>
        </w:rPr>
        <w:t>6.8  Social Media Ads — zwei Phasen</w:t>
      </w:r>
    </w:p>
    <w:p>
      <w:pPr>
        <w:spacing w:after="140"/>
      </w:pPr>
      <w:r>
        <w:rPr>
          <w:rFonts w:ascii="Calibri" w:hAnsi="Calibri"/>
          <w:b w:val="0"/>
          <w:i w:val="0"/>
          <w:color w:val="333333"/>
          <w:sz w:val="21"/>
        </w:rPr>
        <w:t>Phase 1 — Awareness: Reichweite aufbauen, erste Berührungspunkte erzeugen, Grundrauschen schaffen. Vor allem LinkedIn, wo die Klickqualität höher und die professionelle Zielgruppe präsent ist. Meta für emotionale Tierwohl-Hooks.</w:t>
      </w:r>
    </w:p>
    <w:p>
      <w:pPr>
        <w:spacing w:after="140"/>
      </w:pPr>
      <w:r>
        <w:rPr>
          <w:rFonts w:ascii="Calibri" w:hAnsi="Calibri"/>
          <w:b w:val="0"/>
          <w:i w:val="0"/>
          <w:color w:val="333333"/>
          <w:sz w:val="21"/>
        </w:rPr>
        <w:t>Phase 2 — Conversion: Erst wenn das organische Fundament steht und Vertrauen aufgebaut ist, setzt Conversion-Advertising ein. Einstieg ab CHF 50 als konkrete Handlungsaufforderung.</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Wer Conversion-Ads schaltet, bevor das Grundrauschen steht, verbrennt Budget. Wer nur auf organisch setzt, wächst zu langsam. Sequenz ist der Schlüssel: Fundament → organisch → Awareness-Ads → Conversion.</w:t>
            </w:r>
          </w:p>
        </w:tc>
      </w:tr>
    </w:tbl>
    <w:p>
      <w:pPr>
        <w:spacing w:after="80"/>
      </w:pPr>
    </w:p>
    <w:p>
      <w:pPr>
        <w:spacing w:before="120" w:after="120"/>
        <w:pBdr>
          <w:bottom w:val="single" w:sz="4" w:space="1" w:color="a176f4"/>
        </w:pBdr>
      </w:pPr>
    </w:p>
    <w:p>
      <w:r>
        <w:br w:type="page"/>
      </w:r>
    </w:p>
    <w:p>
      <w:pPr>
        <w:spacing w:before="360" w:after="120"/>
      </w:pPr>
      <w:r>
        <w:rPr>
          <w:rFonts w:ascii="Calibri" w:hAnsi="Calibri"/>
          <w:b/>
          <w:i w:val="0"/>
          <w:color w:val="4B319B"/>
          <w:sz w:val="32"/>
        </w:rPr>
        <w:t>7.  Persönliche Einschätzung — Solider Startpunkt, hohe Kommunikationskomplexität</w:t>
      </w:r>
    </w:p>
    <w:p>
      <w:pPr>
        <w:spacing w:after="140"/>
      </w:pPr>
      <w:r>
        <w:rPr>
          <w:rFonts w:ascii="Calibri" w:hAnsi="Calibri"/>
          <w:b w:val="0"/>
          <w:i w:val="0"/>
          <w:color w:val="333333"/>
          <w:sz w:val="21"/>
        </w:rPr>
        <w:t>Beastly invested hat einen starken, eigenständigen und glaubwürdigen Ausgangspunkt: eine klare Gründerüberzeugung, ein relevantes Marktproblem und einen Produktansatz, der Tierschutz und Rendite nicht als Widerspruch versteht.</w:t>
      </w:r>
    </w:p>
    <w:p>
      <w:pPr>
        <w:spacing w:after="140"/>
      </w:pPr>
      <w:r>
        <w:rPr>
          <w:rFonts w:ascii="Calibri" w:hAnsi="Calibri"/>
          <w:b w:val="0"/>
          <w:i w:val="0"/>
          <w:color w:val="333333"/>
          <w:sz w:val="21"/>
        </w:rPr>
        <w:t>Gleichzeitig ist die angestrebte Kommunikation anspruchsvoll, weil mehrere Ebenen gleichzeitig sauber geführt werden müssen:</w:t>
      </w:r>
    </w:p>
    <w:p>
      <w:pPr>
        <w:pStyle w:val="ListBullet"/>
        <w:spacing w:after="60"/>
      </w:pPr>
      <w:r>
        <w:rPr>
          <w:rFonts w:ascii="Calibri" w:hAnsi="Calibri"/>
          <w:b w:val="0"/>
          <w:i w:val="0"/>
          <w:color w:val="333333"/>
          <w:sz w:val="21"/>
        </w:rPr>
        <w:t>beastly invested als emotionales, erklärungsbedürftiges Investmentprodukt</w:t>
      </w:r>
    </w:p>
    <w:p>
      <w:pPr>
        <w:pStyle w:val="ListBullet"/>
        <w:spacing w:after="60"/>
      </w:pPr>
      <w:r>
        <w:rPr>
          <w:rFonts w:ascii="Calibri" w:hAnsi="Calibri"/>
          <w:b w:val="0"/>
          <w:i w:val="0"/>
          <w:color w:val="333333"/>
          <w:sz w:val="21"/>
        </w:rPr>
        <w:t>Chipiron als vertrauensbildender Träger und Asset Manager</w:t>
      </w:r>
    </w:p>
    <w:p>
      <w:pPr>
        <w:pStyle w:val="ListBullet"/>
        <w:spacing w:after="60"/>
      </w:pPr>
      <w:r>
        <w:rPr>
          <w:rFonts w:ascii="Calibri" w:hAnsi="Calibri"/>
          <w:b w:val="0"/>
          <w:i w:val="0"/>
          <w:color w:val="333333"/>
          <w:sz w:val="21"/>
        </w:rPr>
        <w:t>FourGive / Tierschutzprojekte als Wirkungs- und Glaubwürdigkeitsebene</w:t>
      </w:r>
    </w:p>
    <w:p>
      <w:pPr>
        <w:pStyle w:val="ListBullet"/>
        <w:spacing w:after="60"/>
      </w:pPr>
      <w:r>
        <w:rPr>
          <w:rFonts w:ascii="Calibri" w:hAnsi="Calibri"/>
          <w:b w:val="0"/>
          <w:i w:val="0"/>
          <w:color w:val="333333"/>
          <w:sz w:val="21"/>
        </w:rPr>
        <w:t>unterschiedliche Zielgruppen: Retail-Investoren, professionelle Investoren, Partner, Medien und kritische Beobachter</w:t>
      </w:r>
    </w:p>
    <w:p>
      <w:pPr>
        <w:spacing w:before="240" w:after="80"/>
      </w:pPr>
      <w:r>
        <w:rPr>
          <w:rFonts w:ascii="Calibri" w:hAnsi="Calibri"/>
          <w:b/>
          <w:i w:val="0"/>
          <w:color w:val="1A1033"/>
          <w:sz w:val="24"/>
        </w:rPr>
        <w:t>Die grösste kommunikative Herausforderung</w:t>
      </w:r>
    </w:p>
    <w:p>
      <w:pPr>
        <w:spacing w:after="140"/>
      </w:pPr>
      <w:r>
        <w:rPr>
          <w:rFonts w:ascii="Calibri" w:hAnsi="Calibri"/>
          <w:b w:val="0"/>
          <w:i w:val="0"/>
          <w:color w:val="333333"/>
          <w:sz w:val="21"/>
        </w:rPr>
        <w:t>Die Herausforderung liegt darin, Vertrauen aufzubauen, ohne zu überladen:</w:t>
      </w:r>
    </w:p>
    <w:p>
      <w:pPr>
        <w:pStyle w:val="ListBullet"/>
        <w:spacing w:after="60"/>
      </w:pPr>
      <w:r>
        <w:rPr>
          <w:rFonts w:ascii="Calibri" w:hAnsi="Calibri"/>
          <w:b w:val="0"/>
          <w:i w:val="0"/>
          <w:color w:val="333333"/>
          <w:sz w:val="21"/>
        </w:rPr>
        <w:t>transparent sein, ohne alles offenzulegen</w:t>
      </w:r>
    </w:p>
    <w:p>
      <w:pPr>
        <w:pStyle w:val="ListBullet"/>
        <w:spacing w:after="60"/>
      </w:pPr>
      <w:r>
        <w:rPr>
          <w:rFonts w:ascii="Calibri" w:hAnsi="Calibri"/>
          <w:b w:val="0"/>
          <w:i w:val="0"/>
          <w:color w:val="333333"/>
          <w:sz w:val="21"/>
        </w:rPr>
        <w:t>Wirkung zeigen, ohne falsche Versprechen zu machen</w:t>
      </w:r>
    </w:p>
    <w:p>
      <w:pPr>
        <w:pStyle w:val="ListBullet"/>
        <w:spacing w:after="60"/>
      </w:pPr>
      <w:r>
        <w:rPr>
          <w:rFonts w:ascii="Calibri" w:hAnsi="Calibri"/>
          <w:b w:val="0"/>
          <w:i w:val="0"/>
          <w:color w:val="333333"/>
          <w:sz w:val="21"/>
        </w:rPr>
        <w:t>Emotion wecken, ohne aktivistisch oder belehrend zu wirken</w:t>
      </w:r>
    </w:p>
    <w:p>
      <w:pPr>
        <w:pStyle w:val="ListBullet"/>
        <w:spacing w:after="60"/>
      </w:pPr>
      <w:r>
        <w:rPr>
          <w:rFonts w:ascii="Calibri" w:hAnsi="Calibri"/>
          <w:b w:val="0"/>
          <w:i w:val="0"/>
          <w:color w:val="333333"/>
          <w:sz w:val="21"/>
        </w:rPr>
        <w:t>Expertise sichtbar machen, ohne das eigene Know-how vollständig preiszugeben</w:t>
      </w:r>
    </w:p>
    <w:p>
      <w:pPr>
        <w:pStyle w:val="ListBullet"/>
        <w:spacing w:after="60"/>
      </w:pPr>
      <w:r>
        <w:rPr>
          <w:rFonts w:ascii="Calibri" w:hAnsi="Calibri"/>
          <w:b w:val="0"/>
          <w:i w:val="0"/>
          <w:color w:val="333333"/>
          <w:sz w:val="21"/>
        </w:rPr>
        <w:t>Klarheit schaffen, ohne die Komplexität des Produkts zu unterschätzen</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«Beastly invested hat nicht primär ein Ideenproblem. Die Idee ist stark. Die entscheidende Frage ist, wie diese Idee so geführt, dosiert und übersetzt wird, dass sie Vertrauen schafft, ohne ihre Kraft zu verlieren.»</w:t>
            </w:r>
          </w:p>
          <w:p>
            <w:r>
              <w:rPr>
                <w:rFonts w:ascii="Calibri" w:hAnsi="Calibri"/>
                <w:b w:val="0"/>
                <w:i w:val="0"/>
                <w:color w:val="555555"/>
                <w:sz w:val="19"/>
              </w:rPr>
              <w:t>— Gedanken aus dem Workshop</w:t>
            </w:r>
          </w:p>
        </w:tc>
      </w:tr>
    </w:tbl>
    <w:p>
      <w:pPr>
        <w:spacing w:after="80"/>
      </w:pPr>
    </w:p>
    <w:p>
      <w:pPr>
        <w:spacing w:before="120" w:after="120"/>
        <w:pBdr>
          <w:bottom w:val="single" w:sz="4" w:space="1" w:color="a176f4"/>
        </w:pBdr>
      </w:pPr>
    </w:p>
    <w:p>
      <w:pPr>
        <w:spacing w:before="360" w:after="120"/>
      </w:pPr>
      <w:r>
        <w:rPr>
          <w:rFonts w:ascii="Calibri" w:hAnsi="Calibri"/>
          <w:b/>
          <w:i w:val="0"/>
          <w:color w:val="4B319B"/>
          <w:sz w:val="32"/>
        </w:rPr>
        <w:t>8.  Empfehlung — Strategische Kommunikationsführung als entscheidender Erfolgsfaktor</w:t>
      </w:r>
    </w:p>
    <w:p>
      <w:pPr>
        <w:spacing w:after="140"/>
      </w:pPr>
      <w:r>
        <w:rPr>
          <w:rFonts w:ascii="Calibri" w:hAnsi="Calibri"/>
          <w:b w:val="0"/>
          <w:i w:val="0"/>
          <w:color w:val="333333"/>
          <w:sz w:val="21"/>
        </w:rPr>
        <w:t>Das Projekt braucht für die nächste Phase eine erfahrene kommunikative Führung — nicht nur operative Marketing-Unterstützung. Die Vision ist stark, das Produkt ist erklärungsbedürftig und die Zielgruppen sind anspruchsvoll. Viele Entscheidungen, die jetzt anstehen, sind strategisch, markenprägend und für die künftige Wahrnehmung entscheidend.</w:t>
      </w:r>
    </w:p>
    <w:p>
      <w:pPr>
        <w:spacing w:before="240" w:after="80"/>
      </w:pPr>
      <w:r>
        <w:rPr>
          <w:rFonts w:ascii="Calibri" w:hAnsi="Calibri"/>
          <w:b/>
          <w:i w:val="0"/>
          <w:color w:val="1A1033"/>
          <w:sz w:val="24"/>
        </w:rPr>
        <w:t>Die externe CMO-Funktion</w:t>
      </w:r>
    </w:p>
    <w:p>
      <w:pPr>
        <w:spacing w:after="140"/>
      </w:pPr>
      <w:r>
        <w:rPr>
          <w:rFonts w:ascii="Calibri" w:hAnsi="Calibri"/>
          <w:b w:val="0"/>
          <w:i w:val="0"/>
          <w:color w:val="333333"/>
          <w:sz w:val="21"/>
        </w:rPr>
        <w:t>Diese Rolle ist vergleichbar mit einer externen CMO-Funktion:</w:t>
      </w:r>
    </w:p>
    <w:p>
      <w:pPr>
        <w:pStyle w:val="ListBullet"/>
        <w:spacing w:after="60"/>
      </w:pPr>
      <w:r>
        <w:rPr>
          <w:rFonts w:ascii="Calibri" w:hAnsi="Calibri"/>
          <w:b w:val="0"/>
          <w:i w:val="0"/>
          <w:color w:val="333333"/>
          <w:sz w:val="21"/>
        </w:rPr>
        <w:t>strategische Führung der Kommunikation</w:t>
      </w:r>
    </w:p>
    <w:p>
      <w:pPr>
        <w:pStyle w:val="ListBullet"/>
        <w:spacing w:after="60"/>
      </w:pPr>
      <w:r>
        <w:rPr>
          <w:rFonts w:ascii="Calibri" w:hAnsi="Calibri"/>
          <w:b w:val="0"/>
          <w:i w:val="0"/>
          <w:color w:val="333333"/>
          <w:sz w:val="21"/>
        </w:rPr>
        <w:t>Priorisierung der nächsten Schritte</w:t>
      </w:r>
    </w:p>
    <w:p>
      <w:pPr>
        <w:pStyle w:val="ListBullet"/>
        <w:spacing w:after="60"/>
      </w:pPr>
      <w:r>
        <w:rPr>
          <w:rFonts w:ascii="Calibri" w:hAnsi="Calibri"/>
          <w:b w:val="0"/>
          <w:i w:val="0"/>
          <w:color w:val="333333"/>
          <w:sz w:val="21"/>
        </w:rPr>
        <w:t>Einordnung von Zielgruppen, Botschaften und Kanälen</w:t>
      </w:r>
    </w:p>
    <w:p>
      <w:pPr>
        <w:pStyle w:val="ListBullet"/>
        <w:spacing w:after="60"/>
      </w:pPr>
      <w:r>
        <w:rPr>
          <w:rFonts w:ascii="Calibri" w:hAnsi="Calibri"/>
          <w:b w:val="0"/>
          <w:i w:val="0"/>
          <w:color w:val="333333"/>
          <w:sz w:val="21"/>
        </w:rPr>
        <w:t>Übersetzung der Vision in verständliche Kommunikation</w:t>
      </w:r>
    </w:p>
    <w:p>
      <w:pPr>
        <w:pStyle w:val="ListBullet"/>
        <w:spacing w:after="60"/>
      </w:pPr>
      <w:r>
        <w:rPr>
          <w:rFonts w:ascii="Calibri" w:hAnsi="Calibri"/>
          <w:b w:val="0"/>
          <w:i w:val="0"/>
          <w:color w:val="333333"/>
          <w:sz w:val="21"/>
        </w:rPr>
        <w:t>Sparring bei Grundsatzentscheidungen</w:t>
      </w:r>
    </w:p>
    <w:p>
      <w:pPr>
        <w:pStyle w:val="ListBullet"/>
        <w:spacing w:after="60"/>
      </w:pPr>
      <w:r>
        <w:rPr>
          <w:rFonts w:ascii="Calibri" w:hAnsi="Calibri"/>
          <w:b w:val="0"/>
          <w:i w:val="0"/>
          <w:color w:val="333333"/>
          <w:sz w:val="21"/>
        </w:rPr>
        <w:t>Sicherstellung von Klarheit, Konsistenz und Wirkung</w:t>
      </w:r>
    </w:p>
    <w:p>
      <w:pPr>
        <w:pStyle w:val="ListBullet"/>
        <w:spacing w:after="60"/>
      </w:pPr>
      <w:r>
        <w:rPr>
          <w:rFonts w:ascii="Calibri" w:hAnsi="Calibri"/>
          <w:b w:val="0"/>
          <w:i w:val="0"/>
          <w:color w:val="333333"/>
          <w:sz w:val="21"/>
        </w:rPr>
        <w:t>laufende Optimierung anhand von Reaktionen, Daten und Erfahrungswerten</w:t>
      </w:r>
    </w:p>
    <w:p>
      <w:pPr>
        <w:spacing w:after="140"/>
      </w:pPr>
      <w:r>
        <w:rPr>
          <w:rFonts w:ascii="Calibri" w:hAnsi="Calibri"/>
          <w:b w:val="0"/>
          <w:i/>
          <w:color w:val="1A1033"/>
          <w:sz w:val="21"/>
        </w:rPr>
        <w:t>Die Vision braucht Nähe zum Gründer. Die Umsetzung braucht klare Entscheidungswege.</w:t>
      </w:r>
    </w:p>
    <w:p>
      <w:pPr>
        <w:spacing w:before="240" w:after="80"/>
      </w:pPr>
      <w:r>
        <w:rPr>
          <w:rFonts w:ascii="Calibri" w:hAnsi="Calibri"/>
          <w:b/>
          <w:i w:val="0"/>
          <w:color w:val="1A1033"/>
          <w:sz w:val="24"/>
        </w:rPr>
        <w:t>1322 als externe CMO</w:t>
      </w:r>
    </w:p>
    <w:p>
      <w:pPr>
        <w:spacing w:after="140"/>
      </w:pPr>
      <w:r>
        <w:rPr>
          <w:rFonts w:ascii="Calibri" w:hAnsi="Calibri"/>
          <w:b w:val="0"/>
          <w:i w:val="0"/>
          <w:color w:val="333333"/>
          <w:sz w:val="21"/>
        </w:rPr>
        <w:t>1322 bringt die Erfahrung mit, Visionen zu strukturieren, Positionierungen zu schärfen, Kommunikationsarchitekturen aufzubauen und operative Massnahmen so zu führen, dass sie auf ein klares strategisches Ziel einzahlen. Diese Rolle können wir übernehmen.</w:t>
      </w:r>
    </w:p>
    <w:p>
      <w:pPr>
        <w:spacing w:before="240" w:after="80"/>
      </w:pPr>
      <w:r>
        <w:rPr>
          <w:rFonts w:ascii="Calibri" w:hAnsi="Calibri"/>
          <w:b/>
          <w:i w:val="0"/>
          <w:color w:val="1A1033"/>
          <w:sz w:val="24"/>
        </w:rPr>
        <w:t>Voraussetzungen für eine effiziente Zusammenarbeit</w:t>
      </w:r>
    </w:p>
    <w:p>
      <w:pPr>
        <w:spacing w:after="140"/>
      </w:pPr>
      <w:r>
        <w:rPr>
          <w:rFonts w:ascii="Calibri" w:hAnsi="Calibri"/>
          <w:b w:val="0"/>
          <w:i w:val="0"/>
          <w:color w:val="333333"/>
          <w:sz w:val="21"/>
        </w:rPr>
        <w:t>Damit diese Zusammenarbeit effizient funktioniert, müssen die organisatorischen Grundlagen vorab geklärt sein:</w:t>
      </w:r>
    </w:p>
    <w:p>
      <w:pPr>
        <w:pStyle w:val="ListBullet"/>
        <w:spacing w:after="60"/>
      </w:pPr>
      <w:r>
        <w:rPr>
          <w:rFonts w:ascii="Calibri" w:hAnsi="Calibri"/>
          <w:b w:val="0"/>
          <w:i w:val="0"/>
          <w:color w:val="333333"/>
          <w:sz w:val="21"/>
        </w:rPr>
        <w:t>Wer entscheidet strategische Fragen?</w:t>
      </w:r>
    </w:p>
    <w:p>
      <w:pPr>
        <w:pStyle w:val="ListBullet"/>
        <w:spacing w:after="60"/>
      </w:pPr>
      <w:r>
        <w:rPr>
          <w:rFonts w:ascii="Calibri" w:hAnsi="Calibri"/>
          <w:b w:val="0"/>
          <w:i w:val="0"/>
          <w:color w:val="333333"/>
          <w:sz w:val="21"/>
        </w:rPr>
        <w:t>Wer gibt Inhalte frei?</w:t>
      </w:r>
    </w:p>
    <w:p>
      <w:pPr>
        <w:pStyle w:val="ListBullet"/>
        <w:spacing w:after="60"/>
      </w:pPr>
      <w:r>
        <w:rPr>
          <w:rFonts w:ascii="Calibri" w:hAnsi="Calibri"/>
          <w:b w:val="0"/>
          <w:i w:val="0"/>
          <w:color w:val="333333"/>
          <w:sz w:val="21"/>
        </w:rPr>
        <w:t>Wer spricht für Chipiron?</w:t>
      </w:r>
    </w:p>
    <w:p>
      <w:pPr>
        <w:pStyle w:val="ListBullet"/>
        <w:spacing w:after="60"/>
      </w:pPr>
      <w:r>
        <w:rPr>
          <w:rFonts w:ascii="Calibri" w:hAnsi="Calibri"/>
          <w:b w:val="0"/>
          <w:i w:val="0"/>
          <w:color w:val="333333"/>
          <w:sz w:val="21"/>
        </w:rPr>
        <w:t>Wer spricht für beastly invested?</w:t>
      </w:r>
    </w:p>
    <w:p>
      <w:pPr>
        <w:pStyle w:val="ListBullet"/>
        <w:spacing w:after="60"/>
      </w:pPr>
      <w:r>
        <w:rPr>
          <w:rFonts w:ascii="Calibri" w:hAnsi="Calibri"/>
          <w:b w:val="0"/>
          <w:i w:val="0"/>
          <w:color w:val="333333"/>
          <w:sz w:val="21"/>
        </w:rPr>
        <w:t>Welche Informationen werden kommunikativ genutzt?</w:t>
      </w:r>
    </w:p>
    <w:p>
      <w:pPr>
        <w:pStyle w:val="ListBullet"/>
        <w:spacing w:after="60"/>
      </w:pPr>
      <w:r>
        <w:rPr>
          <w:rFonts w:ascii="Calibri" w:hAnsi="Calibri"/>
          <w:b w:val="0"/>
          <w:i w:val="0"/>
          <w:color w:val="333333"/>
          <w:sz w:val="21"/>
        </w:rPr>
        <w:t>Wie schnell müssen Entscheidungen getroffen werden können?</w:t>
      </w:r>
    </w:p>
    <w:p>
      <w:pPr>
        <w:pStyle w:val="ListBullet"/>
        <w:spacing w:after="60"/>
      </w:pPr>
      <w:r>
        <w:rPr>
          <w:rFonts w:ascii="Calibri" w:hAnsi="Calibri"/>
          <w:b w:val="0"/>
          <w:i w:val="0"/>
          <w:color w:val="333333"/>
          <w:sz w:val="21"/>
        </w:rPr>
        <w:t>Wer übernimmt welche operative Verantwortung intern?</w:t>
      </w:r>
    </w:p>
    <w:p>
      <w:pPr>
        <w:spacing w:after="140"/>
      </w:pPr>
      <w:r>
        <w:rPr>
          <w:rFonts w:ascii="Calibri" w:hAnsi="Calibri"/>
          <w:b w:val="0"/>
          <w:i/>
          <w:color w:val="333333"/>
          <w:sz w:val="21"/>
        </w:rPr>
        <w:t>Was nicht sinnvoll abgedeckt werden kann: lange Abstimmungsschlaufen, unklare Entscheidungswege oder wiederkehrende Grundsatzdiskussionen innerhalb eines laufenden Umsetzungsmandats.</w:t>
      </w:r>
    </w:p>
    <w:p>
      <w:pPr>
        <w:spacing w:before="120" w:after="120"/>
        <w:pBdr>
          <w:bottom w:val="single" w:sz="4" w:space="1" w:color="a176f4"/>
        </w:pBdr>
      </w:pPr>
    </w:p>
    <w:p>
      <w:pPr>
        <w:spacing w:before="360" w:after="120"/>
      </w:pPr>
      <w:r>
        <w:rPr>
          <w:rFonts w:ascii="Calibri" w:hAnsi="Calibri"/>
          <w:b/>
          <w:i w:val="0"/>
          <w:color w:val="4B319B"/>
          <w:sz w:val="32"/>
        </w:rPr>
        <w:t>9.  Mögliche Einstiege in die Umsetzung</w:t>
      </w:r>
    </w:p>
    <w:p>
      <w:pPr>
        <w:spacing w:after="140"/>
      </w:pPr>
      <w:r>
        <w:rPr>
          <w:rFonts w:ascii="Calibri" w:hAnsi="Calibri"/>
          <w:b w:val="0"/>
          <w:i w:val="0"/>
          <w:color w:val="333333"/>
          <w:sz w:val="21"/>
        </w:rPr>
        <w:t>Die Strategie ist definiert. Die zentrale Frage ist jetzt: Womit fangen wir an — und in welcher Logik? Es gibt drei plausible Einstiegsszenarien, jedes mit anderen Prioritäten, anderen Risiken und anderen Voraussetzungen.</w:t>
      </w:r>
    </w:p>
    <w:p>
      <w:pPr>
        <w:spacing w:before="240" w:after="80"/>
      </w:pPr>
      <w:r>
        <w:rPr>
          <w:rFonts w:ascii="Calibri" w:hAnsi="Calibri"/>
          <w:b/>
          <w:i w:val="0"/>
          <w:color w:val="1A1033"/>
          <w:sz w:val="24"/>
        </w:rPr>
        <w:t>Option A — Fundament zuerst</w:t>
      </w:r>
    </w:p>
    <w:p>
      <w:pPr>
        <w:spacing w:after="140"/>
      </w:pPr>
      <w:r>
        <w:rPr>
          <w:rFonts w:ascii="Calibri" w:hAnsi="Calibri"/>
          <w:b w:val="0"/>
          <w:i w:val="0"/>
          <w:color w:val="333333"/>
          <w:sz w:val="21"/>
        </w:rPr>
        <w:t>Strategisches Fundament → Markenarchitektur (Beastly/Chipiron/FourGive) → Kernbotschaften → Visuelles System (mit Fabios Mockup) → Website → LinkedIn Viktor → Launch-Moment → Retail-Kampagne.</w:t>
      </w:r>
    </w:p>
    <w:p>
      <w:pPr>
        <w:pStyle w:val="ListBullet"/>
        <w:spacing w:after="60"/>
      </w:pPr>
      <w:r>
        <w:rPr>
          <w:rFonts w:ascii="Calibri" w:hAnsi="Calibri"/>
          <w:b/>
          <w:i w:val="0"/>
          <w:color w:val="333333"/>
          <w:sz w:val="21"/>
        </w:rPr>
        <w:t xml:space="preserve">Stärke:  </w:t>
      </w:r>
      <w:r>
        <w:rPr>
          <w:rFonts w:ascii="Calibri" w:hAnsi="Calibri"/>
          <w:b w:val="0"/>
          <w:i w:val="0"/>
          <w:color w:val="333333"/>
          <w:sz w:val="21"/>
        </w:rPr>
        <w:t>Alles baut auf einem soliden Fundament auf. Konsistenz von Anfang an.</w:t>
      </w:r>
    </w:p>
    <w:p>
      <w:pPr>
        <w:pStyle w:val="ListBullet"/>
        <w:spacing w:after="60"/>
      </w:pPr>
      <w:r>
        <w:rPr>
          <w:rFonts w:ascii="Calibri" w:hAnsi="Calibri"/>
          <w:b/>
          <w:i w:val="0"/>
          <w:color w:val="333333"/>
          <w:sz w:val="21"/>
        </w:rPr>
        <w:t xml:space="preserve">Risiko:  </w:t>
      </w:r>
      <w:r>
        <w:rPr>
          <w:rFonts w:ascii="Calibri" w:hAnsi="Calibri"/>
          <w:b w:val="0"/>
          <w:i w:val="0"/>
          <w:color w:val="333333"/>
          <w:sz w:val="21"/>
        </w:rPr>
        <w:t>Das 16.09.-Fenster (Swiss Funds Event) könnte verpasst werden, bevor der Auftritt steht. Braucht mehr Zeit und Kapazität in der Startphase.</w:t>
      </w:r>
    </w:p>
    <w:p>
      <w:pPr>
        <w:spacing w:before="240" w:after="80"/>
      </w:pPr>
      <w:r>
        <w:rPr>
          <w:rFonts w:ascii="Calibri" w:hAnsi="Calibri"/>
          <w:b/>
          <w:i w:val="0"/>
          <w:color w:val="1A1033"/>
          <w:sz w:val="24"/>
        </w:rPr>
        <w:t>Option B — Persönlichkeit zuerst</w:t>
      </w:r>
    </w:p>
    <w:p>
      <w:pPr>
        <w:spacing w:after="140"/>
      </w:pPr>
      <w:r>
        <w:rPr>
          <w:rFonts w:ascii="Calibri" w:hAnsi="Calibri"/>
          <w:b w:val="0"/>
          <w:i w:val="0"/>
          <w:color w:val="333333"/>
          <w:sz w:val="21"/>
        </w:rPr>
        <w:t>Viktor LinkedIn aufsetzen und mit Content beginnen — sofort, noch bevor alle anderen Elemente fertig sind. Personal Branding als erstes Signal, das Vertrauen und Sichtbarkeit gleichzeitig aufbaut.</w:t>
      </w:r>
    </w:p>
    <w:p>
      <w:pPr>
        <w:pStyle w:val="ListBullet"/>
        <w:spacing w:after="60"/>
      </w:pPr>
      <w:r>
        <w:rPr>
          <w:rFonts w:ascii="Calibri" w:hAnsi="Calibri"/>
          <w:b/>
          <w:i w:val="0"/>
          <w:color w:val="333333"/>
          <w:sz w:val="21"/>
        </w:rPr>
        <w:t xml:space="preserve">Stärke:  </w:t>
      </w:r>
      <w:r>
        <w:rPr>
          <w:rFonts w:ascii="Calibri" w:hAnsi="Calibri"/>
          <w:b w:val="0"/>
          <w:i w:val="0"/>
          <w:color w:val="333333"/>
          <w:sz w:val="21"/>
        </w:rPr>
        <w:t>Höchste Wirkung bei geringstem initialen Aufwand. Viktor ist ohnehin der Träger — sein Profil braucht keine Produktionsinfrastruktur.</w:t>
      </w:r>
    </w:p>
    <w:p>
      <w:pPr>
        <w:pStyle w:val="ListBullet"/>
        <w:spacing w:after="60"/>
      </w:pPr>
      <w:r>
        <w:rPr>
          <w:rFonts w:ascii="Calibri" w:hAnsi="Calibri"/>
          <w:b/>
          <w:i w:val="0"/>
          <w:color w:val="333333"/>
          <w:sz w:val="21"/>
        </w:rPr>
        <w:t xml:space="preserve">Risiko:  </w:t>
      </w:r>
      <w:r>
        <w:rPr>
          <w:rFonts w:ascii="Calibri" w:hAnsi="Calibri"/>
          <w:b w:val="0"/>
          <w:i w:val="0"/>
          <w:color w:val="333333"/>
          <w:sz w:val="21"/>
        </w:rPr>
        <w:t>Ohne strategische Rahmung (Botschaften, Bildwelt, Rollendefinition) kann der Auftritt inkonsistent werden und späterer Korrektur bedürfen.</w:t>
      </w:r>
    </w:p>
    <w:p>
      <w:pPr>
        <w:spacing w:before="240" w:after="80"/>
      </w:pPr>
      <w:r>
        <w:rPr>
          <w:rFonts w:ascii="Calibri" w:hAnsi="Calibri"/>
          <w:b/>
          <w:i w:val="0"/>
          <w:color w:val="1A1033"/>
          <w:sz w:val="24"/>
        </w:rPr>
        <w:t>Option C — Event als Ankerpunkt (16.09.2026)</w:t>
      </w:r>
    </w:p>
    <w:p>
      <w:pPr>
        <w:spacing w:after="140"/>
      </w:pPr>
      <w:r>
        <w:rPr>
          <w:rFonts w:ascii="Calibri" w:hAnsi="Calibri"/>
          <w:b w:val="0"/>
          <w:i w:val="0"/>
          <w:color w:val="333333"/>
          <w:sz w:val="21"/>
        </w:rPr>
        <w:t>Rückwärtsplanung vom Swiss Funds Anlass: Was muss bis 16.09. stehen? Pitch Deck, Viktor LinkedIn, erste Webseite, ein klares Versprechen. Das Datum erzwingt Priorisierung.</w:t>
      </w:r>
    </w:p>
    <w:p>
      <w:pPr>
        <w:pStyle w:val="ListBullet"/>
        <w:spacing w:after="60"/>
      </w:pPr>
      <w:r>
        <w:rPr>
          <w:rFonts w:ascii="Calibri" w:hAnsi="Calibri"/>
          <w:b/>
          <w:i w:val="0"/>
          <w:color w:val="333333"/>
          <w:sz w:val="21"/>
        </w:rPr>
        <w:t xml:space="preserve">Stärke:  </w:t>
      </w:r>
      <w:r>
        <w:rPr>
          <w:rFonts w:ascii="Calibri" w:hAnsi="Calibri"/>
          <w:b w:val="0"/>
          <w:i w:val="0"/>
          <w:color w:val="333333"/>
          <w:sz w:val="21"/>
        </w:rPr>
        <w:t>Konkretes Datum schafft Entscheidungsdruck und Klarheit. Beastly hat einen ersten echten Auftrittstermin in einem hochwertigen Umfeld.</w:t>
      </w:r>
    </w:p>
    <w:p>
      <w:pPr>
        <w:pStyle w:val="ListBullet"/>
        <w:spacing w:after="60"/>
      </w:pPr>
      <w:r>
        <w:rPr>
          <w:rFonts w:ascii="Calibri" w:hAnsi="Calibri"/>
          <w:b/>
          <w:i w:val="0"/>
          <w:color w:val="333333"/>
          <w:sz w:val="21"/>
        </w:rPr>
        <w:t xml:space="preserve">Risiko:  </w:t>
      </w:r>
      <w:r>
        <w:rPr>
          <w:rFonts w:ascii="Calibri" w:hAnsi="Calibri"/>
          <w:b w:val="0"/>
          <w:i w:val="0"/>
          <w:color w:val="333333"/>
          <w:sz w:val="21"/>
        </w:rPr>
        <w:t>Hektik und Kompromisse, wenn zu viel gleichzeitig fertig werden muss. Qualität kann leiden, wenn die Zeit nicht reicht.</w:t>
      </w:r>
    </w:p>
    <w:p>
      <w:pPr>
        <w:spacing w:before="240" w:after="80"/>
      </w:pPr>
      <w:r>
        <w:rPr>
          <w:rFonts w:ascii="Calibri" w:hAnsi="Calibri"/>
          <w:b/>
          <w:i w:val="0"/>
          <w:color w:val="1A1033"/>
          <w:sz w:val="24"/>
        </w:rPr>
        <w:t>Voraussetzung für alle Optionen</w:t>
      </w:r>
    </w:p>
    <w:p>
      <w:pPr>
        <w:spacing w:after="140"/>
      </w:pPr>
      <w:r>
        <w:rPr>
          <w:rFonts w:ascii="Calibri" w:hAnsi="Calibri"/>
          <w:b w:val="0"/>
          <w:i w:val="0"/>
          <w:color w:val="333333"/>
          <w:sz w:val="21"/>
        </w:rPr>
        <w:t>Unabhängig davon, welche Option gewählt wird, braucht es als absoluten ersten Schritt organisatorische Klarheit: Wer entscheidet? Wer gibt frei? Wer spricht für Chipiron, wer für Beastly? Ohne diese Klärung wird jede Umsetzung zur Abstimmungsaufgabe.</w:t>
      </w:r>
    </w:p>
    <w:tbl>
      <w:tblPr>
        <w:tblStyle w:val="TableGrid"/>
        <w:tblW w:type="auto" w:w="0"/>
        <w:tblLook w:firstColumn="1" w:firstRow="1" w:lastColumn="0" w:lastRow="0" w:noHBand="0" w:noVBand="1" w:val="04A0"/>
      </w:tblPr>
      <w:tblGrid>
        <w:gridCol w:w="8612"/>
      </w:tblGrid>
      <w:tr>
        <w:tc>
          <w:tcPr>
            <w:tcW w:type="dxa" w:w="8612"/>
            <w:shd w:val="clear" w:color="auto" w:fill="FFF3EE"/>
            <w:tcMar>
              <w:top w:w="100" w:type="dxa"/>
              <w:bottom w:w="100" w:type="dxa"/>
              <w:left w:w="140" w:type="dxa"/>
              <w:right w:w="140" w:type="dxa"/>
            </w:tcMar>
          </w:tcPr>
          <w:p>
            <w:r>
              <w:rPr>
                <w:rFonts w:ascii="Calibri" w:hAnsi="Calibri"/>
                <w:b/>
                <w:i w:val="0"/>
                <w:color w:val="BD5435"/>
                <w:sz w:val="20"/>
              </w:rPr>
              <w:t xml:space="preserve">Empfehlung 1322:  </w:t>
            </w:r>
            <w:r>
              <w:rPr>
                <w:rFonts w:ascii="Calibri" w:hAnsi="Calibri"/>
                <w:b w:val="0"/>
                <w:i w:val="0"/>
                <w:color w:val="333333"/>
                <w:sz w:val="20"/>
              </w:rPr>
              <w:t>Option A oder C — je nach verfügbarer Kapazität und Dringlichkeit des 16.09.-Fensters. In jedem Fall: Rollenklärung und Markenarchitektur als erste Entscheidung, bevor Sichtbarkeit aufgebaut wird.</w:t>
            </w:r>
          </w:p>
        </w:tc>
      </w:tr>
    </w:tbl>
    <w:p>
      <w:pPr>
        <w:spacing w:after="120"/>
      </w:pPr>
    </w:p>
    <w:p>
      <w:pPr>
        <w:spacing w:before="120" w:after="120"/>
        <w:pBdr>
          <w:bottom w:val="single" w:sz="4" w:space="1" w:color="a176f4"/>
        </w:pBdr>
      </w:pPr>
    </w:p>
    <w:p>
      <w:r>
        <w:br w:type="page"/>
      </w:r>
    </w:p>
    <w:p>
      <w:pPr>
        <w:spacing w:before="360" w:after="120"/>
      </w:pPr>
      <w:r>
        <w:rPr>
          <w:rFonts w:ascii="Calibri" w:hAnsi="Calibri"/>
          <w:b/>
          <w:i w:val="0"/>
          <w:color w:val="4B319B"/>
          <w:sz w:val="32"/>
        </w:rPr>
        <w:t>Anhang: PowerPoint-Snippets</w:t>
      </w:r>
    </w:p>
    <w:p>
      <w:pPr>
        <w:spacing w:after="140"/>
      </w:pPr>
      <w:r>
        <w:rPr>
          <w:rFonts w:ascii="Calibri" w:hAnsi="Calibri"/>
          <w:b w:val="0"/>
          <w:i/>
          <w:color w:val="333333"/>
          <w:sz w:val="21"/>
        </w:rPr>
        <w:t>Folgende Folien-Inhalte können direkt in ein Präsentations-Deck übertragen werden.</w:t>
      </w:r>
    </w:p>
    <w:p>
      <w:pPr>
        <w:spacing w:before="240" w:after="80"/>
      </w:pPr>
      <w:r>
        <w:rPr>
          <w:rFonts w:ascii="Calibri" w:hAnsi="Calibri"/>
          <w:b/>
          <w:i w:val="0"/>
          <w:color w:val="1A1033"/>
          <w:sz w:val="24"/>
        </w:rPr>
        <w:t>Folie 1 — Ausgangslage</w:t>
      </w:r>
    </w:p>
    <w:p>
      <w:pPr>
        <w:pStyle w:val="ListBullet"/>
        <w:spacing w:after="60"/>
      </w:pPr>
      <w:r>
        <w:rPr>
          <w:rFonts w:ascii="Calibri" w:hAnsi="Calibri"/>
          <w:b w:val="0"/>
          <w:i w:val="0"/>
          <w:color w:val="333333"/>
          <w:sz w:val="21"/>
        </w:rPr>
        <w:t>Beastly = erstes Produkt der Non-Profit Chipiron AG</w:t>
      </w:r>
    </w:p>
    <w:p>
      <w:pPr>
        <w:pStyle w:val="ListBullet"/>
        <w:spacing w:after="60"/>
      </w:pPr>
      <w:r>
        <w:rPr>
          <w:rFonts w:ascii="Calibri" w:hAnsi="Calibri"/>
          <w:b w:val="0"/>
          <w:i w:val="0"/>
          <w:color w:val="333333"/>
          <w:sz w:val="21"/>
        </w:rPr>
        <w:t>Gegründet von Viktor &amp; Lydia Ackermann, geprägt durch FourGive Tierklinik Ägypten</w:t>
      </w:r>
    </w:p>
    <w:p>
      <w:pPr>
        <w:pStyle w:val="ListBullet"/>
        <w:spacing w:after="60"/>
      </w:pPr>
      <w:r>
        <w:rPr>
          <w:rFonts w:ascii="Calibri" w:hAnsi="Calibri"/>
          <w:b w:val="0"/>
          <w:i w:val="0"/>
          <w:color w:val="333333"/>
          <w:sz w:val="21"/>
        </w:rPr>
        <w:t>Animal Cruelty Free Portfolio, KI-basierte Bewertung börsenkotierter Unternehmen</w:t>
      </w:r>
    </w:p>
    <w:p>
      <w:pPr>
        <w:pStyle w:val="ListBullet"/>
        <w:spacing w:after="60"/>
      </w:pPr>
      <w:r>
        <w:rPr>
          <w:rFonts w:ascii="Calibri" w:hAnsi="Calibri"/>
          <w:b w:val="0"/>
          <w:i w:val="0"/>
          <w:color w:val="333333"/>
          <w:sz w:val="21"/>
        </w:rPr>
        <w:t>Starke Substanz: gecappte Löhne, kein Bonus-System, Gewinne → Tierschutz</w:t>
      </w:r>
    </w:p>
    <w:p>
      <w:pPr>
        <w:pStyle w:val="ListBullet"/>
        <w:spacing w:after="60"/>
      </w:pPr>
      <w:r>
        <w:rPr>
          <w:rFonts w:ascii="Calibri" w:hAnsi="Calibri"/>
          <w:b w:val="0"/>
          <w:i w:val="0"/>
          <w:color w:val="333333"/>
          <w:sz w:val="21"/>
        </w:rPr>
        <w:t>Drei Ebenen gleichzeitig: Beastly (Emotion) / Chipiron (Vertrauen) / FourGive (Wirkung)</w:t>
      </w:r>
    </w:p>
    <w:p>
      <w:pPr>
        <w:spacing w:after="40"/>
      </w:pPr>
    </w:p>
    <w:p>
      <w:pPr>
        <w:spacing w:before="240" w:after="80"/>
      </w:pPr>
      <w:r>
        <w:rPr>
          <w:rFonts w:ascii="Calibri" w:hAnsi="Calibri"/>
          <w:b/>
          <w:i w:val="0"/>
          <w:color w:val="1A1033"/>
          <w:sz w:val="24"/>
        </w:rPr>
        <w:t>Folie 2 — Das Ziel</w:t>
      </w:r>
    </w:p>
    <w:p>
      <w:pPr>
        <w:pStyle w:val="ListBullet"/>
        <w:spacing w:after="60"/>
      </w:pPr>
      <w:r>
        <w:rPr>
          <w:rFonts w:ascii="Calibri" w:hAnsi="Calibri"/>
          <w:b w:val="0"/>
          <w:i w:val="0"/>
          <w:color w:val="333333"/>
          <w:sz w:val="21"/>
        </w:rPr>
        <w:t>Beastly als eigenständige Anlagemarke im DACH-Raum etablieren</w:t>
      </w:r>
    </w:p>
    <w:p>
      <w:pPr>
        <w:pStyle w:val="ListBullet"/>
        <w:spacing w:after="60"/>
      </w:pPr>
      <w:r>
        <w:rPr>
          <w:rFonts w:ascii="Calibri" w:hAnsi="Calibri"/>
          <w:b w:val="0"/>
          <w:i w:val="0"/>
          <w:color w:val="333333"/>
          <w:sz w:val="21"/>
        </w:rPr>
        <w:t>Kernversprechen: Rendite für Investoren · Wirkung für Tiere · Keine Gewinnausschüttung</w:t>
      </w:r>
    </w:p>
    <w:p>
      <w:pPr>
        <w:pStyle w:val="ListBullet"/>
        <w:spacing w:after="60"/>
      </w:pPr>
      <w:r>
        <w:rPr>
          <w:rFonts w:ascii="Calibri" w:hAnsi="Calibri"/>
          <w:b w:val="0"/>
          <w:i w:val="0"/>
          <w:color w:val="333333"/>
          <w:sz w:val="21"/>
        </w:rPr>
        <w:t>Vertrauen über radikale Transparenz aufbauen — nicht versprechen, beweisen</w:t>
      </w:r>
    </w:p>
    <w:p>
      <w:pPr>
        <w:pStyle w:val="ListBullet"/>
        <w:spacing w:after="60"/>
      </w:pPr>
      <w:r>
        <w:rPr>
          <w:rFonts w:ascii="Calibri" w:hAnsi="Calibri"/>
          <w:b w:val="0"/>
          <w:i w:val="0"/>
          <w:color w:val="333333"/>
          <w:sz w:val="21"/>
        </w:rPr>
        <w:t>Start DACH, später UK — Externe Kommunikation auf Deutsch</w:t>
      </w:r>
    </w:p>
    <w:p>
      <w:pPr>
        <w:spacing w:after="40"/>
      </w:pPr>
    </w:p>
    <w:p>
      <w:pPr>
        <w:spacing w:before="240" w:after="80"/>
      </w:pPr>
      <w:r>
        <w:rPr>
          <w:rFonts w:ascii="Calibri" w:hAnsi="Calibri"/>
          <w:b/>
          <w:i w:val="0"/>
          <w:color w:val="1A1033"/>
          <w:sz w:val="24"/>
        </w:rPr>
        <w:t>Folie 3 — Die Zielgruppe</w:t>
      </w:r>
    </w:p>
    <w:p>
      <w:pPr>
        <w:pStyle w:val="ListBullet"/>
        <w:spacing w:after="60"/>
      </w:pPr>
      <w:r>
        <w:rPr>
          <w:rFonts w:ascii="Calibri" w:hAnsi="Calibri"/>
          <w:b w:val="0"/>
          <w:i w:val="0"/>
          <w:color w:val="333333"/>
          <w:sz w:val="21"/>
        </w:rPr>
        <w:t>Nicht: Retail = Herz / Institutionell = Kopf</w:t>
      </w:r>
    </w:p>
    <w:p>
      <w:pPr>
        <w:pStyle w:val="ListBullet"/>
        <w:spacing w:after="60"/>
      </w:pPr>
      <w:r>
        <w:rPr>
          <w:rFonts w:ascii="Calibri" w:hAnsi="Calibri"/>
          <w:b w:val="0"/>
          <w:i w:val="0"/>
          <w:color w:val="333333"/>
          <w:sz w:val="21"/>
        </w:rPr>
        <w:t>Sondern: Beide brauchen Herz. Institutionelle brauchen zusätzlich Beweisführung.</w:t>
      </w:r>
    </w:p>
    <w:p>
      <w:pPr>
        <w:pStyle w:val="ListBullet"/>
        <w:spacing w:after="60"/>
      </w:pPr>
      <w:r>
        <w:rPr>
          <w:rFonts w:ascii="Calibri" w:hAnsi="Calibri"/>
          <w:b w:val="0"/>
          <w:i w:val="0"/>
          <w:color w:val="333333"/>
          <w:sz w:val="21"/>
        </w:rPr>
        <w:t>Retail: ab CHF 50, emotionaler Einstieg, niedrige Hürde</w:t>
      </w:r>
    </w:p>
    <w:p>
      <w:pPr>
        <w:pStyle w:val="ListBullet"/>
        <w:spacing w:after="60"/>
      </w:pPr>
      <w:r>
        <w:rPr>
          <w:rFonts w:ascii="Calibri" w:hAnsi="Calibri"/>
          <w:b w:val="0"/>
          <w:i w:val="0"/>
          <w:color w:val="333333"/>
          <w:sz w:val="21"/>
        </w:rPr>
        <w:t>Professionell: Struktur, Governance, Track Record, Risiko-Rendite</w:t>
      </w:r>
    </w:p>
    <w:p>
      <w:pPr>
        <w:pStyle w:val="ListBullet"/>
        <w:spacing w:after="60"/>
      </w:pPr>
      <w:r>
        <w:rPr>
          <w:rFonts w:ascii="Calibri" w:hAnsi="Calibri"/>
          <w:b w:val="0"/>
          <w:i w:val="0"/>
          <w:color w:val="333333"/>
          <w:sz w:val="21"/>
        </w:rPr>
        <w:t>Entscheidungslogik: Emotion → Vertrauen → Performance → Entscheidung</w:t>
      </w:r>
    </w:p>
    <w:p>
      <w:pPr>
        <w:spacing w:after="40"/>
      </w:pPr>
    </w:p>
    <w:p>
      <w:pPr>
        <w:spacing w:before="240" w:after="80"/>
      </w:pPr>
      <w:r>
        <w:rPr>
          <w:rFonts w:ascii="Calibri" w:hAnsi="Calibri"/>
          <w:b/>
          <w:i w:val="0"/>
          <w:color w:val="1A1033"/>
          <w:sz w:val="24"/>
        </w:rPr>
        <w:t>Folie 4 — Strategischer Rahmen</w:t>
      </w:r>
    </w:p>
    <w:p>
      <w:pPr>
        <w:pStyle w:val="ListBullet"/>
        <w:spacing w:after="60"/>
      </w:pPr>
      <w:r>
        <w:rPr>
          <w:rFonts w:ascii="Calibri" w:hAnsi="Calibri"/>
          <w:b w:val="0"/>
          <w:i w:val="0"/>
          <w:color w:val="333333"/>
          <w:sz w:val="21"/>
        </w:rPr>
        <w:t>Beastly führt emotional / Chipiron bleibt diskret als Absender</w:t>
      </w:r>
    </w:p>
    <w:p>
      <w:pPr>
        <w:pStyle w:val="ListBullet"/>
        <w:spacing w:after="60"/>
      </w:pPr>
      <w:r>
        <w:rPr>
          <w:rFonts w:ascii="Calibri" w:hAnsi="Calibri"/>
          <w:b w:val="0"/>
          <w:i w:val="0"/>
          <w:color w:val="333333"/>
          <w:sz w:val="21"/>
        </w:rPr>
        <w:t>«Non-Profit» wird erklärt: Rendite · Wirkung · Keine Gewinnausschüttung</w:t>
      </w:r>
    </w:p>
    <w:p>
      <w:pPr>
        <w:pStyle w:val="ListBullet"/>
        <w:spacing w:after="60"/>
      </w:pPr>
      <w:r>
        <w:rPr>
          <w:rFonts w:ascii="Calibri" w:hAnsi="Calibri"/>
          <w:b w:val="0"/>
          <w:i w:val="0"/>
          <w:color w:val="333333"/>
          <w:sz w:val="21"/>
        </w:rPr>
        <w:t>Haltung ohne Aktivismus: konsequent, mutig, wertebasiert — nie belehrend</w:t>
      </w:r>
    </w:p>
    <w:p>
      <w:pPr>
        <w:pStyle w:val="ListBullet"/>
        <w:spacing w:after="60"/>
      </w:pPr>
      <w:r>
        <w:rPr>
          <w:rFonts w:ascii="Calibri" w:hAnsi="Calibri"/>
          <w:b w:val="0"/>
          <w:i w:val="0"/>
          <w:color w:val="333333"/>
          <w:sz w:val="21"/>
        </w:rPr>
        <w:t>Radikale Transparenz als Differenzierungshebel, nicht als ethisches Gebot</w:t>
      </w:r>
    </w:p>
    <w:p>
      <w:pPr>
        <w:pStyle w:val="ListBullet"/>
        <w:spacing w:after="60"/>
      </w:pPr>
      <w:r>
        <w:rPr>
          <w:rFonts w:ascii="Calibri" w:hAnsi="Calibri"/>
          <w:b w:val="0"/>
          <w:i w:val="0"/>
          <w:color w:val="333333"/>
          <w:sz w:val="21"/>
        </w:rPr>
        <w:t>Personenzentriert: Viktor vorne, Lydia flankierend — kein Markenauftritt ohne Gesicht</w:t>
      </w:r>
    </w:p>
    <w:p>
      <w:pPr>
        <w:spacing w:after="40"/>
      </w:pPr>
    </w:p>
    <w:p>
      <w:pPr>
        <w:spacing w:before="240" w:after="80"/>
      </w:pPr>
      <w:r>
        <w:rPr>
          <w:rFonts w:ascii="Calibri" w:hAnsi="Calibri"/>
          <w:b/>
          <w:i w:val="0"/>
          <w:color w:val="1A1033"/>
          <w:sz w:val="24"/>
        </w:rPr>
        <w:t>Folie 5 — Der Kommunikationsfunnel</w:t>
      </w:r>
    </w:p>
    <w:p>
      <w:pPr>
        <w:pStyle w:val="ListBullet"/>
        <w:spacing w:after="60"/>
      </w:pPr>
      <w:r>
        <w:rPr>
          <w:rFonts w:ascii="Calibri" w:hAnsi="Calibri"/>
          <w:b w:val="0"/>
          <w:i w:val="0"/>
          <w:color w:val="333333"/>
          <w:sz w:val="21"/>
        </w:rPr>
        <w:t>Aufmerksamkeit: Viktor LinkedIn + Social Posting + Awareness-Ads</w:t>
      </w:r>
    </w:p>
    <w:p>
      <w:pPr>
        <w:pStyle w:val="ListBullet"/>
        <w:spacing w:after="60"/>
      </w:pPr>
      <w:r>
        <w:rPr>
          <w:rFonts w:ascii="Calibri" w:hAnsi="Calibri"/>
          <w:b w:val="0"/>
          <w:i w:val="0"/>
          <w:color w:val="333333"/>
          <w:sz w:val="21"/>
        </w:rPr>
        <w:t>Neugier: Gründerstory, FourGive-Momente, Dual-Bildwelt</w:t>
      </w:r>
    </w:p>
    <w:p>
      <w:pPr>
        <w:pStyle w:val="ListBullet"/>
        <w:spacing w:after="60"/>
      </w:pPr>
      <w:r>
        <w:rPr>
          <w:rFonts w:ascii="Calibri" w:hAnsi="Calibri"/>
          <w:b w:val="0"/>
          <w:i w:val="0"/>
          <w:color w:val="333333"/>
          <w:sz w:val="21"/>
        </w:rPr>
        <w:t>Vertrauen: Website (Transparenz) + Viktor &amp; Lydia als Menschen</w:t>
      </w:r>
    </w:p>
    <w:p>
      <w:pPr>
        <w:pStyle w:val="ListBullet"/>
        <w:spacing w:after="60"/>
      </w:pPr>
      <w:r>
        <w:rPr>
          <w:rFonts w:ascii="Calibri" w:hAnsi="Calibri"/>
          <w:b w:val="0"/>
          <w:i w:val="0"/>
          <w:color w:val="333333"/>
          <w:sz w:val="21"/>
        </w:rPr>
        <w:t>Erklärung: Pitch Deck + Direktgespräch + vertiefende Website-Inhalte</w:t>
      </w:r>
    </w:p>
    <w:p>
      <w:pPr>
        <w:pStyle w:val="ListBullet"/>
        <w:spacing w:after="60"/>
      </w:pPr>
      <w:r>
        <w:rPr>
          <w:rFonts w:ascii="Calibri" w:hAnsi="Calibri"/>
          <w:b w:val="0"/>
          <w:i w:val="0"/>
          <w:color w:val="333333"/>
          <w:sz w:val="21"/>
        </w:rPr>
        <w:t>Entscheidung: Retail CHF 50+ online / Professionell Direktabschluss</w:t>
      </w:r>
    </w:p>
    <w:p>
      <w:pPr>
        <w:spacing w:after="40"/>
      </w:pPr>
    </w:p>
    <w:p>
      <w:pPr>
        <w:spacing w:before="240" w:after="80"/>
      </w:pPr>
      <w:r>
        <w:rPr>
          <w:rFonts w:ascii="Calibri" w:hAnsi="Calibri"/>
          <w:b/>
          <w:i w:val="0"/>
          <w:color w:val="1A1033"/>
          <w:sz w:val="24"/>
        </w:rPr>
        <w:t>Folie 6 — Die Kommunikationselemente</w:t>
      </w:r>
    </w:p>
    <w:p>
      <w:pPr>
        <w:pStyle w:val="ListBullet"/>
        <w:spacing w:after="60"/>
      </w:pPr>
      <w:r>
        <w:rPr>
          <w:rFonts w:ascii="Calibri" w:hAnsi="Calibri"/>
          <w:b w:val="0"/>
          <w:i w:val="0"/>
          <w:color w:val="333333"/>
          <w:sz w:val="21"/>
        </w:rPr>
        <w:t>Branding: Markenarchitektur schärfen, Dual-Bildwelt verankern</w:t>
      </w:r>
    </w:p>
    <w:p>
      <w:pPr>
        <w:pStyle w:val="ListBullet"/>
        <w:spacing w:after="60"/>
      </w:pPr>
      <w:r>
        <w:rPr>
          <w:rFonts w:ascii="Calibri" w:hAnsi="Calibri"/>
          <w:b w:val="0"/>
          <w:i w:val="0"/>
          <w:color w:val="333333"/>
          <w:sz w:val="21"/>
        </w:rPr>
        <w:t>Website: Vertrauensschritt, Transparenz direkt sichtbar (Mockup: Fabio)</w:t>
      </w:r>
    </w:p>
    <w:p>
      <w:pPr>
        <w:pStyle w:val="ListBullet"/>
        <w:spacing w:after="60"/>
      </w:pPr>
      <w:r>
        <w:rPr>
          <w:rFonts w:ascii="Calibri" w:hAnsi="Calibri"/>
          <w:b w:val="0"/>
          <w:i w:val="0"/>
          <w:color w:val="333333"/>
          <w:sz w:val="21"/>
        </w:rPr>
        <w:t>Viktor LinkedIn: wichtigster Reichweiten- und Vertrauenskanal</w:t>
      </w:r>
    </w:p>
    <w:p>
      <w:pPr>
        <w:pStyle w:val="ListBullet"/>
        <w:spacing w:after="60"/>
      </w:pPr>
      <w:r>
        <w:rPr>
          <w:rFonts w:ascii="Calibri" w:hAnsi="Calibri"/>
          <w:b w:val="0"/>
          <w:i w:val="0"/>
          <w:color w:val="333333"/>
          <w:sz w:val="21"/>
        </w:rPr>
        <w:t>Pitch Deck: emotionaler Aufbau, faktische Tiefe</w:t>
      </w:r>
    </w:p>
    <w:p>
      <w:pPr>
        <w:pStyle w:val="ListBullet"/>
        <w:spacing w:after="60"/>
      </w:pPr>
      <w:r>
        <w:rPr>
          <w:rFonts w:ascii="Calibri" w:hAnsi="Calibri"/>
          <w:b w:val="0"/>
          <w:i w:val="0"/>
          <w:color w:val="333333"/>
          <w:sz w:val="21"/>
        </w:rPr>
        <w:t>3 Social-Kanäle: LinkedIn (Haupt) / TikTok / Instagram — immer Invest + Tierwohl</w:t>
      </w:r>
    </w:p>
    <w:p>
      <w:pPr>
        <w:pStyle w:val="ListBullet"/>
        <w:spacing w:after="60"/>
      </w:pPr>
      <w:r>
        <w:rPr>
          <w:rFonts w:ascii="Calibri" w:hAnsi="Calibri"/>
          <w:b w:val="0"/>
          <w:i w:val="0"/>
          <w:color w:val="333333"/>
          <w:sz w:val="21"/>
        </w:rPr>
        <w:t>Swiss Funds 16.09.2026: Auftrittschance, Networking, nicht eigener Launch</w:t>
      </w:r>
    </w:p>
    <w:p>
      <w:pPr>
        <w:pStyle w:val="ListBullet"/>
        <w:spacing w:after="60"/>
      </w:pPr>
      <w:r>
        <w:rPr>
          <w:rFonts w:ascii="Calibri" w:hAnsi="Calibri"/>
          <w:b w:val="0"/>
          <w:i w:val="0"/>
          <w:color w:val="333333"/>
          <w:sz w:val="21"/>
        </w:rPr>
        <w:t>Ads zweiphasig: Awareness zuerst, Conversion wenn Fundament steht</w:t>
      </w:r>
    </w:p>
    <w:p>
      <w:pPr>
        <w:spacing w:after="40"/>
      </w:pPr>
    </w:p>
    <w:p>
      <w:pPr>
        <w:spacing w:before="240" w:after="80"/>
      </w:pPr>
      <w:r>
        <w:rPr>
          <w:rFonts w:ascii="Calibri" w:hAnsi="Calibri"/>
          <w:b/>
          <w:i w:val="0"/>
          <w:color w:val="1A1033"/>
          <w:sz w:val="24"/>
        </w:rPr>
        <w:t>Folie 7 — Persönliche Einschätzung</w:t>
      </w:r>
    </w:p>
    <w:p>
      <w:pPr>
        <w:pStyle w:val="ListBullet"/>
        <w:spacing w:after="60"/>
      </w:pPr>
      <w:r>
        <w:rPr>
          <w:rFonts w:ascii="Calibri" w:hAnsi="Calibri"/>
          <w:b w:val="0"/>
          <w:i w:val="0"/>
          <w:color w:val="333333"/>
          <w:sz w:val="21"/>
        </w:rPr>
        <w:t>Solider Startpunkt: starke Gründerüberzeugung, relevante Nische, klare Substanz</w:t>
      </w:r>
    </w:p>
    <w:p>
      <w:pPr>
        <w:pStyle w:val="ListBullet"/>
        <w:spacing w:after="60"/>
      </w:pPr>
      <w:r>
        <w:rPr>
          <w:rFonts w:ascii="Calibri" w:hAnsi="Calibri"/>
          <w:b w:val="0"/>
          <w:i w:val="0"/>
          <w:color w:val="333333"/>
          <w:sz w:val="21"/>
        </w:rPr>
        <w:t>Hohe Kommunikationskomplexität: 3 Ebenen, 2 Zielgruppen, 1 Missverständnis</w:t>
      </w:r>
    </w:p>
    <w:p>
      <w:pPr>
        <w:pStyle w:val="ListBullet"/>
        <w:spacing w:after="60"/>
      </w:pPr>
      <w:r>
        <w:rPr>
          <w:rFonts w:ascii="Calibri" w:hAnsi="Calibri"/>
          <w:b w:val="0"/>
          <w:i w:val="0"/>
          <w:color w:val="333333"/>
          <w:sz w:val="21"/>
        </w:rPr>
        <w:t>Die Idee ist stark — die Herausforderung ist Dosierung, Führung, Übersetzung</w:t>
      </w:r>
    </w:p>
    <w:p>
      <w:pPr>
        <w:pStyle w:val="ListBullet"/>
        <w:spacing w:after="60"/>
      </w:pPr>
      <w:r>
        <w:rPr>
          <w:rFonts w:ascii="Calibri" w:hAnsi="Calibri"/>
          <w:b w:val="0"/>
          <w:i w:val="0"/>
          <w:color w:val="333333"/>
          <w:sz w:val="21"/>
        </w:rPr>
        <w:t>«Transparent sein, ohne zu überladen. Emotion wecken, ohne aktivistisch zu wirken.»</w:t>
      </w:r>
    </w:p>
    <w:p>
      <w:pPr>
        <w:spacing w:after="40"/>
      </w:pPr>
    </w:p>
    <w:p>
      <w:pPr>
        <w:spacing w:before="240" w:after="80"/>
      </w:pPr>
      <w:r>
        <w:rPr>
          <w:rFonts w:ascii="Calibri" w:hAnsi="Calibri"/>
          <w:b/>
          <w:i w:val="0"/>
          <w:color w:val="1A1033"/>
          <w:sz w:val="24"/>
        </w:rPr>
        <w:t>Folie 8 — Empfehlung</w:t>
      </w:r>
    </w:p>
    <w:p>
      <w:pPr>
        <w:pStyle w:val="ListBullet"/>
        <w:spacing w:after="60"/>
      </w:pPr>
      <w:r>
        <w:rPr>
          <w:rFonts w:ascii="Calibri" w:hAnsi="Calibri"/>
          <w:b w:val="0"/>
          <w:i w:val="0"/>
          <w:color w:val="333333"/>
          <w:sz w:val="21"/>
        </w:rPr>
        <w:t>Nicht nur operative Unterstützung — strategische Führung der Kommunikation</w:t>
      </w:r>
    </w:p>
    <w:p>
      <w:pPr>
        <w:pStyle w:val="ListBullet"/>
        <w:spacing w:after="60"/>
      </w:pPr>
      <w:r>
        <w:rPr>
          <w:rFonts w:ascii="Calibri" w:hAnsi="Calibri"/>
          <w:b w:val="0"/>
          <w:i w:val="0"/>
          <w:color w:val="333333"/>
          <w:sz w:val="21"/>
        </w:rPr>
        <w:t>Externe CMO-Funktion: führen, challengen, übersetzen, entlasten</w:t>
      </w:r>
    </w:p>
    <w:p>
      <w:pPr>
        <w:pStyle w:val="ListBullet"/>
        <w:spacing w:after="60"/>
      </w:pPr>
      <w:r>
        <w:rPr>
          <w:rFonts w:ascii="Calibri" w:hAnsi="Calibri"/>
          <w:b w:val="0"/>
          <w:i w:val="0"/>
          <w:color w:val="333333"/>
          <w:sz w:val="21"/>
        </w:rPr>
        <w:t>Voraussetzung: Rollen, Entscheidungswege, Zuständigkeiten klären</w:t>
      </w:r>
    </w:p>
    <w:p>
      <w:pPr>
        <w:pStyle w:val="ListBullet"/>
        <w:spacing w:after="60"/>
      </w:pPr>
      <w:r>
        <w:rPr>
          <w:rFonts w:ascii="Calibri" w:hAnsi="Calibri"/>
          <w:b w:val="0"/>
          <w:i w:val="0"/>
          <w:color w:val="333333"/>
          <w:sz w:val="21"/>
        </w:rPr>
        <w:t>1322 ist grundsätzlich interessiert, diesen Weg zu begleiten</w:t>
      </w:r>
    </w:p>
    <w:p>
      <w:pPr>
        <w:spacing w:after="40"/>
      </w:pPr>
    </w:p>
    <w:p>
      <w:pPr>
        <w:spacing w:before="240" w:after="80"/>
      </w:pPr>
      <w:r>
        <w:rPr>
          <w:rFonts w:ascii="Calibri" w:hAnsi="Calibri"/>
          <w:b/>
          <w:i w:val="0"/>
          <w:color w:val="1A1033"/>
          <w:sz w:val="24"/>
        </w:rPr>
        <w:t>Folie 9 — Mögliche Einstiege</w:t>
      </w:r>
    </w:p>
    <w:p>
      <w:pPr>
        <w:pStyle w:val="ListBullet"/>
        <w:spacing w:after="60"/>
      </w:pPr>
      <w:r>
        <w:rPr>
          <w:rFonts w:ascii="Calibri" w:hAnsi="Calibri"/>
          <w:b w:val="0"/>
          <w:i w:val="0"/>
          <w:color w:val="333333"/>
          <w:sz w:val="21"/>
        </w:rPr>
        <w:t>Option A: Fundament zuerst (Markenarchitektur → Botschaften → Visuals → Kanäle)</w:t>
      </w:r>
    </w:p>
    <w:p>
      <w:pPr>
        <w:pStyle w:val="ListBullet"/>
        <w:spacing w:after="60"/>
      </w:pPr>
      <w:r>
        <w:rPr>
          <w:rFonts w:ascii="Calibri" w:hAnsi="Calibri"/>
          <w:b w:val="0"/>
          <w:i w:val="0"/>
          <w:color w:val="333333"/>
          <w:sz w:val="21"/>
        </w:rPr>
        <w:t>Option B: Persönlichkeit zuerst (Viktor LinkedIn sofort starten)</w:t>
      </w:r>
    </w:p>
    <w:p>
      <w:pPr>
        <w:pStyle w:val="ListBullet"/>
        <w:spacing w:after="60"/>
      </w:pPr>
      <w:r>
        <w:rPr>
          <w:rFonts w:ascii="Calibri" w:hAnsi="Calibri"/>
          <w:b w:val="0"/>
          <w:i w:val="0"/>
          <w:color w:val="333333"/>
          <w:sz w:val="21"/>
        </w:rPr>
        <w:t>Option C: Event-orientiert (16.09.2026 als Ankerpunkt, rückwärts planen)</w:t>
      </w:r>
    </w:p>
    <w:p>
      <w:pPr>
        <w:pStyle w:val="ListBullet"/>
        <w:spacing w:after="60"/>
      </w:pPr>
      <w:r>
        <w:rPr>
          <w:rFonts w:ascii="Calibri" w:hAnsi="Calibri"/>
          <w:b w:val="0"/>
          <w:i w:val="0"/>
          <w:color w:val="333333"/>
          <w:sz w:val="21"/>
        </w:rPr>
        <w:t>Voraussetzung für alle: Organisatorische Klärung zuerst</w:t>
      </w:r>
    </w:p>
    <w:p>
      <w:pPr>
        <w:spacing w:after="40"/>
      </w:pPr>
    </w:p>
    <w:sectPr w:rsidR="00FC693F" w:rsidRPr="0006063C" w:rsidSect="00034616">
      <w:pgSz w:w="12240" w:h="15840"/>
      <w:pgMar w:top="1417" w:right="1814" w:bottom="1417" w:left="18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