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E71522" w14:textId="322BA49E" w:rsidR="001E59D3" w:rsidRPr="00677552" w:rsidRDefault="00677552" w:rsidP="00FC3E2C">
      <w:pPr>
        <w:jc w:val="center"/>
        <w:rPr>
          <w:rFonts w:ascii="Avenir Book" w:hAnsi="Avenir Book"/>
          <w:b/>
          <w:bCs/>
          <w:sz w:val="56"/>
          <w:szCs w:val="56"/>
        </w:rPr>
      </w:pPr>
      <w:r w:rsidRPr="00677552">
        <w:rPr>
          <w:rFonts w:ascii="Avenir Book" w:hAnsi="Avenir Book"/>
          <w:b/>
          <w:bCs/>
          <w:sz w:val="56"/>
          <w:szCs w:val="56"/>
        </w:rPr>
        <w:t>LinkedIn Performance Report</w:t>
      </w:r>
    </w:p>
    <w:p w14:paraId="702291B0" w14:textId="365D5C82" w:rsidR="001E59D3" w:rsidRPr="00677552" w:rsidRDefault="00677552" w:rsidP="00FC3E2C">
      <w:pPr>
        <w:jc w:val="center"/>
        <w:rPr>
          <w:rFonts w:ascii="Avenir Book" w:hAnsi="Avenir Book"/>
          <w:sz w:val="36"/>
          <w:szCs w:val="36"/>
        </w:rPr>
      </w:pPr>
      <w:r w:rsidRPr="00677552">
        <w:rPr>
          <w:rFonts w:ascii="Avenir Book" w:hAnsi="Avenir Book"/>
          <w:sz w:val="36"/>
          <w:szCs w:val="36"/>
        </w:rPr>
        <w:t>Roger Brand — belle immo ag</w:t>
      </w:r>
    </w:p>
    <w:p w14:paraId="793C130E" w14:textId="12F0B8CF" w:rsidR="001E59D3" w:rsidRPr="00677552" w:rsidRDefault="00677552" w:rsidP="00FC3E2C">
      <w:pPr>
        <w:jc w:val="center"/>
        <w:rPr>
          <w:rFonts w:ascii="Avenir Book" w:hAnsi="Avenir Book"/>
          <w:sz w:val="36"/>
          <w:szCs w:val="36"/>
        </w:rPr>
      </w:pPr>
      <w:proofErr w:type="spellStart"/>
      <w:r w:rsidRPr="00677552">
        <w:rPr>
          <w:rFonts w:ascii="Avenir Book" w:hAnsi="Avenir Book"/>
          <w:sz w:val="36"/>
          <w:szCs w:val="36"/>
        </w:rPr>
        <w:t>13. Juli 2026</w:t>
      </w:r>
      <w:proofErr w:type="spellEnd"/>
      <w:r w:rsidR="001E59D3" w:rsidRPr="00677552">
        <w:rPr>
          <w:rFonts w:ascii="Avenir Book" w:hAnsi="Avenir Book"/>
          <w:sz w:val="36"/>
          <w:szCs w:val="36"/>
        </w:rPr>
      </w:r>
      <w:proofErr w:type="spellStart"/>
      <w:r w:rsidRPr="00677552">
        <w:rPr>
          <w:rFonts w:ascii="Avenir Book" w:hAnsi="Avenir Book"/>
          <w:sz w:val="36"/>
          <w:szCs w:val="36"/>
        </w:rPr>
      </w:r>
      <w:proofErr w:type="spellEnd"/>
      <w:r w:rsidR="001E59D3" w:rsidRPr="00677552">
        <w:rPr>
          <w:rFonts w:ascii="Avenir Book" w:hAnsi="Avenir Book"/>
          <w:sz w:val="36"/>
          <w:szCs w:val="36"/>
        </w:rPr>
      </w:r>
      <w:proofErr w:type="spellStart"/>
      <w:r w:rsidRPr="00677552">
        <w:rPr>
          <w:rFonts w:ascii="Avenir Book" w:hAnsi="Avenir Book"/>
          <w:sz w:val="36"/>
          <w:szCs w:val="36"/>
        </w:rPr>
      </w:r>
      <w:proofErr w:type="spellEnd"/>
    </w:p>
    <w:sdt>
      <w:sdtPr>
        <w:rPr>
          <w:rFonts w:ascii="Avenir Book" w:eastAsia="Times New Roman" w:hAnsi="Avenir Book" w:cs="Times New Roman"/>
          <w:b w:val="0"/>
          <w:bCs w:val="0"/>
          <w:color w:val="A176F5"/>
          <w:sz w:val="22"/>
          <w:szCs w:val="24"/>
          <w:lang w:val="de-DE"/>
        </w:rPr>
        <w:id w:val="-1233695860"/>
        <w:docPartObj>
          <w:docPartGallery w:val="Table of Contents"/>
          <w:docPartUnique/>
        </w:docPartObj>
      </w:sdtPr>
      <w:sdtEndPr>
        <w:rPr>
          <w:noProof/>
          <w:color w:val="auto"/>
          <w:lang w:val="de-CH"/>
        </w:rPr>
      </w:sdtEndPr>
      <w:sdtContent>
        <w:p w14:paraId="26B4AE47" w14:textId="4381298B" w:rsidR="00FC3E2C" w:rsidRPr="00677552" w:rsidRDefault="00FC3E2C">
          <w:pPr>
            <w:pStyle w:val="Inhaltsverzeichnisberschrift"/>
            <w:rPr>
              <w:rFonts w:ascii="Avenir Book" w:hAnsi="Avenir Book"/>
              <w:color w:val="A176F5"/>
            </w:rPr>
          </w:pPr>
          <w:r w:rsidRPr="00677552">
            <w:rPr>
              <w:rFonts w:ascii="Avenir Book" w:hAnsi="Avenir Book"/>
              <w:color w:val="A176F5"/>
              <w:lang w:val="de-DE"/>
            </w:rPr>
            <w:t>Inhaltsverzeichnis</w:t>
          </w:r>
        </w:p>
        <w:p w14:paraId="225FE593" w14:textId="0E92BACA" w:rsidR="00677552" w:rsidRPr="00677552" w:rsidRDefault="00FC3E2C">
          <w:pPr>
            <w:pStyle w:val="Verzeichnis1"/>
            <w:tabs>
              <w:tab w:val="right" w:leader="dot" w:pos="9062"/>
            </w:tabs>
            <w:rPr>
              <w:rFonts w:ascii="Avenir Book" w:eastAsiaTheme="minorEastAsia" w:hAnsi="Avenir Book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 w:rsidRPr="00677552">
            <w:rPr>
              <w:rFonts w:ascii="Avenir Book" w:hAnsi="Avenir Book"/>
              <w:b w:val="0"/>
              <w:bCs w:val="0"/>
              <w:sz w:val="22"/>
              <w:szCs w:val="22"/>
            </w:rPr>
            <w:fldChar w:fldCharType="begin"/>
          </w:r>
          <w:r w:rsidRPr="00677552">
            <w:rPr>
              <w:rFonts w:ascii="Avenir Book" w:hAnsi="Avenir Book"/>
              <w:b w:val="0"/>
              <w:bCs w:val="0"/>
              <w:sz w:val="22"/>
              <w:szCs w:val="22"/>
            </w:rPr>
            <w:instrText xml:space="preserve"> TOC \o "1-1" \h \z \u </w:instrText>
          </w:r>
          <w:r w:rsidRPr="00677552">
            <w:rPr>
              <w:rFonts w:ascii="Avenir Book" w:hAnsi="Avenir Book"/>
              <w:b w:val="0"/>
              <w:bCs w:val="0"/>
              <w:sz w:val="22"/>
              <w:szCs w:val="22"/>
            </w:rPr>
            <w:fldChar w:fldCharType="separate"/>
          </w:r>
          <w:hyperlink w:anchor="_Toc233725423" w:history="1">
            <w:r w:rsidR="00677552" w:rsidRPr="00677552">
              <w:rPr>
                <w:rStyle w:val="Hyperlink"/>
                <w:rFonts w:ascii="Avenir Book" w:hAnsi="Avenir Book"/>
                <w:noProof/>
              </w:rPr>
              <w:t>1.  Übe</w:t>
            </w:r>
            <w:r w:rsidR="00677552" w:rsidRPr="00677552">
              <w:rPr>
                <w:rStyle w:val="Hyperlink"/>
                <w:rFonts w:ascii="Avenir Book" w:hAnsi="Avenir Book"/>
                <w:noProof/>
              </w:rPr>
              <w:t>r</w:t>
            </w:r>
            <w:r w:rsidR="00677552" w:rsidRPr="00677552">
              <w:rPr>
                <w:rStyle w:val="Hyperlink"/>
                <w:rFonts w:ascii="Avenir Book" w:hAnsi="Avenir Book"/>
                <w:noProof/>
              </w:rPr>
              <w:t>schrift 1</w:t>
            </w:r>
            <w:r w:rsidR="00677552" w:rsidRPr="00677552">
              <w:rPr>
                <w:rFonts w:ascii="Avenir Book" w:hAnsi="Avenir Book"/>
                <w:noProof/>
                <w:webHidden/>
              </w:rPr>
              <w:tab/>
            </w:r>
            <w:r w:rsidR="00677552" w:rsidRPr="00677552">
              <w:rPr>
                <w:rFonts w:ascii="Avenir Book" w:hAnsi="Avenir Book"/>
                <w:noProof/>
                <w:webHidden/>
              </w:rPr>
              <w:fldChar w:fldCharType="begin"/>
            </w:r>
            <w:r w:rsidR="00677552" w:rsidRPr="00677552">
              <w:rPr>
                <w:rFonts w:ascii="Avenir Book" w:hAnsi="Avenir Book"/>
                <w:noProof/>
                <w:webHidden/>
              </w:rPr>
              <w:instrText xml:space="preserve"> PAGEREF _Toc233725423 \h </w:instrText>
            </w:r>
            <w:r w:rsidR="00677552" w:rsidRPr="00677552">
              <w:rPr>
                <w:rFonts w:ascii="Avenir Book" w:hAnsi="Avenir Book"/>
                <w:noProof/>
                <w:webHidden/>
              </w:rPr>
            </w:r>
            <w:r w:rsidR="00677552" w:rsidRPr="00677552">
              <w:rPr>
                <w:rFonts w:ascii="Avenir Book" w:hAnsi="Avenir Book"/>
                <w:noProof/>
                <w:webHidden/>
              </w:rPr>
              <w:fldChar w:fldCharType="separate"/>
            </w:r>
            <w:r w:rsidR="00677552" w:rsidRPr="00677552">
              <w:rPr>
                <w:rFonts w:ascii="Avenir Book" w:hAnsi="Avenir Book"/>
                <w:noProof/>
                <w:webHidden/>
              </w:rPr>
              <w:t>2</w:t>
            </w:r>
            <w:r w:rsidR="00677552" w:rsidRPr="00677552">
              <w:rPr>
                <w:rFonts w:ascii="Avenir Book" w:hAnsi="Avenir Book"/>
                <w:noProof/>
                <w:webHidden/>
              </w:rPr>
              <w:fldChar w:fldCharType="end"/>
            </w:r>
          </w:hyperlink>
        </w:p>
        <w:p w14:paraId="53F6FBD6" w14:textId="646AD3BD" w:rsidR="00677552" w:rsidRPr="00677552" w:rsidRDefault="00677552">
          <w:pPr>
            <w:pStyle w:val="Verzeichnis1"/>
            <w:tabs>
              <w:tab w:val="right" w:leader="dot" w:pos="9062"/>
            </w:tabs>
            <w:rPr>
              <w:rFonts w:ascii="Avenir Book" w:eastAsiaTheme="minorEastAsia" w:hAnsi="Avenir Book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3725424" w:history="1">
            <w:r w:rsidRPr="00677552">
              <w:rPr>
                <w:rStyle w:val="Hyperlink"/>
                <w:rFonts w:ascii="Avenir Book" w:hAnsi="Avenir Book"/>
                <w:noProof/>
              </w:rPr>
              <w:t>2.  Überschrift 1</w:t>
            </w:r>
            <w:r w:rsidRPr="00677552">
              <w:rPr>
                <w:rFonts w:ascii="Avenir Book" w:hAnsi="Avenir Book"/>
                <w:noProof/>
                <w:webHidden/>
              </w:rPr>
              <w:tab/>
            </w:r>
            <w:r w:rsidRPr="00677552">
              <w:rPr>
                <w:rFonts w:ascii="Avenir Book" w:hAnsi="Avenir Book"/>
                <w:noProof/>
                <w:webHidden/>
              </w:rPr>
              <w:fldChar w:fldCharType="begin"/>
            </w:r>
            <w:r w:rsidRPr="00677552">
              <w:rPr>
                <w:rFonts w:ascii="Avenir Book" w:hAnsi="Avenir Book"/>
                <w:noProof/>
                <w:webHidden/>
              </w:rPr>
              <w:instrText xml:space="preserve"> PAGEREF _Toc233725424 \h </w:instrText>
            </w:r>
            <w:r w:rsidRPr="00677552">
              <w:rPr>
                <w:rFonts w:ascii="Avenir Book" w:hAnsi="Avenir Book"/>
                <w:noProof/>
                <w:webHidden/>
              </w:rPr>
            </w:r>
            <w:r w:rsidRPr="00677552">
              <w:rPr>
                <w:rFonts w:ascii="Avenir Book" w:hAnsi="Avenir Book"/>
                <w:noProof/>
                <w:webHidden/>
              </w:rPr>
              <w:fldChar w:fldCharType="separate"/>
            </w:r>
            <w:r w:rsidRPr="00677552">
              <w:rPr>
                <w:rFonts w:ascii="Avenir Book" w:hAnsi="Avenir Book"/>
                <w:noProof/>
                <w:webHidden/>
              </w:rPr>
              <w:t>3</w:t>
            </w:r>
            <w:r w:rsidRPr="00677552">
              <w:rPr>
                <w:rFonts w:ascii="Avenir Book" w:hAnsi="Avenir Book"/>
                <w:noProof/>
                <w:webHidden/>
              </w:rPr>
              <w:fldChar w:fldCharType="end"/>
            </w:r>
          </w:hyperlink>
        </w:p>
        <w:p w14:paraId="7C8EAE4F" w14:textId="45282CDD" w:rsidR="00FC3E2C" w:rsidRPr="00677552" w:rsidRDefault="00FC3E2C">
          <w:pPr>
            <w:rPr>
              <w:rFonts w:ascii="Avenir Book" w:hAnsi="Avenir Book"/>
            </w:rPr>
          </w:pPr>
          <w:r w:rsidRPr="00677552">
            <w:rPr>
              <w:rFonts w:ascii="Avenir Book" w:hAnsi="Avenir Book"/>
              <w:szCs w:val="22"/>
            </w:rPr>
            <w:fldChar w:fldCharType="end"/>
          </w:r>
        </w:p>
      </w:sdtContent>
    </w:sdt>
    <w:p>
      <w:pPr>
        <w:pStyle w:val="berschrift1"/>
      </w:pPr>
      <w:r>
        <w:t>1.  Executive Summary</w:t>
      </w:r>
    </w:p>
    <w:p>
      <w:pPr/>
      <w:r>
        <w:t>Roger Brands LinkedIn-Kanal zeigt über den gesamten Berichtszeitraum eine gesunde, organische Basis mit bewiesenem Potenzial. 40'574 Impressions, 13'416 erreichte Mitglieder und +223 neue Follower (+52%) in rund 13 Monaten — das ist kein schlechter Ausgangspunkt, sondern eine belastbare Grundlage.</w:t>
      </w:r>
    </w:p>
    <w:p>
      <w:pPr/>
      <w:r/>
    </w:p>
    <w:p>
      <w:pPr/>
      <w:r>
        <w:t>Die stärkste Erkenntnis: Persönliche, narrative Posts dominieren die Performance vollständig. Der Bar-Post (8.9.2025, 5'240 Impressions) und der Karriere-/Partnerschaftspost (1.7.2026, 4'719 Impressions) übertreffen jeden anderen Inhalt deutlich. Zahlen und Fachthemen allein tragen nicht — Rogers Gesicht und die Geschichte dahinter sind der eigentliche Reichweiten-Treiber.</w:t>
      </w:r>
    </w:p>
    <w:p>
      <w:pPr/>
      <w:r/>
    </w:p>
    <w:p>
      <w:pPr/>
      <w:r>
        <w:t>Schwachpunkt: Feb–Apr 2026 war der Kanal faktisch inaktiv (427 / 366 / 51 Impressions). Dieser Einbruch ist sichtbar, aber vollständig erklärbar — und mit der professionellen Begleitung durch Mournival ab Juli 2026 strukturell gelöst.</w:t>
      </w:r>
    </w:p>
    <w:p>
      <w:pPr/>
      <w:r/>
    </w:p>
    <w:p>
      <w:pPr/>
      <w:r>
        <w:t>Kernbotschaft: Das Potenzial ist da und bewiesen. Jetzt braucht es Kontinuität.</w:t>
      </w:r>
    </w:p>
    <w:p>
      <w:pPr>
        <w:pStyle w:val="berschrift1"/>
      </w:pPr>
      <w:r>
        <w:t>2.  Kennzahlen-Übersicht</w:t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819"/>
          </w:tcPr>
          <w:p>
            <w:r>
              <w:rPr>
                <w:b/>
              </w:rPr>
              <w:t>Metrik</w:t>
            </w:r>
          </w:p>
        </w:tc>
        <w:tc>
          <w:tcPr>
            <w:tcW w:type="dxa" w:w="4252"/>
          </w:tcPr>
          <w:p>
            <w:r>
              <w:rPr>
                <w:b/>
              </w:rPr>
              <w:t>Wert</w:t>
            </w:r>
          </w:p>
        </w:tc>
      </w:tr>
      <w:tr>
        <w:tc>
          <w:tcPr>
            <w:tcW w:type="dxa" w:w="4819"/>
          </w:tcPr>
          <w:p>
            <w:r>
              <w:t>Follower (Stand 13.7.2026)</w:t>
            </w:r>
          </w:p>
        </w:tc>
        <w:tc>
          <w:tcPr>
            <w:tcW w:type="dxa" w:w="4252"/>
          </w:tcPr>
          <w:p>
            <w:r>
              <w:t>653</w:t>
            </w:r>
          </w:p>
        </w:tc>
      </w:tr>
      <w:tr>
        <w:tc>
          <w:tcPr>
            <w:tcW w:type="dxa" w:w="4819"/>
          </w:tcPr>
          <w:p>
            <w:r>
              <w:t>Neue Follower im Zeitraum</w:t>
            </w:r>
          </w:p>
        </w:tc>
        <w:tc>
          <w:tcPr>
            <w:tcW w:type="dxa" w:w="4252"/>
          </w:tcPr>
          <w:p>
            <w:r>
              <w:t>+223 (+52%)</w:t>
            </w:r>
          </w:p>
        </w:tc>
      </w:tr>
      <w:tr>
        <w:tc>
          <w:tcPr>
            <w:tcW w:type="dxa" w:w="4819"/>
          </w:tcPr>
          <w:p>
            <w:r>
              <w:t>Follower zu Beginn (ca. 9.6.2025)</w:t>
            </w:r>
          </w:p>
        </w:tc>
        <w:tc>
          <w:tcPr>
            <w:tcW w:type="dxa" w:w="4252"/>
          </w:tcPr>
          <w:p>
            <w:r>
              <w:t>ca. 430</w:t>
            </w:r>
          </w:p>
        </w:tc>
      </w:tr>
      <w:tr>
        <w:tc>
          <w:tcPr>
            <w:tcW w:type="dxa" w:w="4819"/>
          </w:tcPr>
          <w:p>
            <w:r>
              <w:t>Erreichte Mitglieder (gesamt)</w:t>
            </w:r>
          </w:p>
        </w:tc>
        <w:tc>
          <w:tcPr>
            <w:tcW w:type="dxa" w:w="4252"/>
          </w:tcPr>
          <w:p>
            <w:r>
              <w:t>13'416</w:t>
            </w:r>
          </w:p>
        </w:tc>
      </w:tr>
      <w:tr>
        <w:tc>
          <w:tcPr>
            <w:tcW w:type="dxa" w:w="4819"/>
          </w:tcPr>
          <w:p>
            <w:r>
              <w:t>Impressions gesamt</w:t>
            </w:r>
          </w:p>
        </w:tc>
        <w:tc>
          <w:tcPr>
            <w:tcW w:type="dxa" w:w="4252"/>
          </w:tcPr>
          <w:p>
            <w:r>
              <w:t>40'574</w:t>
            </w:r>
          </w:p>
        </w:tc>
      </w:tr>
      <w:tr>
        <w:tc>
          <w:tcPr>
            <w:tcW w:type="dxa" w:w="4819"/>
          </w:tcPr>
          <w:p>
            <w:r>
              <w:t>Total Engagement (aggregiert)</w:t>
            </w:r>
          </w:p>
        </w:tc>
        <w:tc>
          <w:tcPr>
            <w:tcW w:type="dxa" w:w="4252"/>
          </w:tcPr>
          <w:p>
            <w:r>
              <w:t>962</w:t>
            </w:r>
          </w:p>
        </w:tc>
      </w:tr>
      <w:tr>
        <w:tc>
          <w:tcPr>
            <w:tcW w:type="dxa" w:w="4819"/>
          </w:tcPr>
          <w:p>
            <w:r>
              <w:t>Durchschn. Engagement Rate</w:t>
            </w:r>
          </w:p>
        </w:tc>
        <w:tc>
          <w:tcPr>
            <w:tcW w:type="dxa" w:w="4252"/>
          </w:tcPr>
          <w:p>
            <w:r>
              <w:t>2.37%</w:t>
            </w:r>
          </w:p>
        </w:tc>
      </w:tr>
      <w:tr>
        <w:tc>
          <w:tcPr>
            <w:tcW w:type="dxa" w:w="4819"/>
          </w:tcPr>
          <w:p>
            <w:r>
              <w:t>Bester Monat (Impressions)</w:t>
            </w:r>
          </w:p>
        </w:tc>
        <w:tc>
          <w:tcPr>
            <w:tcW w:type="dxa" w:w="4252"/>
          </w:tcPr>
          <w:p>
            <w:r>
              <w:t>September 2025 — 8'517</w:t>
            </w:r>
          </w:p>
        </w:tc>
      </w:tr>
      <w:tr>
        <w:tc>
          <w:tcPr>
            <w:tcW w:type="dxa" w:w="4819"/>
          </w:tcPr>
          <w:p>
            <w:r>
              <w:t>Schwächster Monat</w:t>
            </w:r>
          </w:p>
        </w:tc>
        <w:tc>
          <w:tcPr>
            <w:tcW w:type="dxa" w:w="4252"/>
          </w:tcPr>
          <w:p>
            <w:r>
              <w:t>April 2026 — 51 (0 Posts)</w:t>
            </w:r>
          </w:p>
        </w:tc>
      </w:tr>
      <w:tr>
        <w:tc>
          <w:tcPr>
            <w:tcW w:type="dxa" w:w="4819"/>
          </w:tcPr>
          <w:p>
            <w:r>
              <w:t>Höchste monatliche ER</w:t>
            </w:r>
          </w:p>
        </w:tc>
        <w:tc>
          <w:tcPr>
            <w:tcW w:type="dxa" w:w="4252"/>
          </w:tcPr>
          <w:p>
            <w:r>
              <w:t>Januar 2026 — 3.7%</w:t>
            </w:r>
          </w:p>
        </w:tc>
      </w:tr>
    </w:tbl>
    <w:p>
      <w:pPr/>
      <w:r/>
    </w:p>
    <w:p>
      <w:pPr>
        <w:pStyle w:val="berschrift2"/>
      </w:pPr>
      <w:r>
        <w:t>Monatliche Performance</w:t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</w:tcPr>
          <w:p>
            <w:r>
              <w:rPr>
                <w:b/>
              </w:rPr>
              <w:t>Monat</w:t>
            </w:r>
          </w:p>
        </w:tc>
        <w:tc>
          <w:tcPr>
            <w:tcW w:type="dxa" w:w="1984"/>
          </w:tcPr>
          <w:p>
            <w:r>
              <w:rPr>
                <w:b/>
              </w:rPr>
              <w:t>Impressions</w:t>
            </w:r>
          </w:p>
        </w:tc>
        <w:tc>
          <w:tcPr>
            <w:tcW w:type="dxa" w:w="1984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1417"/>
          </w:tcPr>
          <w:p>
            <w:r>
              <w:rPr>
                <w:b/>
              </w:rPr>
              <w:t>ER</w:t>
            </w:r>
          </w:p>
        </w:tc>
      </w:tr>
      <w:tr>
        <w:tc>
          <w:tcPr>
            <w:tcW w:type="dxa" w:w="2551"/>
          </w:tcPr>
          <w:p>
            <w:r>
              <w:t>Jun 2025 (ab 9.6.)</w:t>
            </w:r>
          </w:p>
        </w:tc>
        <w:tc>
          <w:tcPr>
            <w:tcW w:type="dxa" w:w="1984"/>
          </w:tcPr>
          <w:p>
            <w:r>
              <w:t>2'135</w:t>
            </w:r>
          </w:p>
        </w:tc>
        <w:tc>
          <w:tcPr>
            <w:tcW w:type="dxa" w:w="1984"/>
          </w:tcPr>
          <w:p>
            <w:r>
              <w:t>60</w:t>
            </w:r>
          </w:p>
        </w:tc>
        <w:tc>
          <w:tcPr>
            <w:tcW w:type="dxa" w:w="1417"/>
          </w:tcPr>
          <w:p>
            <w:r>
              <w:t>2.8%</w:t>
            </w:r>
          </w:p>
        </w:tc>
      </w:tr>
      <w:tr>
        <w:tc>
          <w:tcPr>
            <w:tcW w:type="dxa" w:w="2551"/>
          </w:tcPr>
          <w:p>
            <w:r>
              <w:t>Jul 2025</w:t>
            </w:r>
          </w:p>
        </w:tc>
        <w:tc>
          <w:tcPr>
            <w:tcW w:type="dxa" w:w="1984"/>
          </w:tcPr>
          <w:p>
            <w:r>
              <w:t>5'939</w:t>
            </w:r>
          </w:p>
        </w:tc>
        <w:tc>
          <w:tcPr>
            <w:tcW w:type="dxa" w:w="1984"/>
          </w:tcPr>
          <w:p>
            <w:r>
              <w:t>139</w:t>
            </w:r>
          </w:p>
        </w:tc>
        <w:tc>
          <w:tcPr>
            <w:tcW w:type="dxa" w:w="1417"/>
          </w:tcPr>
          <w:p>
            <w:r>
              <w:t>2.3%</w:t>
            </w:r>
          </w:p>
        </w:tc>
      </w:tr>
      <w:tr>
        <w:tc>
          <w:tcPr>
            <w:tcW w:type="dxa" w:w="2551"/>
          </w:tcPr>
          <w:p>
            <w:r>
              <w:t>Aug 2025</w:t>
            </w:r>
          </w:p>
        </w:tc>
        <w:tc>
          <w:tcPr>
            <w:tcW w:type="dxa" w:w="1984"/>
          </w:tcPr>
          <w:p>
            <w:r>
              <w:t>3'419</w:t>
            </w:r>
          </w:p>
        </w:tc>
        <w:tc>
          <w:tcPr>
            <w:tcW w:type="dxa" w:w="1984"/>
          </w:tcPr>
          <w:p>
            <w:r>
              <w:t>93</w:t>
            </w:r>
          </w:p>
        </w:tc>
        <w:tc>
          <w:tcPr>
            <w:tcW w:type="dxa" w:w="1417"/>
          </w:tcPr>
          <w:p>
            <w:r>
              <w:t>2.7%</w:t>
            </w:r>
          </w:p>
        </w:tc>
      </w:tr>
      <w:tr>
        <w:tc>
          <w:tcPr>
            <w:tcW w:type="dxa" w:w="2551"/>
          </w:tcPr>
          <w:p>
            <w:r>
              <w:t>Sep 2025</w:t>
            </w:r>
          </w:p>
        </w:tc>
        <w:tc>
          <w:tcPr>
            <w:tcW w:type="dxa" w:w="1984"/>
          </w:tcPr>
          <w:p>
            <w:r>
              <w:t>8'517</w:t>
            </w:r>
          </w:p>
        </w:tc>
        <w:tc>
          <w:tcPr>
            <w:tcW w:type="dxa" w:w="1984"/>
          </w:tcPr>
          <w:p>
            <w:r>
              <w:t>135</w:t>
            </w:r>
          </w:p>
        </w:tc>
        <w:tc>
          <w:tcPr>
            <w:tcW w:type="dxa" w:w="1417"/>
          </w:tcPr>
          <w:p>
            <w:r>
              <w:t>1.6%</w:t>
            </w:r>
          </w:p>
        </w:tc>
      </w:tr>
      <w:tr>
        <w:tc>
          <w:tcPr>
            <w:tcW w:type="dxa" w:w="2551"/>
          </w:tcPr>
          <w:p>
            <w:r>
              <w:t>Okt 2025</w:t>
            </w:r>
          </w:p>
        </w:tc>
        <w:tc>
          <w:tcPr>
            <w:tcW w:type="dxa" w:w="1984"/>
          </w:tcPr>
          <w:p>
            <w:r>
              <w:t>3'201</w:t>
            </w:r>
          </w:p>
        </w:tc>
        <w:tc>
          <w:tcPr>
            <w:tcW w:type="dxa" w:w="1984"/>
          </w:tcPr>
          <w:p>
            <w:r>
              <w:t>86</w:t>
            </w:r>
          </w:p>
        </w:tc>
        <w:tc>
          <w:tcPr>
            <w:tcW w:type="dxa" w:w="1417"/>
          </w:tcPr>
          <w:p>
            <w:r>
              <w:t>2.7%</w:t>
            </w:r>
          </w:p>
        </w:tc>
      </w:tr>
      <w:tr>
        <w:tc>
          <w:tcPr>
            <w:tcW w:type="dxa" w:w="2551"/>
          </w:tcPr>
          <w:p>
            <w:r>
              <w:t>Nov 2025</w:t>
            </w:r>
          </w:p>
        </w:tc>
        <w:tc>
          <w:tcPr>
            <w:tcW w:type="dxa" w:w="1984"/>
          </w:tcPr>
          <w:p>
            <w:r>
              <w:t>2'857</w:t>
            </w:r>
          </w:p>
        </w:tc>
        <w:tc>
          <w:tcPr>
            <w:tcW w:type="dxa" w:w="1984"/>
          </w:tcPr>
          <w:p>
            <w:r>
              <w:t>73</w:t>
            </w:r>
          </w:p>
        </w:tc>
        <w:tc>
          <w:tcPr>
            <w:tcW w:type="dxa" w:w="1417"/>
          </w:tcPr>
          <w:p>
            <w:r>
              <w:t>2.6%</w:t>
            </w:r>
          </w:p>
        </w:tc>
      </w:tr>
      <w:tr>
        <w:tc>
          <w:tcPr>
            <w:tcW w:type="dxa" w:w="2551"/>
          </w:tcPr>
          <w:p>
            <w:r>
              <w:t>Dez 2025</w:t>
            </w:r>
          </w:p>
        </w:tc>
        <w:tc>
          <w:tcPr>
            <w:tcW w:type="dxa" w:w="1984"/>
          </w:tcPr>
          <w:p>
            <w:r>
              <w:t>3'939</w:t>
            </w:r>
          </w:p>
        </w:tc>
        <w:tc>
          <w:tcPr>
            <w:tcW w:type="dxa" w:w="1984"/>
          </w:tcPr>
          <w:p>
            <w:r>
              <w:t>117</w:t>
            </w:r>
          </w:p>
        </w:tc>
        <w:tc>
          <w:tcPr>
            <w:tcW w:type="dxa" w:w="1417"/>
          </w:tcPr>
          <w:p>
            <w:r>
              <w:t>3.0%</w:t>
            </w:r>
          </w:p>
        </w:tc>
      </w:tr>
      <w:tr>
        <w:tc>
          <w:tcPr>
            <w:tcW w:type="dxa" w:w="2551"/>
          </w:tcPr>
          <w:p>
            <w:r>
              <w:t>Jan 2026</w:t>
            </w:r>
          </w:p>
        </w:tc>
        <w:tc>
          <w:tcPr>
            <w:tcW w:type="dxa" w:w="1984"/>
          </w:tcPr>
          <w:p>
            <w:r>
              <w:t>1'255</w:t>
            </w:r>
          </w:p>
        </w:tc>
        <w:tc>
          <w:tcPr>
            <w:tcW w:type="dxa" w:w="1984"/>
          </w:tcPr>
          <w:p>
            <w:r>
              <w:t>46</w:t>
            </w:r>
          </w:p>
        </w:tc>
        <w:tc>
          <w:tcPr>
            <w:tcW w:type="dxa" w:w="1417"/>
          </w:tcPr>
          <w:p>
            <w:r>
              <w:t>3.7%</w:t>
            </w:r>
          </w:p>
        </w:tc>
      </w:tr>
      <w:tr>
        <w:tc>
          <w:tcPr>
            <w:tcW w:type="dxa" w:w="2551"/>
          </w:tcPr>
          <w:p>
            <w:r>
              <w:t>Feb 2026</w:t>
            </w:r>
          </w:p>
        </w:tc>
        <w:tc>
          <w:tcPr>
            <w:tcW w:type="dxa" w:w="1984"/>
          </w:tcPr>
          <w:p>
            <w:r>
              <w:t>427</w:t>
            </w:r>
          </w:p>
        </w:tc>
        <w:tc>
          <w:tcPr>
            <w:tcW w:type="dxa" w:w="1984"/>
          </w:tcPr>
          <w:p>
            <w:r>
              <w:t>11</w:t>
            </w:r>
          </w:p>
        </w:tc>
        <w:tc>
          <w:tcPr>
            <w:tcW w:type="dxa" w:w="1417"/>
          </w:tcPr>
          <w:p>
            <w:r>
              <w:t>2.6%</w:t>
            </w:r>
          </w:p>
        </w:tc>
      </w:tr>
      <w:tr>
        <w:tc>
          <w:tcPr>
            <w:tcW w:type="dxa" w:w="2551"/>
          </w:tcPr>
          <w:p>
            <w:r>
              <w:t>Mär 2026</w:t>
            </w:r>
          </w:p>
        </w:tc>
        <w:tc>
          <w:tcPr>
            <w:tcW w:type="dxa" w:w="1984"/>
          </w:tcPr>
          <w:p>
            <w:r>
              <w:t>366</w:t>
            </w:r>
          </w:p>
        </w:tc>
        <w:tc>
          <w:tcPr>
            <w:tcW w:type="dxa" w:w="1984"/>
          </w:tcPr>
          <w:p>
            <w:r>
              <w:t>11</w:t>
            </w:r>
          </w:p>
        </w:tc>
        <w:tc>
          <w:tcPr>
            <w:tcW w:type="dxa" w:w="1417"/>
          </w:tcPr>
          <w:p>
            <w:r>
              <w:t>3.0%</w:t>
            </w:r>
          </w:p>
        </w:tc>
      </w:tr>
      <w:tr>
        <w:tc>
          <w:tcPr>
            <w:tcW w:type="dxa" w:w="2551"/>
          </w:tcPr>
          <w:p>
            <w:r>
              <w:t>Apr 2026</w:t>
            </w:r>
          </w:p>
        </w:tc>
        <w:tc>
          <w:tcPr>
            <w:tcW w:type="dxa" w:w="1984"/>
          </w:tcPr>
          <w:p>
            <w:r>
              <w:t>51 ⚠</w:t>
            </w:r>
          </w:p>
        </w:tc>
        <w:tc>
          <w:tcPr>
            <w:tcW w:type="dxa" w:w="1984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0.0%</w:t>
            </w:r>
          </w:p>
        </w:tc>
      </w:tr>
      <w:tr>
        <w:tc>
          <w:tcPr>
            <w:tcW w:type="dxa" w:w="2551"/>
          </w:tcPr>
          <w:p>
            <w:r>
              <w:t>Mai 2026</w:t>
            </w:r>
          </w:p>
        </w:tc>
        <w:tc>
          <w:tcPr>
            <w:tcW w:type="dxa" w:w="1984"/>
          </w:tcPr>
          <w:p>
            <w:r>
              <w:t>2'058</w:t>
            </w:r>
          </w:p>
        </w:tc>
        <w:tc>
          <w:tcPr>
            <w:tcW w:type="dxa" w:w="1984"/>
          </w:tcPr>
          <w:p>
            <w:r>
              <w:t>75</w:t>
            </w:r>
          </w:p>
        </w:tc>
        <w:tc>
          <w:tcPr>
            <w:tcW w:type="dxa" w:w="1417"/>
          </w:tcPr>
          <w:p>
            <w:r>
              <w:t>3.6%</w:t>
            </w:r>
          </w:p>
        </w:tc>
      </w:tr>
      <w:tr>
        <w:tc>
          <w:tcPr>
            <w:tcW w:type="dxa" w:w="2551"/>
          </w:tcPr>
          <w:p>
            <w:r>
              <w:t>Jun 2026</w:t>
            </w:r>
          </w:p>
        </w:tc>
        <w:tc>
          <w:tcPr>
            <w:tcW w:type="dxa" w:w="1984"/>
          </w:tcPr>
          <w:p>
            <w:r>
              <w:t>1'079</w:t>
            </w:r>
          </w:p>
        </w:tc>
        <w:tc>
          <w:tcPr>
            <w:tcW w:type="dxa" w:w="1984"/>
          </w:tcPr>
          <w:p>
            <w:r>
              <w:t>30</w:t>
            </w:r>
          </w:p>
        </w:tc>
        <w:tc>
          <w:tcPr>
            <w:tcW w:type="dxa" w:w="1417"/>
          </w:tcPr>
          <w:p>
            <w:r>
              <w:t>2.8%</w:t>
            </w:r>
          </w:p>
        </w:tc>
      </w:tr>
      <w:tr>
        <w:tc>
          <w:tcPr>
            <w:tcW w:type="dxa" w:w="2551"/>
          </w:tcPr>
          <w:p>
            <w:r>
              <w:t>Jul 2026 (1.–13.)</w:t>
            </w:r>
          </w:p>
        </w:tc>
        <w:tc>
          <w:tcPr>
            <w:tcW w:type="dxa" w:w="1984"/>
          </w:tcPr>
          <w:p>
            <w:r>
              <w:t>5'331</w:t>
            </w:r>
          </w:p>
        </w:tc>
        <w:tc>
          <w:tcPr>
            <w:tcW w:type="dxa" w:w="1984"/>
          </w:tcPr>
          <w:p>
            <w:r>
              <w:t>86</w:t>
            </w:r>
          </w:p>
        </w:tc>
        <w:tc>
          <w:tcPr>
            <w:tcW w:type="dxa" w:w="1417"/>
          </w:tcPr>
          <w:p>
            <w:r>
              <w:t>1.6%</w:t>
            </w:r>
          </w:p>
        </w:tc>
      </w:tr>
      <w:tr>
        <w:tc>
          <w:tcPr>
            <w:tcW w:type="dxa" w:w="2551"/>
          </w:tcPr>
          <w:p>
            <w:r>
              <w:t>TOTAL</w:t>
            </w:r>
          </w:p>
        </w:tc>
        <w:tc>
          <w:tcPr>
            <w:tcW w:type="dxa" w:w="1984"/>
          </w:tcPr>
          <w:p>
            <w:r>
              <w:t>40'574</w:t>
            </w:r>
          </w:p>
        </w:tc>
        <w:tc>
          <w:tcPr>
            <w:tcW w:type="dxa" w:w="1984"/>
          </w:tcPr>
          <w:p>
            <w:r>
              <w:t>962</w:t>
            </w:r>
          </w:p>
        </w:tc>
        <w:tc>
          <w:tcPr>
            <w:tcW w:type="dxa" w:w="1417"/>
          </w:tcPr>
          <w:p>
            <w:r>
              <w:t>2.37%</w:t>
            </w:r>
          </w:p>
        </w:tc>
      </w:tr>
    </w:tbl>
    <w:p>
      <w:pPr/>
      <w:r/>
    </w:p>
    <w:p>
      <w:pPr/>
      <w:r>
        <w:t>Hinweis: Sep 2025 und Jul 2026 (je 1.6% ER) sind die reichweitenstärksten Monate — die tiefere ER erklärt sich durch die höhere Streuung bei viralen Posts, nicht durch schwaches absolutes Engagement.</w:t>
      </w:r>
    </w:p>
    <w:p>
      <w:pPr>
        <w:pStyle w:val="berschrift1"/>
      </w:pPr>
      <w:r>
        <w:t>3.  Top-Posts Analyse</w:t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r>
              <w:rPr>
                <w:b/>
              </w:rPr>
              <w:t>Rang</w:t>
            </w:r>
          </w:p>
        </w:tc>
        <w:tc>
          <w:tcPr>
            <w:tcW w:type="dxa" w:w="1701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3402"/>
          </w:tcPr>
          <w:p>
            <w:r>
              <w:rPr>
                <w:b/>
              </w:rPr>
              <w:t>Inhalt</w:t>
            </w:r>
          </w:p>
        </w:tc>
        <w:tc>
          <w:tcPr>
            <w:tcW w:type="dxa" w:w="1361"/>
          </w:tcPr>
          <w:p>
            <w:r>
              <w:rPr>
                <w:b/>
              </w:rPr>
              <w:t>Impressions</w:t>
            </w:r>
          </w:p>
        </w:tc>
        <w:tc>
          <w:tcPr>
            <w:tcW w:type="dxa" w:w="1361"/>
          </w:tcPr>
          <w:p>
            <w:r>
              <w:rPr>
                <w:b/>
              </w:rPr>
              <w:t>Engagement</w:t>
            </w:r>
          </w:p>
        </w:tc>
      </w:tr>
      <w:tr>
        <w:tc>
          <w:tcPr>
            <w:tcW w:type="dxa" w:w="680"/>
          </w:tcPr>
          <w:p>
            <w:r>
              <w:t>Rang 1</w:t>
            </w:r>
          </w:p>
        </w:tc>
        <w:tc>
          <w:tcPr>
            <w:tcW w:type="dxa" w:w="1701"/>
          </w:tcPr>
          <w:p>
            <w:r>
              <w:t>8. September 2025</w:t>
            </w:r>
          </w:p>
        </w:tc>
        <w:tc>
          <w:tcPr>
            <w:tcW w:type="dxa" w:w="3402"/>
          </w:tcPr>
          <w:p>
            <w:r>
              <w:t>«Was eine Bar mit Unternehmertum zu tun hat» (My senses Bar)</w:t>
            </w:r>
          </w:p>
        </w:tc>
        <w:tc>
          <w:tcPr>
            <w:tcW w:type="dxa" w:w="1361"/>
          </w:tcPr>
          <w:p>
            <w:r>
              <w:t>5'240 Imp.</w:t>
            </w:r>
          </w:p>
        </w:tc>
        <w:tc>
          <w:tcPr>
            <w:tcW w:type="dxa" w:w="1361"/>
          </w:tcPr>
          <w:p>
            <w:r>
              <w:t>72 Eng.</w:t>
            </w:r>
          </w:p>
        </w:tc>
      </w:tr>
      <w:tr>
        <w:tc>
          <w:tcPr>
            <w:tcW w:type="dxa" w:w="680"/>
          </w:tcPr>
          <w:p>
            <w:r>
              <w:t>Rang 2</w:t>
            </w:r>
          </w:p>
        </w:tc>
        <w:tc>
          <w:tcPr>
            <w:tcW w:type="dxa" w:w="1701"/>
          </w:tcPr>
          <w:p>
            <w:r>
              <w:t>1. Juli 2026</w:t>
            </w:r>
          </w:p>
        </w:tc>
        <w:tc>
          <w:tcPr>
            <w:tcW w:type="dxa" w:w="3402"/>
          </w:tcPr>
          <w:p>
            <w:r>
              <w:t>«Kein Studium. Kein Netzwerk. Eine Sekretariatsstelle.» (belleimmo / hoehnpartner / ZKB)</w:t>
            </w:r>
          </w:p>
        </w:tc>
        <w:tc>
          <w:tcPr>
            <w:tcW w:type="dxa" w:w="1361"/>
          </w:tcPr>
          <w:p>
            <w:r>
              <w:t>4'719 Imp.</w:t>
            </w:r>
          </w:p>
        </w:tc>
        <w:tc>
          <w:tcPr>
            <w:tcW w:type="dxa" w:w="1361"/>
          </w:tcPr>
          <w:p>
            <w:r>
              <w:t>57 Eng.</w:t>
            </w:r>
          </w:p>
        </w:tc>
      </w:tr>
      <w:tr>
        <w:tc>
          <w:tcPr>
            <w:tcW w:type="dxa" w:w="680"/>
          </w:tcPr>
          <w:p>
            <w:r>
              <w:t>Rang 3</w:t>
            </w:r>
          </w:p>
        </w:tc>
        <w:tc>
          <w:tcPr>
            <w:tcW w:type="dxa" w:w="1701"/>
          </w:tcPr>
          <w:p>
            <w:r>
              <w:t>19. Juni 2025</w:t>
            </w:r>
          </w:p>
        </w:tc>
        <w:tc>
          <w:tcPr>
            <w:tcW w:type="dxa" w:w="3402"/>
          </w:tcPr>
          <w:p>
            <w:r>
              <w:t>«FC Dübendorf Sponsoring»</w:t>
            </w:r>
          </w:p>
        </w:tc>
        <w:tc>
          <w:tcPr>
            <w:tcW w:type="dxa" w:w="1361"/>
          </w:tcPr>
          <w:p>
            <w:r>
              <w:t>2'678 Imp.</w:t>
            </w:r>
          </w:p>
        </w:tc>
        <w:tc>
          <w:tcPr>
            <w:tcW w:type="dxa" w:w="1361"/>
          </w:tcPr>
          <w:p>
            <w:r>
              <w:t>53 Eng.</w:t>
            </w:r>
          </w:p>
        </w:tc>
      </w:tr>
      <w:tr>
        <w:tc>
          <w:tcPr>
            <w:tcW w:type="dxa" w:w="680"/>
          </w:tcPr>
          <w:p>
            <w:r>
              <w:t>Rang 4</w:t>
            </w:r>
          </w:p>
        </w:tc>
        <w:tc>
          <w:tcPr>
            <w:tcW w:type="dxa" w:w="1701"/>
          </w:tcPr>
          <w:p>
            <w:r>
              <w:t>9. Juli 2025</w:t>
            </w:r>
          </w:p>
        </w:tc>
        <w:tc>
          <w:tcPr>
            <w:tcW w:type="dxa" w:w="3402"/>
          </w:tcPr>
          <w:p>
            <w:r>
              <w:t>«My senses Bar / Family Business»</w:t>
            </w:r>
          </w:p>
        </w:tc>
        <w:tc>
          <w:tcPr>
            <w:tcW w:type="dxa" w:w="1361"/>
          </w:tcPr>
          <w:p>
            <w:r>
              <w:t>1'766 Imp.</w:t>
            </w:r>
          </w:p>
        </w:tc>
        <w:tc>
          <w:tcPr>
            <w:tcW w:type="dxa" w:w="1361"/>
          </w:tcPr>
          <w:p>
            <w:r>
              <w:t>49 Eng.</w:t>
            </w:r>
          </w:p>
        </w:tc>
      </w:tr>
      <w:tr>
        <w:tc>
          <w:tcPr>
            <w:tcW w:type="dxa" w:w="680"/>
          </w:tcPr>
          <w:p>
            <w:r>
              <w:t>Rang 5</w:t>
            </w:r>
          </w:p>
        </w:tc>
        <w:tc>
          <w:tcPr>
            <w:tcW w:type="dxa" w:w="1701"/>
          </w:tcPr>
          <w:p>
            <w:r>
              <w:t>16. September 2025</w:t>
            </w:r>
          </w:p>
        </w:tc>
        <w:tc>
          <w:tcPr>
            <w:tcW w:type="dxa" w:w="3402"/>
          </w:tcPr>
          <w:p>
            <w:r>
              <w:t>«Excel statt Beton» — Zahlenarbeit hinter der Projektentwicklung</w:t>
            </w:r>
          </w:p>
        </w:tc>
        <w:tc>
          <w:tcPr>
            <w:tcW w:type="dxa" w:w="1361"/>
          </w:tcPr>
          <w:p>
            <w:r>
              <w:t>1'459 Imp.</w:t>
            </w:r>
          </w:p>
        </w:tc>
        <w:tc>
          <w:tcPr>
            <w:tcW w:type="dxa" w:w="1361"/>
          </w:tcPr>
          <w:p>
            <w:r>
              <w:t>23 Eng.</w:t>
            </w:r>
          </w:p>
        </w:tc>
      </w:tr>
    </w:tbl>
    <w:p>
      <w:pPr/>
      <w:r/>
    </w:p>
    <w:p>
      <w:pPr>
        <w:pStyle w:val="berschrift2"/>
      </w:pPr>
      <w:r>
        <w:t>Rang 1 — 8. September 2025</w:t>
      </w:r>
    </w:p>
    <w:p>
      <w:pPr/>
      <w:r>
        <w:rPr>
          <w:b/>
        </w:rPr>
        <w:t>«Was eine Bar mit Unternehmertum zu tun hat» (My senses Bar)</w:t>
      </w:r>
    </w:p>
    <w:p>
      <w:pPr/>
      <w:r>
        <w:t>Die Verbindung von persönlicher Familiengeschichte (Cocktailbar mit dem Bruder) und unternehmerischem Prinzip trifft genau den Nerv von Rogers Zielgruppe. Unternehmer erkennen sich in solchen Geschichten — die emotionale Anknüpfung erhöht die Bereitschaft zum Teilen erheblich.</w:t>
      </w:r>
    </w:p>
    <w:p>
      <w:pPr/>
      <w:r/>
    </w:p>
    <w:p>
      <w:pPr>
        <w:pStyle w:val="berschrift2"/>
      </w:pPr>
      <w:r>
        <w:t>Rang 2 — 1. Juli 2026</w:t>
      </w:r>
    </w:p>
    <w:p>
      <w:pPr/>
      <w:r>
        <w:rPr>
          <w:b/>
        </w:rPr>
        <w:t>«Kein Studium. Kein Netzwerk. Eine Sekretariatsstelle.» (belleimmo / hoehnpartner / ZKB)</w:t>
      </w:r>
    </w:p>
    <w:p>
      <w:pPr/>
      <w:r>
        <w:t>Das Vertrauensnarrativ in Reinform — kein Pitch, keine Leistungsliste, nur eine Geschichte über 18 Jahre Verlässlichkeit. 2'640 Impressions an einem einzigen Tag zeigen, dass das Netzwerk aktiv geteilt hat.</w:t>
      </w:r>
    </w:p>
    <w:p>
      <w:pPr/>
      <w:r/>
    </w:p>
    <w:p>
      <w:pPr>
        <w:pStyle w:val="berschrift2"/>
      </w:pPr>
      <w:r>
        <w:t>Rang 3 — 19. Juni 2025</w:t>
      </w:r>
    </w:p>
    <w:p>
      <w:pPr/>
      <w:r>
        <w:rPr>
          <w:b/>
        </w:rPr>
        <w:t>«FC Dübendorf Sponsoring»</w:t>
      </w:r>
    </w:p>
    <w:p>
      <w:pPr/>
      <w:r>
        <w:t>Regionale Verankerung ist Rogers stärkste Positionierungs-Karte. Die Community reagiert, weil sie sich gesehen fühlt, nicht angesprochen.</w:t>
      </w:r>
    </w:p>
    <w:p>
      <w:pPr/>
      <w:r/>
    </w:p>
    <w:p>
      <w:pPr>
        <w:pStyle w:val="berschrift2"/>
      </w:pPr>
      <w:r>
        <w:t>Rang 4 — 9. Juli 2025</w:t>
      </w:r>
    </w:p>
    <w:p>
      <w:pPr/>
      <w:r>
        <w:rPr>
          <w:b/>
        </w:rPr>
        <w:t>«My senses Bar / Family Business»</w:t>
      </w:r>
    </w:p>
    <w:p>
      <w:pPr/>
      <w:r>
        <w:t>Thematisch verwandt mit Rang 1, aber mit höherer Engagement-Dichte — weniger viraler Spillover, dafür dichteres, involvierteres Publikum.</w:t>
      </w:r>
    </w:p>
    <w:p>
      <w:pPr/>
      <w:r/>
    </w:p>
    <w:p>
      <w:pPr>
        <w:pStyle w:val="berschrift2"/>
      </w:pPr>
      <w:r>
        <w:t>Rang 5 — 16. September 2025</w:t>
      </w:r>
    </w:p>
    <w:p>
      <w:pPr/>
      <w:r>
        <w:rPr>
          <w:b/>
        </w:rPr>
        <w:t>«Excel statt Beton» — Zahlenarbeit hinter der Projektentwicklung</w:t>
      </w:r>
    </w:p>
    <w:p>
      <w:pPr/>
      <w:r>
        <w:t>Insider-Perspektive mit konkretem Handwerk. Roger erklärt, wie er denkt, nicht was er verkauft. Baut Kompetenz-Vertrauen auf.</w:t>
      </w:r>
    </w:p>
    <w:p>
      <w:pPr/>
      <w:r/>
    </w:p>
    <w:p>
      <w:pPr>
        <w:pStyle w:val="berschrift2"/>
      </w:pPr>
      <w:r>
        <w:t>Zusatz: 16. Januar 2026 — Swiss Property Fair «Immo26»</w:t>
      </w:r>
    </w:p>
    <w:p>
      <w:pPr/>
      <w:r>
        <w:t>Dieser Post erzielte 42 Engagements bei vergleichsweise tiefen Impressions und war massgeblich für den Follower-Spike von +42 im Januar verantwortlich. Events mit Branchenbezug triggern professionelles Netzwerk überproportional stark.</w:t>
      </w:r>
    </w:p>
    <w:p>
      <w:pPr>
        <w:pStyle w:val="berschrift1"/>
      </w:pPr>
      <w:r>
        <w:t>4.  Demografische Auswertung</w:t>
      </w:r>
    </w:p>
    <w:p>
      <w:pPr>
        <w:pStyle w:val="berschrift2"/>
      </w:pPr>
      <w:r>
        <w:t>Geografische Verteilung</w:t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02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1417"/>
          </w:tcPr>
          <w:p>
            <w:r>
              <w:rPr>
                <w:b/>
              </w:rPr>
              <w:t>Anteil</w:t>
            </w:r>
          </w:p>
        </w:tc>
        <w:tc>
          <w:tcPr>
            <w:tcW w:type="dxa" w:w="3118"/>
          </w:tcPr>
          <w:p>
            <w:r>
              <w:rPr>
                <w:b/>
              </w:rPr>
              <w:t>Bewertung</w:t>
            </w:r>
          </w:p>
        </w:tc>
      </w:tr>
      <w:tr>
        <w:tc>
          <w:tcPr>
            <w:tcW w:type="dxa" w:w="3402"/>
          </w:tcPr>
          <w:p>
            <w:r>
              <w:t>Zürich Metropolitan Area</w:t>
            </w:r>
          </w:p>
        </w:tc>
        <w:tc>
          <w:tcPr>
            <w:tcW w:type="dxa" w:w="1417"/>
          </w:tcPr>
          <w:p>
            <w:r>
              <w:t>73%</w:t>
            </w:r>
          </w:p>
        </w:tc>
        <w:tc>
          <w:tcPr>
            <w:tcW w:type="dxa" w:w="3118"/>
          </w:tcPr>
          <w:p>
            <w:r>
              <w:t>✓ Kernzielgebiet</w:t>
            </w:r>
          </w:p>
        </w:tc>
      </w:tr>
      <w:tr>
        <w:tc>
          <w:tcPr>
            <w:tcW w:type="dxa" w:w="3402"/>
          </w:tcPr>
          <w:p>
            <w:r>
              <w:t>Metropolregion Luzern</w:t>
            </w:r>
          </w:p>
        </w:tc>
        <w:tc>
          <w:tcPr>
            <w:tcW w:type="dxa" w:w="1417"/>
          </w:tcPr>
          <w:p>
            <w:r>
              <w:t>6%</w:t>
            </w:r>
          </w:p>
        </w:tc>
        <w:tc>
          <w:tcPr>
            <w:tcW w:type="dxa" w:w="3118"/>
          </w:tcPr>
          <w:p>
            <w:r>
              <w:t>Neutral</w:t>
            </w:r>
          </w:p>
        </w:tc>
      </w:tr>
      <w:tr>
        <w:tc>
          <w:tcPr>
            <w:tcW w:type="dxa" w:w="3402"/>
          </w:tcPr>
          <w:p>
            <w:r>
              <w:t>Rapperswil</w:t>
            </w:r>
          </w:p>
        </w:tc>
        <w:tc>
          <w:tcPr>
            <w:tcW w:type="dxa" w:w="1417"/>
          </w:tcPr>
          <w:p>
            <w:r>
              <w:t>2%</w:t>
            </w:r>
          </w:p>
        </w:tc>
        <w:tc>
          <w:tcPr>
            <w:tcW w:type="dxa" w:w="3118"/>
          </w:tcPr>
          <w:p>
            <w:r>
              <w:t>✓ Wohnort Roger</w:t>
            </w:r>
          </w:p>
        </w:tc>
      </w:tr>
      <w:tr>
        <w:tc>
          <w:tcPr>
            <w:tcW w:type="dxa" w:w="3402"/>
          </w:tcPr>
          <w:p>
            <w:r>
              <w:t>Basel</w:t>
            </w:r>
          </w:p>
        </w:tc>
        <w:tc>
          <w:tcPr>
            <w:tcW w:type="dxa" w:w="1417"/>
          </w:tcPr>
          <w:p>
            <w:r>
              <w:t>1%</w:t>
            </w:r>
          </w:p>
        </w:tc>
        <w:tc>
          <w:tcPr>
            <w:tcW w:type="dxa" w:w="3118"/>
          </w:tcPr>
          <w:p>
            <w:r>
              <w:t>Neutral</w:t>
            </w:r>
          </w:p>
        </w:tc>
      </w:tr>
      <w:tr>
        <w:tc>
          <w:tcPr>
            <w:tcW w:type="dxa" w:w="3402"/>
          </w:tcPr>
          <w:p>
            <w:r>
              <w:t>München</w:t>
            </w:r>
          </w:p>
        </w:tc>
        <w:tc>
          <w:tcPr>
            <w:tcW w:type="dxa" w:w="1417"/>
          </w:tcPr>
          <w:p>
            <w:r>
              <w:t>1%</w:t>
            </w:r>
          </w:p>
        </w:tc>
        <w:tc>
          <w:tcPr>
            <w:tcW w:type="dxa" w:w="3118"/>
          </w:tcPr>
          <w:p>
            <w:r>
              <w:t>Irrelevant</w:t>
            </w:r>
          </w:p>
        </w:tc>
      </w:tr>
      <w:tr>
        <w:tc>
          <w:tcPr>
            <w:tcW w:type="dxa" w:w="3402"/>
          </w:tcPr>
          <w:p>
            <w:r>
              <w:t>St. Gallen</w:t>
            </w:r>
          </w:p>
        </w:tc>
        <w:tc>
          <w:tcPr>
            <w:tcW w:type="dxa" w:w="1417"/>
          </w:tcPr>
          <w:p>
            <w:r>
              <w:t>1%</w:t>
            </w:r>
          </w:p>
        </w:tc>
        <w:tc>
          <w:tcPr>
            <w:tcW w:type="dxa" w:w="3118"/>
          </w:tcPr>
          <w:p>
            <w:r>
              <w:t>Neutral</w:t>
            </w:r>
          </w:p>
        </w:tc>
      </w:tr>
    </w:tbl>
    <w:p>
      <w:pPr/>
      <w:r/>
    </w:p>
    <w:p>
      <w:pPr/>
      <w:r>
        <w:t>73% Zürich Metropolitan Area deckt Dübendorf, Zürich-Stadt und den gesamten relevanten Investorenmarkt ab. Kein Handlungsbedarf.</w:t>
      </w:r>
    </w:p>
    <w:p>
      <w:pPr>
        <w:pStyle w:val="berschrift2"/>
      </w:pPr>
      <w:r>
        <w:t>Branchenverteilung</w:t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02"/>
          </w:tcPr>
          <w:p>
            <w:r>
              <w:rPr>
                <w:b/>
              </w:rPr>
              <w:t>Branche</w:t>
            </w:r>
          </w:p>
        </w:tc>
        <w:tc>
          <w:tcPr>
            <w:tcW w:type="dxa" w:w="1417"/>
          </w:tcPr>
          <w:p>
            <w:r>
              <w:rPr>
                <w:b/>
              </w:rPr>
              <w:t>Anteil</w:t>
            </w:r>
          </w:p>
        </w:tc>
        <w:tc>
          <w:tcPr>
            <w:tcW w:type="dxa" w:w="3118"/>
          </w:tcPr>
          <w:p>
            <w:r>
              <w:rPr>
                <w:b/>
              </w:rPr>
              <w:t>Bewertung</w:t>
            </w:r>
          </w:p>
        </w:tc>
      </w:tr>
      <w:tr>
        <w:tc>
          <w:tcPr>
            <w:tcW w:type="dxa" w:w="3402"/>
          </w:tcPr>
          <w:p>
            <w:r>
              <w:t>Immobilien</w:t>
            </w:r>
          </w:p>
        </w:tc>
        <w:tc>
          <w:tcPr>
            <w:tcW w:type="dxa" w:w="1417"/>
          </w:tcPr>
          <w:p>
            <w:r>
              <w:t>37%</w:t>
            </w:r>
          </w:p>
        </w:tc>
        <w:tc>
          <w:tcPr>
            <w:tcW w:type="dxa" w:w="3118"/>
          </w:tcPr>
          <w:p>
            <w:r>
              <w:t>✓ Kern-Peer-Gruppe</w:t>
            </w:r>
          </w:p>
        </w:tc>
      </w:tr>
      <w:tr>
        <w:tc>
          <w:tcPr>
            <w:tcW w:type="dxa" w:w="3402"/>
          </w:tcPr>
          <w:p>
            <w:r>
              <w:t>Baugewerbe</w:t>
            </w:r>
          </w:p>
        </w:tc>
        <w:tc>
          <w:tcPr>
            <w:tcW w:type="dxa" w:w="1417"/>
          </w:tcPr>
          <w:p>
            <w:r>
              <w:t>7%</w:t>
            </w:r>
          </w:p>
        </w:tc>
        <w:tc>
          <w:tcPr>
            <w:tcW w:type="dxa" w:w="3118"/>
          </w:tcPr>
          <w:p>
            <w:r>
              <w:t>✓ Multiplikatoren</w:t>
            </w:r>
          </w:p>
        </w:tc>
      </w:tr>
      <w:tr>
        <w:tc>
          <w:tcPr>
            <w:tcW w:type="dxa" w:w="3402"/>
          </w:tcPr>
          <w:p>
            <w:r>
              <w:t>Finanzdienstleistungen</w:t>
            </w:r>
          </w:p>
        </w:tc>
        <w:tc>
          <w:tcPr>
            <w:tcW w:type="dxa" w:w="1417"/>
          </w:tcPr>
          <w:p>
            <w:r>
              <w:t>5%</w:t>
            </w:r>
          </w:p>
        </w:tc>
        <w:tc>
          <w:tcPr>
            <w:tcW w:type="dxa" w:w="3118"/>
          </w:tcPr>
          <w:p>
            <w:r>
              <w:t>✓ Zielgruppe Investoren</w:t>
            </w:r>
          </w:p>
        </w:tc>
      </w:tr>
      <w:tr>
        <w:tc>
          <w:tcPr>
            <w:tcW w:type="dxa" w:w="3402"/>
          </w:tcPr>
          <w:p>
            <w:r>
              <w:t>Architektur &amp; Planung</w:t>
            </w:r>
          </w:p>
        </w:tc>
        <w:tc>
          <w:tcPr>
            <w:tcW w:type="dxa" w:w="1417"/>
          </w:tcPr>
          <w:p>
            <w:r>
              <w:t>5%</w:t>
            </w:r>
          </w:p>
        </w:tc>
        <w:tc>
          <w:tcPr>
            <w:tcW w:type="dxa" w:w="3118"/>
          </w:tcPr>
          <w:p>
            <w:r>
              <w:t>✓ Multiplikatoren</w:t>
            </w:r>
          </w:p>
        </w:tc>
      </w:tr>
      <w:tr>
        <w:tc>
          <w:tcPr>
            <w:tcW w:type="dxa" w:w="3402"/>
          </w:tcPr>
          <w:p>
            <w:r>
              <w:t>Werbedienstleistungen</w:t>
            </w:r>
          </w:p>
        </w:tc>
        <w:tc>
          <w:tcPr>
            <w:tcW w:type="dxa" w:w="1417"/>
          </w:tcPr>
          <w:p>
            <w:r>
              <w:t>4%</w:t>
            </w:r>
          </w:p>
        </w:tc>
        <w:tc>
          <w:tcPr>
            <w:tcW w:type="dxa" w:w="3118"/>
          </w:tcPr>
          <w:p>
            <w:r>
              <w:t>Neutral</w:t>
            </w:r>
          </w:p>
        </w:tc>
      </w:tr>
      <w:tr>
        <w:tc>
          <w:tcPr>
            <w:tcW w:type="dxa" w:w="3402"/>
          </w:tcPr>
          <w:p>
            <w:r>
              <w:t>Bankwesen</w:t>
            </w:r>
          </w:p>
        </w:tc>
        <w:tc>
          <w:tcPr>
            <w:tcW w:type="dxa" w:w="1417"/>
          </w:tcPr>
          <w:p>
            <w:r>
              <w:t>3%</w:t>
            </w:r>
          </w:p>
        </w:tc>
        <w:tc>
          <w:tcPr>
            <w:tcW w:type="dxa" w:w="3118"/>
          </w:tcPr>
          <w:p>
            <w:r>
              <w:t>✓ Zielgruppe</w:t>
            </w:r>
          </w:p>
        </w:tc>
      </w:tr>
      <w:tr>
        <w:tc>
          <w:tcPr>
            <w:tcW w:type="dxa" w:w="3402"/>
          </w:tcPr>
          <w:p>
            <w:r>
              <w:t>Unternehmensberatung</w:t>
            </w:r>
          </w:p>
        </w:tc>
        <w:tc>
          <w:tcPr>
            <w:tcW w:type="dxa" w:w="1417"/>
          </w:tcPr>
          <w:p>
            <w:r>
              <w:t>2%</w:t>
            </w:r>
          </w:p>
        </w:tc>
        <w:tc>
          <w:tcPr>
            <w:tcW w:type="dxa" w:w="3118"/>
          </w:tcPr>
          <w:p>
            <w:r>
              <w:t>✓ Multiplikatoren</w:t>
            </w:r>
          </w:p>
        </w:tc>
      </w:tr>
      <w:tr>
        <w:tc>
          <w:tcPr>
            <w:tcW w:type="dxa" w:w="3402"/>
          </w:tcPr>
          <w:p>
            <w:r>
              <w:t>Rechtskanzleien</w:t>
            </w:r>
          </w:p>
        </w:tc>
        <w:tc>
          <w:tcPr>
            <w:tcW w:type="dxa" w:w="1417"/>
          </w:tcPr>
          <w:p>
            <w:r>
              <w:t>1%</w:t>
            </w:r>
          </w:p>
        </w:tc>
        <w:tc>
          <w:tcPr>
            <w:tcW w:type="dxa" w:w="3118"/>
          </w:tcPr>
          <w:p>
            <w:r>
              <w:t>✓ Notare / Treuhänder</w:t>
            </w:r>
          </w:p>
        </w:tc>
      </w:tr>
    </w:tbl>
    <w:p>
      <w:pPr/>
      <w:r/>
    </w:p>
    <w:p>
      <w:pPr/>
      <w:r>
        <w:t>Immobilien, Bau, Finanz, Architektur und Recht decken gemeinsam den Grossteil der definierten Multiplikatoren-Zielgruppe ab.</w:t>
      </w:r>
    </w:p>
    <w:p>
      <w:pPr>
        <w:pStyle w:val="berschrift2"/>
      </w:pPr>
      <w:r>
        <w:t>Karrierestufe &amp; Position</w:t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</w:tcPr>
          <w:p>
            <w:r>
              <w:rPr>
                <w:b/>
              </w:rPr>
              <w:t>Karrierestufe</w:t>
            </w:r>
          </w:p>
        </w:tc>
        <w:tc>
          <w:tcPr>
            <w:tcW w:type="dxa" w:w="1701"/>
          </w:tcPr>
          <w:p>
            <w:r>
              <w:rPr>
                <w:b/>
              </w:rPr>
              <w:t>Anteil</w:t>
            </w:r>
          </w:p>
        </w:tc>
      </w:tr>
      <w:tr>
        <w:tc>
          <w:tcPr>
            <w:tcW w:type="dxa" w:w="4535"/>
          </w:tcPr>
          <w:p>
            <w:r>
              <w:t>Berufserfahren</w:t>
            </w:r>
          </w:p>
        </w:tc>
        <w:tc>
          <w:tcPr>
            <w:tcW w:type="dxa" w:w="1701"/>
          </w:tcPr>
          <w:p>
            <w:r>
              <w:t>22%</w:t>
            </w:r>
          </w:p>
        </w:tc>
      </w:tr>
      <w:tr>
        <w:tc>
          <w:tcPr>
            <w:tcW w:type="dxa" w:w="4535"/>
          </w:tcPr>
          <w:p>
            <w:r>
              <w:t>VP / Vize-Ebene</w:t>
            </w:r>
          </w:p>
        </w:tc>
        <w:tc>
          <w:tcPr>
            <w:tcW w:type="dxa" w:w="1701"/>
          </w:tcPr>
          <w:p>
            <w:r>
              <w:t>15%</w:t>
            </w:r>
          </w:p>
        </w:tc>
      </w:tr>
      <w:tr>
        <w:tc>
          <w:tcPr>
            <w:tcW w:type="dxa" w:w="4535"/>
          </w:tcPr>
          <w:p>
            <w:r>
              <w:t>Inhaber</w:t>
            </w:r>
          </w:p>
        </w:tc>
        <w:tc>
          <w:tcPr>
            <w:tcW w:type="dxa" w:w="1701"/>
          </w:tcPr>
          <w:p>
            <w:r>
              <w:t>14%</w:t>
            </w:r>
          </w:p>
        </w:tc>
      </w:tr>
      <w:tr>
        <w:tc>
          <w:tcPr>
            <w:tcW w:type="dxa" w:w="4535"/>
          </w:tcPr>
          <w:p>
            <w:r>
              <w:t>Geschäftsführung</w:t>
            </w:r>
          </w:p>
        </w:tc>
        <w:tc>
          <w:tcPr>
            <w:tcW w:type="dxa" w:w="1701"/>
          </w:tcPr>
          <w:p>
            <w:r>
              <w:t>10%</w:t>
            </w:r>
          </w:p>
        </w:tc>
      </w:tr>
      <w:tr>
        <w:tc>
          <w:tcPr>
            <w:tcW w:type="dxa" w:w="4535"/>
          </w:tcPr>
          <w:p>
            <w:r>
              <w:t>Berufseinsteiger</w:t>
            </w:r>
          </w:p>
        </w:tc>
        <w:tc>
          <w:tcPr>
            <w:tcW w:type="dxa" w:w="1701"/>
          </w:tcPr>
          <w:p>
            <w:r>
              <w:t>10%</w:t>
            </w:r>
          </w:p>
        </w:tc>
      </w:tr>
      <w:tr>
        <w:tc>
          <w:tcPr>
            <w:tcW w:type="dxa" w:w="4535"/>
          </w:tcPr>
          <w:p>
            <w:r>
              <w:t>Director</w:t>
            </w:r>
          </w:p>
        </w:tc>
        <w:tc>
          <w:tcPr>
            <w:tcW w:type="dxa" w:w="1701"/>
          </w:tcPr>
          <w:p>
            <w:r>
              <w:t>8%</w:t>
            </w:r>
          </w:p>
        </w:tc>
      </w:tr>
    </w:tbl>
    <w:p>
      <w:pPr/>
      <w:r/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</w:tcPr>
          <w:p>
            <w:r>
              <w:rPr>
                <w:b/>
              </w:rPr>
              <w:t>Position (Top)</w:t>
            </w:r>
          </w:p>
        </w:tc>
        <w:tc>
          <w:tcPr>
            <w:tcW w:type="dxa" w:w="1701"/>
          </w:tcPr>
          <w:p>
            <w:r>
              <w:rPr>
                <w:b/>
              </w:rPr>
              <w:t>Anteil</w:t>
            </w:r>
          </w:p>
        </w:tc>
      </w:tr>
      <w:tr>
        <w:tc>
          <w:tcPr>
            <w:tcW w:type="dxa" w:w="4535"/>
          </w:tcPr>
          <w:p>
            <w:r>
              <w:t>Unternehmensinhaber</w:t>
            </w:r>
          </w:p>
        </w:tc>
        <w:tc>
          <w:tcPr>
            <w:tcW w:type="dxa" w:w="1701"/>
          </w:tcPr>
          <w:p>
            <w:r>
              <w:t>13%</w:t>
            </w:r>
          </w:p>
        </w:tc>
      </w:tr>
      <w:tr>
        <w:tc>
          <w:tcPr>
            <w:tcW w:type="dxa" w:w="4535"/>
          </w:tcPr>
          <w:p>
            <w:r>
              <w:t>Geschäftsführer</w:t>
            </w:r>
          </w:p>
        </w:tc>
        <w:tc>
          <w:tcPr>
            <w:tcW w:type="dxa" w:w="1701"/>
          </w:tcPr>
          <w:p>
            <w:r>
              <w:t>12%</w:t>
            </w:r>
          </w:p>
        </w:tc>
      </w:tr>
      <w:tr>
        <w:tc>
          <w:tcPr>
            <w:tcW w:type="dxa" w:w="4535"/>
          </w:tcPr>
          <w:p>
            <w:r>
              <w:t>CEO</w:t>
            </w:r>
          </w:p>
        </w:tc>
        <w:tc>
          <w:tcPr>
            <w:tcW w:type="dxa" w:w="1701"/>
          </w:tcPr>
          <w:p>
            <w:r>
              <w:t>6%</w:t>
            </w:r>
          </w:p>
        </w:tc>
      </w:tr>
      <w:tr>
        <w:tc>
          <w:tcPr>
            <w:tcW w:type="dxa" w:w="4535"/>
          </w:tcPr>
          <w:p>
            <w:r>
              <w:t>Gründer:in</w:t>
            </w:r>
          </w:p>
        </w:tc>
        <w:tc>
          <w:tcPr>
            <w:tcW w:type="dxa" w:w="1701"/>
          </w:tcPr>
          <w:p>
            <w:r>
              <w:t>3%</w:t>
            </w:r>
          </w:p>
        </w:tc>
      </w:tr>
    </w:tbl>
    <w:p>
      <w:pPr/>
      <w:r/>
    </w:p>
    <w:p>
      <w:pPr/>
      <w:r>
        <w:t>Inhaber, GF und CEO zusammen ca. 31% des Publikums — genau die Entscheidungsträger mit Privatvermögen, die als Investoren oder Multiplikatoren relevant sind.</w:t>
      </w:r>
    </w:p>
    <w:p>
      <w:pPr>
        <w:pStyle w:val="berschrift2"/>
      </w:pPr>
      <w:r>
        <w:t>Firmengrösse &amp; Top-Unternehmen</w:t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</w:tcPr>
          <w:p>
            <w:r>
              <w:rPr>
                <w:b/>
              </w:rPr>
              <w:t>Firmengrösse</w:t>
            </w:r>
          </w:p>
        </w:tc>
        <w:tc>
          <w:tcPr>
            <w:tcW w:type="dxa" w:w="1701"/>
          </w:tcPr>
          <w:p>
            <w:r>
              <w:rPr>
                <w:b/>
              </w:rPr>
              <w:t>Anteil</w:t>
            </w:r>
          </w:p>
        </w:tc>
      </w:tr>
      <w:tr>
        <w:tc>
          <w:tcPr>
            <w:tcW w:type="dxa" w:w="4535"/>
          </w:tcPr>
          <w:p>
            <w:r>
              <w:t>2–10 Mitarbeitende (KMU)</w:t>
            </w:r>
          </w:p>
        </w:tc>
        <w:tc>
          <w:tcPr>
            <w:tcW w:type="dxa" w:w="1701"/>
          </w:tcPr>
          <w:p>
            <w:r>
              <w:t>31%</w:t>
            </w:r>
          </w:p>
        </w:tc>
      </w:tr>
      <w:tr>
        <w:tc>
          <w:tcPr>
            <w:tcW w:type="dxa" w:w="4535"/>
          </w:tcPr>
          <w:p>
            <w:r>
              <w:t>11–50 Mitarbeitende</w:t>
            </w:r>
          </w:p>
        </w:tc>
        <w:tc>
          <w:tcPr>
            <w:tcW w:type="dxa" w:w="1701"/>
          </w:tcPr>
          <w:p>
            <w:r>
              <w:t>23%</w:t>
            </w:r>
          </w:p>
        </w:tc>
      </w:tr>
      <w:tr>
        <w:tc>
          <w:tcPr>
            <w:tcW w:type="dxa" w:w="4535"/>
          </w:tcPr>
          <w:p>
            <w:r>
              <w:t>51–200 Mitarbeitende</w:t>
            </w:r>
          </w:p>
        </w:tc>
        <w:tc>
          <w:tcPr>
            <w:tcW w:type="dxa" w:w="1701"/>
          </w:tcPr>
          <w:p>
            <w:r>
              <w:t>10%</w:t>
            </w:r>
          </w:p>
        </w:tc>
      </w:tr>
    </w:tbl>
    <w:p>
      <w:pPr/>
      <w:r/>
    </w:p>
    <w:p>
      <w:pPr/>
      <w:r>
        <w:t>54% des Publikums arbeitet in Unternehmen unter 50 Mitarbeitenden — exakt die definierte KMU-Zielgruppe.</w:t>
      </w:r>
    </w:p>
    <w:p>
      <w:pPr/>
      <w:r/>
    </w:p>
    <w:p>
      <w:pPr/>
      <w:r>
        <w:t>Top-Unternehmen im Publikum: hoehnpartner AG (2%), Zürcher Kantonalbank (1%). Rogers langjährigste Partnerschaften sind nachweislich im Publikum verankert. Der virare 1.-Juli-Post hat nicht zufällig performt.</w:t>
      </w:r>
    </w:p>
    <w:p>
      <w:pPr>
        <w:pStyle w:val="berschrift1"/>
      </w:pPr>
      <w:r>
        <w:t>5.  Ads-Auswertung</w:t>
      </w:r>
    </w:p>
    <w:p>
      <w:pPr/>
      <w:r>
        <w:t>Im Berichtszeitraum wurde kein bezahltes Budget auf LinkedIn eingesetzt. Alle 40'574 Impressions, 653 Follower und 962 Engagements sind organisch generiert.</w:t>
      </w:r>
    </w:p>
    <w:p>
      <w:pPr/>
      <w:r/>
    </w:p>
    <w:p>
      <w:pPr/>
      <w:r>
        <w:t>Das ist für eine Personal-Branding-Strategie wie Rogers zunächst korrekt — Authentizität lässt sich nicht kaufen, und die organische Basis ist solide. Mittelfristig könnte gezieltes Post-Boosting auf die Top-Posts (Partnerschaftsgeschichten, Branchenmeinungen) sinnvoll sein, um das organisch bewiesene Publikum gezielt zu erweitern. Voraussetzung: Die organische Basis wird zuerst durch Kontinuität stabilisiert.</w:t>
      </w:r>
    </w:p>
    <w:p>
      <w:pPr>
        <w:pStyle w:val="berschrift1"/>
      </w:pPr>
      <w:r>
        <w:t>6.  Empfehlungen</w:t>
      </w:r>
    </w:p>
    <w:p>
      <w:pPr>
        <w:pStyle w:val="berschrift2"/>
      </w:pPr>
      <w:r>
        <w:t>Empfehlung 1 — Posting-Mindestrythmus auf 6 Posts/Monat festlegen</w:t>
      </w:r>
    </w:p>
    <w:p>
      <w:pPr/>
      <w:r>
        <w:t>Kontext: Die Daten sind eindeutig: April 2026 (0 Posts, 51 Impressions) und Februar 2026 (0 Posts, 427 Impressions) zeigen, was passiert, wenn Roger pausiert. Der LinkedIn-Algorithmus bestraft Inaktivität unmittelbar — Reichweite bricht innerhalb von Wochen ein, Follower-Aufbau stoppt komplett.</w:t>
      </w:r>
    </w:p>
    <w:p>
      <w:pPr/>
      <w:r/>
    </w:p>
    <w:p>
      <w:pPr/>
      <w:r>
        <w:t>Massnahme: Ein fixes Content-Commitment von 6 Posts/Monat mit Mournival als Backstop. Roger liefert den Rohstoff (Erfahrungen, Meinungen, Termine), Mournival gibt die Form. Kein Monat ohne mindestens 4 Posts.</w:t>
      </w:r>
    </w:p>
    <w:p>
      <w:pPr/>
      <w:r/>
    </w:p>
    <w:p>
      <w:pPr>
        <w:pStyle w:val="berschrift2"/>
      </w:pPr>
      <w:r>
        <w:t>Empfehlung 2 — Partnerschaftsgeschichten als eigenes Content-Format etablieren</w:t>
      </w:r>
    </w:p>
    <w:p>
      <w:pPr/>
      <w:r>
        <w:t>Kontext: Der 1.-Juli-Post ist der wichtigste Datenpunkt im gesamten Report. 4'719 Impressions, 57 Engagements, 2'640 Impressions an einem einzigen Tag — das ist kein Zufall. Das Vertrauensnarrativ (18 Jahre hoehnpartner, 20 Jahre ZKB) hat funktioniert, weil es konkret, persönlich und vollkommen glaubwürdig war.</w:t>
      </w:r>
    </w:p>
    <w:p>
      <w:pPr/>
      <w:r/>
    </w:p>
    <w:p>
      <w:pPr/>
      <w:r>
        <w:t>Massnahme: Partnerschaftsgeschichten werden zu einem wiederkehrenden Format — ca. 1x pro Quartal. Konkrete Kandidaten: hoehnpartner AG (Architekt-Perspektive auf gemeinsame Projekte), ZKB (Finanzierungsdenken), Bruder / My senses Bar (Unternehmertum, Familie). Jede Geschichte braucht einen konkreten Lernmoment — keine Lobeshymnen.</w:t>
      </w:r>
    </w:p>
    <w:p>
      <w:pPr/>
      <w:r/>
    </w:p>
    <w:p>
      <w:pPr>
        <w:pStyle w:val="berschrift2"/>
      </w:pPr>
      <w:r>
        <w:t>Empfehlung 3 — Immobilien-Branchencontent mit Rogers persönlicher Haltung koppeln</w:t>
      </w:r>
    </w:p>
    <w:p>
      <w:pPr/>
      <w:r>
        <w:t>Kontext: Posts wie «Excel statt Beton» (1'459 Impressions) zeigen, dass Branchenwissen funktioniert — aber immer dann am besten, wenn Rogers eigene Meinung drin steckt. Generischer Marktcommentary ohne persönliche Bewertung wird nicht belohnt.</w:t>
      </w:r>
    </w:p>
    <w:p>
      <w:pPr/>
      <w:r/>
    </w:p>
    <w:p>
      <w:pPr/>
      <w:r>
        <w:t>Massnahme: Jeder Immobilien-Post braucht Rogers Haltung als Anker. Nicht «Die Zinsen steigen», sondern «Ich habe in 30 Jahren zwei Zinszyklen erlebt — hier ist, was ich daraus mitgenommen habe». Themen für H2 2026: Wohnzonenpolitik Dübendorf, Renditeerwartungen KMU-Investoren, Entwicklung Grossraum Zürich-Nord.</w:t>
      </w:r>
    </w:p>
    <w:p>
      <w:pPr/>
      <w:r/>
    </w:p>
    <w:p>
      <w:pPr>
        <w:pStyle w:val="berschrift2"/>
      </w:pPr>
      <w:r>
        <w:t>Empfehlung 4 — FC Dübendorf Vorstandsthema ab Sommer 2026 aktiv bespielen</w:t>
      </w:r>
    </w:p>
    <w:p>
      <w:pPr/>
      <w:r>
        <w:t>Kontext: Der FC-Dübendorf-Sponsoring-Post (2'678 Impressions, 53 Engagements) zeigt: Rogers regionale Verankerung ist kein Nice-to-have, das ist ein Reichweiten-Treiber. Der Vorstandseinstieg ist ein natürlicher Content-Anlass.</w:t>
      </w:r>
    </w:p>
    <w:p>
      <w:pPr/>
      <w:r/>
    </w:p>
    <w:p>
      <w:pPr/>
      <w:r>
        <w:t>Massnahme: Ein dedizierter Post zum Vorstandseinstieg — persönlich, reflektiert, mit der Frage warum Community-Engagement für Roger mehr ist als Marketing. Danach: 1 Post pro Quartal zu FC Dübendorf (Saison-Auftakt, bedeutende Spiele, Meilensteine).</w:t>
      </w:r>
    </w:p>
    <w:p>
      <w:pPr/>
      <w:r/>
    </w:p>
    <w:p>
      <w:pPr>
        <w:pStyle w:val="berschrift2"/>
      </w:pPr>
      <w:r>
        <w:t>Empfehlung 5 — Follower-Spikes systematisch auswerten und Trigger reproduzieren</w:t>
      </w:r>
    </w:p>
    <w:p>
      <w:pPr/>
      <w:r>
        <w:t>Kontext: Januar +42 (Immo26), Juni +35 (Posting-Batch), Juli 2026 +4 nach viralem Post — reproduzierbare Muster, die bisher nicht strategisch genutzt werden.</w:t>
      </w:r>
    </w:p>
    <w:p>
      <w:pPr/>
      <w:r/>
    </w:p>
    <w:p>
      <w:pPr/>
      <w:r>
        <w:t>Massnahme: Vor jedem bekannten Event-Termin (Messen, Vereinsanlässe, Projektabschlüsse) ein Content-Cluster planen: 1 Pre-Event-Post, 1 Post danach, optional 1 Reflexions-Post. Konkreter Kalender H2 2026: Swiss Property Events, FC Dübendorf Saisonstart, Jahresende-Reflexion Roger Brand.</w:t>
      </w:r>
    </w:p>
    <w:p>
      <w:pPr/>
      <w:r/>
    </w:p>
    <w:p>
      <w:pPr>
        <w:pStyle w:val="berschrift1"/>
      </w:pPr>
      <w:r>
        <w:t>7.  Ausblick — August bis September 2026</w:t>
      </w:r>
    </w:p>
    <w:p>
      <w:pPr/>
      <w:r>
        <w:t>Die Priorität für die nächsten zwei Monate ist Kontinuität vor Perfektion. Der Algorithmus und das Publikum brauchen Verlässlichkeit — kein weiterer April 2026.</w:t>
      </w:r>
    </w:p>
    <w:p>
      <w:pPr/>
      <w:r/>
    </w:p>
    <w:p>
      <w:pPr>
        <w:pStyle w:val="Listenabsatz"/>
      </w:pPr>
      <w:r>
        <w:t>Den Momentum aus dem viralen 1.-Juli-Post nutzen: Posting-Frequenz jetzt auf mindestens 6 Posts im August halten. Der Algorithmus belohnt Regelmässigkeit unmittelbar nach Hochperformance-Phasen.</w:t>
      </w:r>
    </w:p>
    <w:p>
      <w:pPr>
        <w:pStyle w:val="Listenabsatz"/>
      </w:pPr>
      <w:r>
        <w:t>Das FC-Dübendorf-Vorstandsthema mit einem starken, persönlichen Post lancieren — natürlicher Einstieg in H2 und an bewiesenen Reichweiten-Trigger anknüpfend.</w:t>
      </w:r>
    </w:p>
    <w:p>
      <w:pPr>
        <w:pStyle w:val="Listenabsatz"/>
      </w:pPr>
      <w:r>
        <w:t>Das nächste Partnerschafts-Narrativ vorbereiten: konkretes Gespräch mit Roger, welche Geschichten noch erzählt werden wollen. Das Q3-Partnerschafts-Format bis Ende August stehen, September live.</w:t>
      </w:r>
    </w:p>
    <w:p>
      <w:pPr/>
      <w:r/>
    </w:p>
    <w:p>
      <w:pPr/>
      <w:r>
        <w:t>Nächste Review: September 2026 | Erstellt von Mournival GmbH — Marketing ohne Overhead, ohne Bullshit.</w:t>
      </w:r>
    </w:p>
    <w:sectPr w:rsidR="001E59D3" w:rsidRPr="00677552" w:rsidSect="00EB741B">
      <w:headerReference w:type="default" r:id="rId8"/>
      <w:footerReference w:type="default" r:id="rId9"/>
      <w:pgSz w:w="11906" w:h="16838"/>
      <w:pgMar w:top="1417" w:right="1417" w:bottom="1134" w:left="1417" w:header="226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DA1F70" w14:textId="77777777" w:rsidR="002D5A0D" w:rsidRDefault="002D5A0D" w:rsidP="00EB741B">
      <w:r>
        <w:separator/>
      </w:r>
    </w:p>
  </w:endnote>
  <w:endnote w:type="continuationSeparator" w:id="0">
    <w:p w14:paraId="00FCB5E7" w14:textId="77777777" w:rsidR="002D5A0D" w:rsidRDefault="002D5A0D" w:rsidP="00EB7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pher">
    <w:panose1 w:val="00000500000000000000"/>
    <w:charset w:val="4D"/>
    <w:family w:val="auto"/>
    <w:notTrueType/>
    <w:pitch w:val="variable"/>
    <w:sig w:usb0="00000007" w:usb1="00000000" w:usb2="00000000" w:usb3="00000000" w:csb0="000000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E4B3DD" w14:textId="77777777" w:rsidR="00EB741B" w:rsidRPr="00677552" w:rsidRDefault="00EB741B" w:rsidP="00EB741B">
    <w:pPr>
      <w:pStyle w:val="Fuzeile"/>
      <w:jc w:val="center"/>
      <w:rPr>
        <w:rFonts w:ascii="Avenir Book" w:hAnsi="Avenir Book"/>
      </w:rPr>
    </w:pPr>
  </w:p>
  <w:p w14:paraId="5A7EA113" w14:textId="2ACDF2B4" w:rsidR="00EB741B" w:rsidRPr="00677552" w:rsidRDefault="00EB741B" w:rsidP="00EB741B">
    <w:pPr>
      <w:pStyle w:val="Fuzeile"/>
      <w:jc w:val="center"/>
      <w:rPr>
        <w:rFonts w:ascii="Avenir Book" w:hAnsi="Avenir Book"/>
      </w:rPr>
    </w:pPr>
    <w:r w:rsidRPr="00677552">
      <w:rPr>
        <w:rFonts w:ascii="Avenir Book" w:hAnsi="Avenir Book"/>
      </w:rPr>
      <w:t xml:space="preserve">1322 </w:t>
    </w:r>
    <w:proofErr w:type="spellStart"/>
    <w:r w:rsidRPr="00677552">
      <w:rPr>
        <w:rFonts w:ascii="Avenir Book" w:hAnsi="Avenir Book"/>
      </w:rPr>
      <w:t>Mournival</w:t>
    </w:r>
    <w:proofErr w:type="spellEnd"/>
    <w:r w:rsidRPr="00677552">
      <w:rPr>
        <w:rFonts w:ascii="Avenir Book" w:hAnsi="Avenir Book"/>
      </w:rPr>
      <w:t xml:space="preserve"> GmbH | </w:t>
    </w:r>
    <w:proofErr w:type="spellStart"/>
    <w:r w:rsidRPr="00677552">
      <w:rPr>
        <w:rFonts w:ascii="Avenir Book" w:hAnsi="Avenir Book"/>
      </w:rPr>
      <w:t>Buckhauserstrasse</w:t>
    </w:r>
    <w:proofErr w:type="spellEnd"/>
    <w:r w:rsidRPr="00677552">
      <w:rPr>
        <w:rFonts w:ascii="Avenir Book" w:hAnsi="Avenir Book"/>
      </w:rPr>
      <w:t xml:space="preserve"> 34 | 8048 Zürich</w:t>
    </w:r>
  </w:p>
  <w:p w14:paraId="2077C236" w14:textId="10447FD7" w:rsidR="00EB741B" w:rsidRPr="00677552" w:rsidRDefault="00EB741B" w:rsidP="00EB741B">
    <w:pPr>
      <w:pStyle w:val="Fuzeile"/>
      <w:jc w:val="center"/>
      <w:rPr>
        <w:rFonts w:ascii="Avenir Book" w:hAnsi="Avenir Book"/>
      </w:rPr>
    </w:pPr>
    <w:hyperlink r:id="rId1" w:history="1">
      <w:r w:rsidRPr="00677552">
        <w:rPr>
          <w:rStyle w:val="Hyperlink"/>
          <w:rFonts w:ascii="Avenir Book" w:hAnsi="Avenir Book"/>
        </w:rPr>
        <w:t>info@1322.ch</w:t>
      </w:r>
    </w:hyperlink>
    <w:r w:rsidRPr="00677552">
      <w:rPr>
        <w:rFonts w:ascii="Avenir Book" w:hAnsi="Avenir Book"/>
      </w:rPr>
      <w:t xml:space="preserve"> | 044 544 13 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DEBDDB" w14:textId="77777777" w:rsidR="002D5A0D" w:rsidRDefault="002D5A0D" w:rsidP="00EB741B">
      <w:r>
        <w:separator/>
      </w:r>
    </w:p>
  </w:footnote>
  <w:footnote w:type="continuationSeparator" w:id="0">
    <w:p w14:paraId="21ED5749" w14:textId="77777777" w:rsidR="002D5A0D" w:rsidRDefault="002D5A0D" w:rsidP="00EB74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B3C459" w14:textId="3793A9EF" w:rsidR="00EB741B" w:rsidRDefault="00EB741B">
    <w:pPr>
      <w:pStyle w:val="Kopfzeile"/>
    </w:pPr>
    <w:r>
      <w:rPr>
        <w:noProof/>
        <w14:ligatures w14:val="standardContextual"/>
      </w:rPr>
      <w:drawing>
        <wp:anchor distT="0" distB="0" distL="114300" distR="114300" simplePos="0" relativeHeight="251658240" behindDoc="1" locked="0" layoutInCell="1" allowOverlap="1" wp14:anchorId="36EB0300" wp14:editId="5D4E2A78">
          <wp:simplePos x="0" y="0"/>
          <wp:positionH relativeFrom="column">
            <wp:posOffset>4264025</wp:posOffset>
          </wp:positionH>
          <wp:positionV relativeFrom="paragraph">
            <wp:posOffset>-895869</wp:posOffset>
          </wp:positionV>
          <wp:extent cx="1457904" cy="585283"/>
          <wp:effectExtent l="0" t="0" r="3175" b="0"/>
          <wp:wrapNone/>
          <wp:docPr id="1642659379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4574727" name="Grafik 137457472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7904" cy="5852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26174E"/>
    <w:multiLevelType w:val="multilevel"/>
    <w:tmpl w:val="6EFE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342F6"/>
    <w:multiLevelType w:val="multilevel"/>
    <w:tmpl w:val="0D32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87EC9"/>
    <w:multiLevelType w:val="multilevel"/>
    <w:tmpl w:val="68F2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F647C"/>
    <w:multiLevelType w:val="multilevel"/>
    <w:tmpl w:val="5CA4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4396E"/>
    <w:multiLevelType w:val="hybridMultilevel"/>
    <w:tmpl w:val="FBC2EC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61391"/>
    <w:multiLevelType w:val="hybridMultilevel"/>
    <w:tmpl w:val="8B20DA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31887"/>
    <w:multiLevelType w:val="hybridMultilevel"/>
    <w:tmpl w:val="4378A2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1651DB"/>
    <w:multiLevelType w:val="hybridMultilevel"/>
    <w:tmpl w:val="F9EA3B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B92A74"/>
    <w:multiLevelType w:val="hybridMultilevel"/>
    <w:tmpl w:val="9DBA8F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564A77"/>
    <w:multiLevelType w:val="multilevel"/>
    <w:tmpl w:val="13644A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7F01A4"/>
    <w:multiLevelType w:val="hybridMultilevel"/>
    <w:tmpl w:val="555E4B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D7762E"/>
    <w:multiLevelType w:val="hybridMultilevel"/>
    <w:tmpl w:val="027CC3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895BE6"/>
    <w:multiLevelType w:val="hybridMultilevel"/>
    <w:tmpl w:val="AA3897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590F31"/>
    <w:multiLevelType w:val="multilevel"/>
    <w:tmpl w:val="13644A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B7640E"/>
    <w:multiLevelType w:val="multilevel"/>
    <w:tmpl w:val="79FC1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A8020B"/>
    <w:multiLevelType w:val="hybridMultilevel"/>
    <w:tmpl w:val="40A0C3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2D6D4C"/>
    <w:multiLevelType w:val="hybridMultilevel"/>
    <w:tmpl w:val="AF62C0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C9404B"/>
    <w:multiLevelType w:val="multilevel"/>
    <w:tmpl w:val="80A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1417FC"/>
    <w:multiLevelType w:val="hybridMultilevel"/>
    <w:tmpl w:val="9E9AFA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B56D2"/>
    <w:multiLevelType w:val="hybridMultilevel"/>
    <w:tmpl w:val="F65E39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2929E8"/>
    <w:multiLevelType w:val="hybridMultilevel"/>
    <w:tmpl w:val="D2A250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B77A16"/>
    <w:multiLevelType w:val="multilevel"/>
    <w:tmpl w:val="F8A6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1E6D4C"/>
    <w:multiLevelType w:val="multilevel"/>
    <w:tmpl w:val="962E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E57882"/>
    <w:multiLevelType w:val="hybridMultilevel"/>
    <w:tmpl w:val="D05CE4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A01139"/>
    <w:multiLevelType w:val="multilevel"/>
    <w:tmpl w:val="C5A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2B6DFD"/>
    <w:multiLevelType w:val="hybridMultilevel"/>
    <w:tmpl w:val="B8D090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717085"/>
    <w:multiLevelType w:val="multilevel"/>
    <w:tmpl w:val="C96C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6D258F"/>
    <w:multiLevelType w:val="multilevel"/>
    <w:tmpl w:val="4512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436450"/>
    <w:multiLevelType w:val="hybridMultilevel"/>
    <w:tmpl w:val="26A04C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26209F"/>
    <w:multiLevelType w:val="hybridMultilevel"/>
    <w:tmpl w:val="333254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624975"/>
    <w:multiLevelType w:val="hybridMultilevel"/>
    <w:tmpl w:val="8166B5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722573"/>
    <w:multiLevelType w:val="multilevel"/>
    <w:tmpl w:val="B7FA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CA5614"/>
    <w:multiLevelType w:val="hybridMultilevel"/>
    <w:tmpl w:val="F9D857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6A339D"/>
    <w:multiLevelType w:val="multilevel"/>
    <w:tmpl w:val="91D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9F7316"/>
    <w:multiLevelType w:val="multilevel"/>
    <w:tmpl w:val="C1F0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827B61"/>
    <w:multiLevelType w:val="multilevel"/>
    <w:tmpl w:val="FECA0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156151"/>
    <w:multiLevelType w:val="hybridMultilevel"/>
    <w:tmpl w:val="377E60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770536"/>
    <w:multiLevelType w:val="multilevel"/>
    <w:tmpl w:val="4A20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E61C5E"/>
    <w:multiLevelType w:val="multilevel"/>
    <w:tmpl w:val="F5E8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745F87"/>
    <w:multiLevelType w:val="hybridMultilevel"/>
    <w:tmpl w:val="3028D1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B9412D"/>
    <w:multiLevelType w:val="multilevel"/>
    <w:tmpl w:val="5E54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E72C39"/>
    <w:multiLevelType w:val="multilevel"/>
    <w:tmpl w:val="6FF4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820DF0"/>
    <w:multiLevelType w:val="multilevel"/>
    <w:tmpl w:val="C764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AF5B95"/>
    <w:multiLevelType w:val="hybridMultilevel"/>
    <w:tmpl w:val="656446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C06A01"/>
    <w:multiLevelType w:val="hybridMultilevel"/>
    <w:tmpl w:val="F618B8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6F557E"/>
    <w:multiLevelType w:val="hybridMultilevel"/>
    <w:tmpl w:val="1C8699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BF2390"/>
    <w:multiLevelType w:val="hybridMultilevel"/>
    <w:tmpl w:val="12FCD5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696B94"/>
    <w:multiLevelType w:val="hybridMultilevel"/>
    <w:tmpl w:val="990253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AB7969"/>
    <w:multiLevelType w:val="hybridMultilevel"/>
    <w:tmpl w:val="9EF6C5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C46836"/>
    <w:multiLevelType w:val="multilevel"/>
    <w:tmpl w:val="7FF2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332903">
    <w:abstractNumId w:val="0"/>
  </w:num>
  <w:num w:numId="2" w16cid:durableId="782383079">
    <w:abstractNumId w:val="34"/>
  </w:num>
  <w:num w:numId="3" w16cid:durableId="160052504">
    <w:abstractNumId w:val="41"/>
  </w:num>
  <w:num w:numId="4" w16cid:durableId="1044331863">
    <w:abstractNumId w:val="2"/>
  </w:num>
  <w:num w:numId="5" w16cid:durableId="2119979346">
    <w:abstractNumId w:val="37"/>
  </w:num>
  <w:num w:numId="6" w16cid:durableId="1370036029">
    <w:abstractNumId w:val="35"/>
  </w:num>
  <w:num w:numId="7" w16cid:durableId="104814555">
    <w:abstractNumId w:val="14"/>
  </w:num>
  <w:num w:numId="8" w16cid:durableId="1898658925">
    <w:abstractNumId w:val="49"/>
  </w:num>
  <w:num w:numId="9" w16cid:durableId="911424530">
    <w:abstractNumId w:val="3"/>
  </w:num>
  <w:num w:numId="10" w16cid:durableId="1978605329">
    <w:abstractNumId w:val="9"/>
  </w:num>
  <w:num w:numId="11" w16cid:durableId="188839517">
    <w:abstractNumId w:val="13"/>
  </w:num>
  <w:num w:numId="12" w16cid:durableId="99764439">
    <w:abstractNumId w:val="15"/>
  </w:num>
  <w:num w:numId="13" w16cid:durableId="2095279479">
    <w:abstractNumId w:val="40"/>
  </w:num>
  <w:num w:numId="14" w16cid:durableId="171453283">
    <w:abstractNumId w:val="31"/>
  </w:num>
  <w:num w:numId="15" w16cid:durableId="457917475">
    <w:abstractNumId w:val="24"/>
  </w:num>
  <w:num w:numId="16" w16cid:durableId="624772650">
    <w:abstractNumId w:val="21"/>
  </w:num>
  <w:num w:numId="17" w16cid:durableId="960845806">
    <w:abstractNumId w:val="42"/>
  </w:num>
  <w:num w:numId="18" w16cid:durableId="245500966">
    <w:abstractNumId w:val="1"/>
  </w:num>
  <w:num w:numId="19" w16cid:durableId="1392652959">
    <w:abstractNumId w:val="33"/>
  </w:num>
  <w:num w:numId="20" w16cid:durableId="1621691868">
    <w:abstractNumId w:val="17"/>
  </w:num>
  <w:num w:numId="21" w16cid:durableId="2060976712">
    <w:abstractNumId w:val="22"/>
  </w:num>
  <w:num w:numId="22" w16cid:durableId="48497003">
    <w:abstractNumId w:val="27"/>
  </w:num>
  <w:num w:numId="23" w16cid:durableId="1523126167">
    <w:abstractNumId w:val="38"/>
  </w:num>
  <w:num w:numId="24" w16cid:durableId="2023318276">
    <w:abstractNumId w:val="26"/>
  </w:num>
  <w:num w:numId="25" w16cid:durableId="1244489670">
    <w:abstractNumId w:val="46"/>
  </w:num>
  <w:num w:numId="26" w16cid:durableId="706754455">
    <w:abstractNumId w:val="39"/>
  </w:num>
  <w:num w:numId="27" w16cid:durableId="24597269">
    <w:abstractNumId w:val="7"/>
  </w:num>
  <w:num w:numId="28" w16cid:durableId="1744184963">
    <w:abstractNumId w:val="11"/>
  </w:num>
  <w:num w:numId="29" w16cid:durableId="1379478795">
    <w:abstractNumId w:val="29"/>
  </w:num>
  <w:num w:numId="30" w16cid:durableId="1459882721">
    <w:abstractNumId w:val="10"/>
  </w:num>
  <w:num w:numId="31" w16cid:durableId="1204175805">
    <w:abstractNumId w:val="45"/>
  </w:num>
  <w:num w:numId="32" w16cid:durableId="1465078652">
    <w:abstractNumId w:val="48"/>
  </w:num>
  <w:num w:numId="33" w16cid:durableId="496921111">
    <w:abstractNumId w:val="25"/>
  </w:num>
  <w:num w:numId="34" w16cid:durableId="1307932434">
    <w:abstractNumId w:val="18"/>
  </w:num>
  <w:num w:numId="35" w16cid:durableId="1735275681">
    <w:abstractNumId w:val="32"/>
  </w:num>
  <w:num w:numId="36" w16cid:durableId="1571697196">
    <w:abstractNumId w:val="5"/>
  </w:num>
  <w:num w:numId="37" w16cid:durableId="1871140867">
    <w:abstractNumId w:val="20"/>
  </w:num>
  <w:num w:numId="38" w16cid:durableId="1809737149">
    <w:abstractNumId w:val="36"/>
  </w:num>
  <w:num w:numId="39" w16cid:durableId="1836460210">
    <w:abstractNumId w:val="47"/>
  </w:num>
  <w:num w:numId="40" w16cid:durableId="975647588">
    <w:abstractNumId w:val="23"/>
  </w:num>
  <w:num w:numId="41" w16cid:durableId="1666936379">
    <w:abstractNumId w:val="16"/>
  </w:num>
  <w:num w:numId="42" w16cid:durableId="1332566419">
    <w:abstractNumId w:val="19"/>
  </w:num>
  <w:num w:numId="43" w16cid:durableId="1200627081">
    <w:abstractNumId w:val="30"/>
  </w:num>
  <w:num w:numId="44" w16cid:durableId="1882084007">
    <w:abstractNumId w:val="12"/>
  </w:num>
  <w:num w:numId="45" w16cid:durableId="829636014">
    <w:abstractNumId w:val="4"/>
  </w:num>
  <w:num w:numId="46" w16cid:durableId="448284843">
    <w:abstractNumId w:val="6"/>
  </w:num>
  <w:num w:numId="47" w16cid:durableId="1539200192">
    <w:abstractNumId w:val="8"/>
  </w:num>
  <w:num w:numId="48" w16cid:durableId="1687175894">
    <w:abstractNumId w:val="28"/>
  </w:num>
  <w:num w:numId="49" w16cid:durableId="177739669">
    <w:abstractNumId w:val="43"/>
  </w:num>
  <w:num w:numId="50" w16cid:durableId="1853908971">
    <w:abstractNumId w:val="4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41B"/>
    <w:rsid w:val="00023A95"/>
    <w:rsid w:val="00025629"/>
    <w:rsid w:val="00033EAB"/>
    <w:rsid w:val="00076D3D"/>
    <w:rsid w:val="00093E95"/>
    <w:rsid w:val="001103BF"/>
    <w:rsid w:val="001C0A81"/>
    <w:rsid w:val="001E59D3"/>
    <w:rsid w:val="001F5658"/>
    <w:rsid w:val="002567F7"/>
    <w:rsid w:val="00265A65"/>
    <w:rsid w:val="002D5A0D"/>
    <w:rsid w:val="002F0936"/>
    <w:rsid w:val="00325C51"/>
    <w:rsid w:val="00337F4E"/>
    <w:rsid w:val="0035688F"/>
    <w:rsid w:val="00390139"/>
    <w:rsid w:val="00431855"/>
    <w:rsid w:val="00475C95"/>
    <w:rsid w:val="004F0F2F"/>
    <w:rsid w:val="004F1E1C"/>
    <w:rsid w:val="005310CC"/>
    <w:rsid w:val="00540F15"/>
    <w:rsid w:val="005B6DA2"/>
    <w:rsid w:val="005F5B4C"/>
    <w:rsid w:val="005F71F8"/>
    <w:rsid w:val="00601C10"/>
    <w:rsid w:val="006144C6"/>
    <w:rsid w:val="00672990"/>
    <w:rsid w:val="00677552"/>
    <w:rsid w:val="006F2C44"/>
    <w:rsid w:val="006F3B44"/>
    <w:rsid w:val="00700002"/>
    <w:rsid w:val="00737C27"/>
    <w:rsid w:val="00753609"/>
    <w:rsid w:val="007C629D"/>
    <w:rsid w:val="008D1663"/>
    <w:rsid w:val="008D27E9"/>
    <w:rsid w:val="008D5D2E"/>
    <w:rsid w:val="008E32F9"/>
    <w:rsid w:val="008E7B41"/>
    <w:rsid w:val="0090307C"/>
    <w:rsid w:val="00906081"/>
    <w:rsid w:val="0095274A"/>
    <w:rsid w:val="009937F7"/>
    <w:rsid w:val="00995365"/>
    <w:rsid w:val="009A19BD"/>
    <w:rsid w:val="009F5B05"/>
    <w:rsid w:val="00A150F8"/>
    <w:rsid w:val="00AA58FA"/>
    <w:rsid w:val="00AA5CA6"/>
    <w:rsid w:val="00AF3766"/>
    <w:rsid w:val="00B13701"/>
    <w:rsid w:val="00BC51EE"/>
    <w:rsid w:val="00BF415A"/>
    <w:rsid w:val="00C07F56"/>
    <w:rsid w:val="00CB045E"/>
    <w:rsid w:val="00CB3AA7"/>
    <w:rsid w:val="00CD482F"/>
    <w:rsid w:val="00D20999"/>
    <w:rsid w:val="00D5279D"/>
    <w:rsid w:val="00DD4DAB"/>
    <w:rsid w:val="00E83C84"/>
    <w:rsid w:val="00E9189E"/>
    <w:rsid w:val="00EB741B"/>
    <w:rsid w:val="00F53F59"/>
    <w:rsid w:val="00F616ED"/>
    <w:rsid w:val="00F72A18"/>
    <w:rsid w:val="00FC3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BD1688A"/>
  <w15:chartTrackingRefBased/>
  <w15:docId w15:val="{4DE63338-30B8-064E-B022-1B1D1EAEE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20999"/>
    <w:rPr>
      <w:rFonts w:ascii="Gopher" w:eastAsia="Times New Roman" w:hAnsi="Gopher" w:cs="Times New Roman"/>
      <w:kern w:val="0"/>
      <w:sz w:val="22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E59D3"/>
    <w:pPr>
      <w:keepNext/>
      <w:keepLines/>
      <w:spacing w:before="360" w:after="80"/>
      <w:outlineLvl w:val="0"/>
    </w:pPr>
    <w:rPr>
      <w:rFonts w:eastAsiaTheme="majorEastAsia" w:cstheme="majorBidi"/>
      <w:color w:val="A176F5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E59D3"/>
    <w:pPr>
      <w:keepNext/>
      <w:keepLines/>
      <w:spacing w:before="160" w:after="80"/>
      <w:outlineLvl w:val="1"/>
    </w:pPr>
    <w:rPr>
      <w:rFonts w:eastAsiaTheme="majorEastAsia" w:cstheme="majorBidi"/>
      <w:color w:val="A176F5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E59D3"/>
    <w:pPr>
      <w:keepNext/>
      <w:keepLines/>
      <w:spacing w:before="160" w:after="80"/>
      <w:outlineLvl w:val="2"/>
    </w:pPr>
    <w:rPr>
      <w:rFonts w:eastAsiaTheme="majorEastAsia" w:cstheme="majorBidi"/>
      <w:color w:val="A176F5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EB7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B7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B74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B74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B74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B74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E59D3"/>
    <w:rPr>
      <w:rFonts w:ascii="Gopher" w:eastAsiaTheme="majorEastAsia" w:hAnsi="Gopher" w:cstheme="majorBidi"/>
      <w:color w:val="A176F5"/>
      <w:kern w:val="0"/>
      <w:sz w:val="40"/>
      <w:szCs w:val="40"/>
      <w:lang w:eastAsia="de-DE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E59D3"/>
    <w:rPr>
      <w:rFonts w:ascii="Gopher" w:eastAsiaTheme="majorEastAsia" w:hAnsi="Gopher" w:cstheme="majorBidi"/>
      <w:color w:val="A176F5"/>
      <w:kern w:val="0"/>
      <w:sz w:val="32"/>
      <w:szCs w:val="32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E59D3"/>
    <w:rPr>
      <w:rFonts w:ascii="Gopher" w:eastAsiaTheme="majorEastAsia" w:hAnsi="Gopher" w:cstheme="majorBidi"/>
      <w:color w:val="A176F5"/>
      <w:kern w:val="0"/>
      <w:sz w:val="28"/>
      <w:szCs w:val="28"/>
      <w:lang w:eastAsia="de-DE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EB741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B741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B741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B741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B741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B741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B74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B7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B74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B7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B74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B741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B741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B741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B7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B741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B741B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unhideWhenUsed/>
    <w:rsid w:val="00EB741B"/>
    <w:pPr>
      <w:spacing w:before="100" w:beforeAutospacing="1" w:after="100" w:afterAutospacing="1"/>
    </w:pPr>
  </w:style>
  <w:style w:type="character" w:styleId="Fett">
    <w:name w:val="Strong"/>
    <w:basedOn w:val="Absatz-Standardschriftart"/>
    <w:uiPriority w:val="22"/>
    <w:qFormat/>
    <w:rsid w:val="00EB741B"/>
    <w:rPr>
      <w:b/>
      <w:bCs/>
    </w:rPr>
  </w:style>
  <w:style w:type="paragraph" w:styleId="Kopfzeile">
    <w:name w:val="header"/>
    <w:basedOn w:val="Standard"/>
    <w:link w:val="KopfzeileZchn"/>
    <w:uiPriority w:val="99"/>
    <w:unhideWhenUsed/>
    <w:rsid w:val="00EB741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B741B"/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EB741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B741B"/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EB741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B741B"/>
    <w:rPr>
      <w:color w:val="605E5C"/>
      <w:shd w:val="clear" w:color="auto" w:fill="E1DFDD"/>
    </w:rPr>
  </w:style>
  <w:style w:type="character" w:customStyle="1" w:styleId="relative">
    <w:name w:val="relative"/>
    <w:basedOn w:val="Absatz-Standardschriftart"/>
    <w:rsid w:val="004F1E1C"/>
  </w:style>
  <w:style w:type="table" w:styleId="Tabellenraster">
    <w:name w:val="Table Grid"/>
    <w:basedOn w:val="NormaleTabelle"/>
    <w:uiPriority w:val="39"/>
    <w:rsid w:val="001E59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C3E2C"/>
    <w:pPr>
      <w:spacing w:before="480" w:after="0" w:line="276" w:lineRule="auto"/>
      <w:outlineLvl w:val="9"/>
    </w:pPr>
    <w:rPr>
      <w:rFonts w:asciiTheme="majorHAnsi" w:hAnsiTheme="majorHAnsi"/>
      <w:b/>
      <w:bCs/>
      <w:color w:val="0F4761" w:themeColor="accent1" w:themeShade="BF"/>
      <w:sz w:val="28"/>
      <w:szCs w:val="28"/>
    </w:rPr>
  </w:style>
  <w:style w:type="paragraph" w:styleId="Verzeichnis1">
    <w:name w:val="toc 1"/>
    <w:basedOn w:val="Standard"/>
    <w:next w:val="Standard"/>
    <w:autoRedefine/>
    <w:uiPriority w:val="39"/>
    <w:unhideWhenUsed/>
    <w:rsid w:val="00FC3E2C"/>
    <w:pPr>
      <w:spacing w:before="240" w:after="120"/>
    </w:pPr>
    <w:rPr>
      <w:rFonts w:asciiTheme="minorHAnsi" w:hAnsiTheme="minorHAnsi"/>
      <w:b/>
      <w:bCs/>
      <w:sz w:val="20"/>
      <w:szCs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FC3E2C"/>
    <w:pPr>
      <w:spacing w:before="120"/>
      <w:ind w:left="220"/>
    </w:pPr>
    <w:rPr>
      <w:rFonts w:asciiTheme="minorHAnsi" w:hAnsiTheme="minorHAnsi"/>
      <w:i/>
      <w:iCs/>
      <w:sz w:val="20"/>
      <w:szCs w:val="20"/>
    </w:rPr>
  </w:style>
  <w:style w:type="paragraph" w:styleId="Verzeichnis3">
    <w:name w:val="toc 3"/>
    <w:basedOn w:val="Standard"/>
    <w:next w:val="Standard"/>
    <w:autoRedefine/>
    <w:uiPriority w:val="39"/>
    <w:unhideWhenUsed/>
    <w:rsid w:val="00FC3E2C"/>
    <w:pPr>
      <w:ind w:left="440"/>
    </w:pPr>
    <w:rPr>
      <w:rFonts w:asciiTheme="minorHAnsi" w:hAnsiTheme="minorHAnsi"/>
      <w:sz w:val="20"/>
      <w:szCs w:val="20"/>
    </w:r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FC3E2C"/>
    <w:pPr>
      <w:ind w:left="660"/>
    </w:pPr>
    <w:rPr>
      <w:rFonts w:asciiTheme="minorHAnsi" w:hAnsiTheme="minorHAnsi"/>
      <w:sz w:val="20"/>
      <w:szCs w:val="2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FC3E2C"/>
    <w:pPr>
      <w:ind w:left="880"/>
    </w:pPr>
    <w:rPr>
      <w:rFonts w:asciiTheme="minorHAnsi" w:hAnsiTheme="minorHAnsi"/>
      <w:sz w:val="20"/>
      <w:szCs w:val="20"/>
    </w:r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FC3E2C"/>
    <w:pPr>
      <w:ind w:left="1100"/>
    </w:pPr>
    <w:rPr>
      <w:rFonts w:asciiTheme="minorHAnsi" w:hAnsiTheme="minorHAnsi"/>
      <w:sz w:val="20"/>
      <w:szCs w:val="20"/>
    </w:r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FC3E2C"/>
    <w:pPr>
      <w:ind w:left="1320"/>
    </w:pPr>
    <w:rPr>
      <w:rFonts w:asciiTheme="minorHAnsi" w:hAnsiTheme="minorHAnsi"/>
      <w:sz w:val="20"/>
      <w:szCs w:val="20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FC3E2C"/>
    <w:pPr>
      <w:ind w:left="1540"/>
    </w:pPr>
    <w:rPr>
      <w:rFonts w:asciiTheme="minorHAnsi" w:hAnsiTheme="minorHAnsi"/>
      <w:sz w:val="20"/>
      <w:szCs w:val="20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C3E2C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info@1322.ch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5C90101-DA11-DB4E-90F3-5114E8A49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539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Faust</dc:creator>
  <cp:keywords/>
  <dc:description/>
  <cp:lastModifiedBy>Alexander Faust</cp:lastModifiedBy>
  <cp:revision>3</cp:revision>
  <cp:lastPrinted>2026-06-30T07:13:00Z</cp:lastPrinted>
  <dcterms:created xsi:type="dcterms:W3CDTF">2026-06-30T13:19:00Z</dcterms:created>
  <dcterms:modified xsi:type="dcterms:W3CDTF">2026-06-30T13:26:00Z</dcterms:modified>
</cp:coreProperties>
</file>