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12"/>
      </w:tblGrid>
      <w:tr>
        <w:tc>
          <w:tcPr>
            <w:tcW w:type="dxa" w:w="8612"/>
            <w:shd w:val="clear" w:color="auto" w:fill="4b319b"/>
            <w:tcMar>
              <w:top w:w="400" w:type="dxa"/>
              <w:bottom w:w="400" w:type="dxa"/>
              <w:left w:w="300" w:type="dxa"/>
              <w:right w:w="300" w:type="dxa"/>
            </w:tcMar>
          </w:tcPr>
          <w:p>
            <w:pPr>
              <w:spacing w:before="0"/>
              <w:jc w:val="center"/>
            </w:pPr>
            <w:r>
              <w:rPr>
                <w:rFonts w:ascii="Calibri" w:hAnsi="Calibri"/>
                <w:b/>
                <w:color w:val="A176F4"/>
                <w:sz w:val="18"/>
              </w:rPr>
              <w:t>MOURNIVAL GMBH</w:t>
            </w:r>
          </w:p>
          <w:p>
            <w:pPr>
              <w:spacing w:before="400"/>
              <w:jc w:val="center"/>
            </w:pPr>
            <w:r>
              <w:rPr>
                <w:rFonts w:ascii="Calibri" w:hAnsi="Calibri"/>
                <w:b/>
                <w:color w:val="FFFFFF"/>
                <w:sz w:val="36"/>
              </w:rPr>
              <w:t>Kommunikationsstrategie</w:t>
            </w:r>
          </w:p>
          <w:p>
            <w:pPr>
              <w:spacing w:before="80"/>
              <w:jc w:val="center"/>
            </w:pPr>
            <w:r>
              <w:rPr>
                <w:rFonts w:ascii="Calibri" w:hAnsi="Calibri"/>
                <w:b/>
                <w:color w:val="FFFFFF"/>
                <w:sz w:val="64"/>
              </w:rPr>
              <w:t>Beastly Investments</w:t>
            </w:r>
          </w:p>
          <w:p>
            <w:pPr>
              <w:spacing w:before="800"/>
              <w:jc w:val="center"/>
            </w:pPr>
            <w:r>
              <w:rPr>
                <w:rFonts w:ascii="Calibri" w:hAnsi="Calibri"/>
                <w:b/>
                <w:color w:val="A176F4"/>
                <w:sz w:val="18"/>
              </w:rPr>
              <w:t>Erstellt von DungeonMasterAlex  ·  24. June 2026</w:t>
            </w:r>
          </w:p>
        </w:tc>
      </w:tr>
    </w:tbl>
    <w:p>
      <w:r>
        <w:br w:type="page"/>
      </w:r>
    </w:p>
    <w:p>
      <w:pPr>
        <w:spacing w:before="360" w:after="120"/>
      </w:pPr>
      <w:r>
        <w:rPr>
          <w:rFonts w:ascii="Calibri" w:hAnsi="Calibri"/>
          <w:b/>
          <w:i w:val="0"/>
          <w:color w:val="4B319B"/>
          <w:sz w:val="32"/>
        </w:rPr>
        <w:t>Inhaltsverzeichnis</w:t>
      </w:r>
    </w:p>
    <w:p>
      <w:pPr>
        <w:pStyle w:val="ListBullet"/>
        <w:spacing w:after="60"/>
      </w:pPr>
      <w:r>
        <w:rPr>
          <w:rFonts w:ascii="Calibri" w:hAnsi="Calibri"/>
          <w:b w:val="0"/>
          <w:i w:val="0"/>
          <w:color w:val="333333"/>
          <w:sz w:val="21"/>
        </w:rPr>
        <w:t>1.  Ausgangslage &amp; strategische Ausgangsdiskrepanzen</w:t>
      </w:r>
    </w:p>
    <w:p>
      <w:pPr>
        <w:pStyle w:val="ListBullet"/>
        <w:spacing w:after="60"/>
      </w:pPr>
      <w:r>
        <w:rPr>
          <w:rFonts w:ascii="Calibri" w:hAnsi="Calibri"/>
          <w:b w:val="0"/>
          <w:i w:val="0"/>
          <w:color w:val="333333"/>
          <w:sz w:val="21"/>
        </w:rPr>
        <w:t>2.  Strategische Positionierung</w:t>
      </w:r>
    </w:p>
    <w:p>
      <w:pPr>
        <w:pStyle w:val="ListBullet"/>
        <w:spacing w:after="60"/>
      </w:pPr>
      <w:r>
        <w:rPr>
          <w:rFonts w:ascii="Calibri" w:hAnsi="Calibri"/>
          <w:b w:val="0"/>
          <w:i w:val="0"/>
          <w:color w:val="333333"/>
          <w:sz w:val="21"/>
        </w:rPr>
        <w:t>3.  Die Zielgruppen</w:t>
      </w:r>
    </w:p>
    <w:p>
      <w:pPr>
        <w:pStyle w:val="ListBullet"/>
        <w:spacing w:after="60"/>
      </w:pPr>
      <w:r>
        <w:rPr>
          <w:rFonts w:ascii="Calibri" w:hAnsi="Calibri"/>
          <w:b w:val="0"/>
          <w:i w:val="0"/>
          <w:color w:val="333333"/>
          <w:sz w:val="21"/>
        </w:rPr>
        <w:t>4.  Strategischer Rahmen — Warum machen wir das so?</w:t>
      </w:r>
    </w:p>
    <w:p>
      <w:pPr>
        <w:pStyle w:val="ListBullet"/>
        <w:spacing w:after="60"/>
      </w:pPr>
      <w:r>
        <w:rPr>
          <w:rFonts w:ascii="Calibri" w:hAnsi="Calibri"/>
          <w:b w:val="0"/>
          <w:i w:val="0"/>
          <w:color w:val="333333"/>
          <w:sz w:val="21"/>
        </w:rPr>
        <w:t>5.  Der Kommunikationsfunnel — Logikdiagramm</w:t>
      </w:r>
    </w:p>
    <w:p>
      <w:pPr>
        <w:pStyle w:val="ListBullet"/>
        <w:spacing w:after="60"/>
      </w:pPr>
      <w:r>
        <w:rPr>
          <w:rFonts w:ascii="Calibri" w:hAnsi="Calibri"/>
          <w:b w:val="0"/>
          <w:i w:val="0"/>
          <w:color w:val="333333"/>
          <w:sz w:val="21"/>
        </w:rPr>
        <w:t>6.  Die Kommunikationselemente</w:t>
      </w:r>
    </w:p>
    <w:p>
      <w:pPr>
        <w:pStyle w:val="ListBullet"/>
        <w:spacing w:after="60"/>
      </w:pPr>
      <w:r>
        <w:rPr>
          <w:rFonts w:ascii="Calibri" w:hAnsi="Calibri"/>
          <w:b w:val="0"/>
          <w:i w:val="0"/>
          <w:color w:val="333333"/>
          <w:sz w:val="21"/>
        </w:rPr>
        <w:t xml:space="preserve">    6.1  Logo und Branding</w:t>
      </w:r>
    </w:p>
    <w:p>
      <w:pPr>
        <w:pStyle w:val="ListBullet"/>
        <w:spacing w:after="60"/>
      </w:pPr>
      <w:r>
        <w:rPr>
          <w:rFonts w:ascii="Calibri" w:hAnsi="Calibri"/>
          <w:b w:val="0"/>
          <w:i w:val="0"/>
          <w:color w:val="333333"/>
          <w:sz w:val="21"/>
        </w:rPr>
        <w:t xml:space="preserve">    6.2  Webseite</w:t>
      </w:r>
    </w:p>
    <w:p>
      <w:pPr>
        <w:pStyle w:val="ListBullet"/>
        <w:spacing w:after="60"/>
      </w:pPr>
      <w:r>
        <w:rPr>
          <w:rFonts w:ascii="Calibri" w:hAnsi="Calibri"/>
          <w:b w:val="0"/>
          <w:i w:val="0"/>
          <w:color w:val="333333"/>
          <w:sz w:val="21"/>
        </w:rPr>
        <w:t xml:space="preserve">    6.3  Personal Branding — Viktor Ackermann</w:t>
      </w:r>
    </w:p>
    <w:p>
      <w:pPr>
        <w:pStyle w:val="ListBullet"/>
        <w:spacing w:after="60"/>
      </w:pPr>
      <w:r>
        <w:rPr>
          <w:rFonts w:ascii="Calibri" w:hAnsi="Calibri"/>
          <w:b w:val="0"/>
          <w:i w:val="0"/>
          <w:color w:val="333333"/>
          <w:sz w:val="21"/>
        </w:rPr>
        <w:t xml:space="preserve">    6.4  Kanalstrategie Social Media</w:t>
      </w:r>
    </w:p>
    <w:p>
      <w:pPr>
        <w:pStyle w:val="ListBullet"/>
        <w:spacing w:after="60"/>
      </w:pPr>
      <w:r>
        <w:rPr>
          <w:rFonts w:ascii="Calibri" w:hAnsi="Calibri"/>
          <w:b w:val="0"/>
          <w:i w:val="0"/>
          <w:color w:val="333333"/>
          <w:sz w:val="21"/>
        </w:rPr>
        <w:t xml:space="preserve">    6.5  Repräsentationsmaterial — Pitch Deck</w:t>
      </w:r>
    </w:p>
    <w:p>
      <w:pPr>
        <w:pStyle w:val="ListBullet"/>
        <w:spacing w:after="60"/>
      </w:pPr>
      <w:r>
        <w:rPr>
          <w:rFonts w:ascii="Calibri" w:hAnsi="Calibri"/>
          <w:b w:val="0"/>
          <w:i w:val="0"/>
          <w:color w:val="333333"/>
          <w:sz w:val="21"/>
        </w:rPr>
        <w:t xml:space="preserve">    6.6  Partnerschaften — FourGive</w:t>
      </w:r>
    </w:p>
    <w:p>
      <w:pPr>
        <w:pStyle w:val="ListBullet"/>
        <w:spacing w:after="60"/>
      </w:pPr>
      <w:r>
        <w:rPr>
          <w:rFonts w:ascii="Calibri" w:hAnsi="Calibri"/>
          <w:b w:val="0"/>
          <w:i w:val="0"/>
          <w:color w:val="333333"/>
          <w:sz w:val="21"/>
        </w:rPr>
        <w:t xml:space="preserve">    6.7  Events</w:t>
      </w:r>
    </w:p>
    <w:p>
      <w:pPr>
        <w:pStyle w:val="ListBullet"/>
        <w:spacing w:after="60"/>
      </w:pPr>
      <w:r>
        <w:rPr>
          <w:rFonts w:ascii="Calibri" w:hAnsi="Calibri"/>
          <w:b w:val="0"/>
          <w:i w:val="0"/>
          <w:color w:val="333333"/>
          <w:sz w:val="21"/>
        </w:rPr>
        <w:t xml:space="preserve">    6.8  Social Media Ads</w:t>
      </w:r>
    </w:p>
    <w:p>
      <w:pPr>
        <w:pStyle w:val="ListBullet"/>
        <w:spacing w:after="60"/>
      </w:pPr>
      <w:r>
        <w:rPr>
          <w:rFonts w:ascii="Calibri" w:hAnsi="Calibri"/>
          <w:b w:val="0"/>
          <w:i w:val="0"/>
          <w:color w:val="333333"/>
          <w:sz w:val="21"/>
        </w:rPr>
        <w:t>7.  Persönliche Einschätzung</w:t>
      </w:r>
    </w:p>
    <w:p>
      <w:pPr>
        <w:pStyle w:val="ListBullet"/>
        <w:spacing w:after="60"/>
      </w:pPr>
      <w:r>
        <w:rPr>
          <w:rFonts w:ascii="Calibri" w:hAnsi="Calibri"/>
          <w:b w:val="0"/>
          <w:i w:val="0"/>
          <w:color w:val="333333"/>
          <w:sz w:val="21"/>
        </w:rPr>
        <w:t>8.  Empfehlung — Strategische Kommunikationsführung</w:t>
      </w:r>
    </w:p>
    <w:p>
      <w:pPr>
        <w:pStyle w:val="ListBullet"/>
        <w:spacing w:after="60"/>
      </w:pPr>
      <w:r>
        <w:rPr>
          <w:rFonts w:ascii="Calibri" w:hAnsi="Calibri"/>
          <w:b w:val="0"/>
          <w:i w:val="0"/>
          <w:color w:val="333333"/>
          <w:sz w:val="21"/>
        </w:rPr>
        <w:t>9.  Mögliche Einstiege in die Umsetzung</w:t>
      </w:r>
    </w:p>
    <w:p>
      <w:pPr>
        <w:pStyle w:val="ListBullet"/>
        <w:spacing w:after="60"/>
      </w:pPr>
      <w:r>
        <w:rPr>
          <w:rFonts w:ascii="Calibri" w:hAnsi="Calibri"/>
          <w:b w:val="0"/>
          <w:i w:val="0"/>
          <w:color w:val="333333"/>
          <w:sz w:val="21"/>
        </w:rPr>
        <w:t>Anhang: PowerPoint-Snippets</w:t>
      </w:r>
    </w:p>
    <w:p>
      <w:pPr>
        <w:spacing w:before="120" w:after="120"/>
        <w:pBdr>
          <w:bottom w:val="single" w:sz="4" w:space="1" w:color="a176f4"/>
        </w:pBdr>
      </w:pPr>
    </w:p>
    <w:p>
      <w:r>
        <w:br w:type="page"/>
      </w:r>
    </w:p>
    <w:p>
      <w:pPr>
        <w:spacing w:before="360" w:after="120"/>
      </w:pPr>
      <w:r>
        <w:rPr>
          <w:rFonts w:ascii="Calibri" w:hAnsi="Calibri"/>
          <w:b/>
          <w:i w:val="0"/>
          <w:color w:val="4B319B"/>
          <w:sz w:val="32"/>
        </w:rPr>
        <w:t>1.  Ausgangslage &amp; strategische Ausgangsdiskrepanzen</w:t>
      </w:r>
    </w:p>
    <w:p>
      <w:pPr>
        <w:spacing w:after="140"/>
      </w:pPr>
      <w:r>
        <w:rPr>
          <w:rFonts w:ascii="Calibri" w:hAnsi="Calibri"/>
          <w:b w:val="0"/>
          <w:i w:val="0"/>
          <w:color w:val="333333"/>
          <w:sz w:val="21"/>
        </w:rPr>
        <w:t>Beastly Investments ist das erste Investmentprodukt der Chipiron AG, eines Non-Profit Asset Managers im Aufbau. Gründer Viktor und Lydia Ackermann haben die FourGive Tierklinik in Marsa Alam/Ägypten aufgebaut — dort entstand die direkte Konfrontation mit Tierleid, und daraus die Überzeugung, dass Finanzlogik und Tierschutz sich nicht ausschliessen.</w:t>
      </w:r>
    </w:p>
    <w:p>
      <w:pPr>
        <w:spacing w:after="140"/>
      </w:pPr>
      <w:r>
        <w:rPr>
          <w:rFonts w:ascii="Calibri" w:hAnsi="Calibri"/>
          <w:b w:val="0"/>
          <w:i w:val="0"/>
          <w:color w:val="333333"/>
          <w:sz w:val="21"/>
        </w:rPr>
        <w:t>Das Projekt besteht aus drei kommunikativen Ebenen, die gleichzeitig und widerspruchsfrei geführt werden müssen:</w:t>
      </w:r>
    </w:p>
    <w:p>
      <w:pPr>
        <w:pStyle w:val="ListBullet"/>
        <w:spacing w:after="60"/>
      </w:pPr>
      <w:r>
        <w:rPr>
          <w:rFonts w:ascii="Calibri" w:hAnsi="Calibri"/>
          <w:b/>
          <w:i w:val="0"/>
          <w:color w:val="333333"/>
          <w:sz w:val="21"/>
        </w:rPr>
        <w:t xml:space="preserve">Beastly  </w:t>
      </w:r>
      <w:r>
        <w:rPr>
          <w:rFonts w:ascii="Calibri" w:hAnsi="Calibri"/>
          <w:b w:val="0"/>
          <w:i w:val="0"/>
          <w:color w:val="333333"/>
          <w:sz w:val="21"/>
        </w:rPr>
        <w:t>als emotionales, erklärungsbedürftiges Investmentprodukt</w:t>
      </w:r>
    </w:p>
    <w:p>
      <w:pPr>
        <w:pStyle w:val="ListBullet"/>
        <w:spacing w:after="60"/>
      </w:pPr>
      <w:r>
        <w:rPr>
          <w:rFonts w:ascii="Calibri" w:hAnsi="Calibri"/>
          <w:b/>
          <w:i w:val="0"/>
          <w:color w:val="333333"/>
          <w:sz w:val="21"/>
        </w:rPr>
        <w:t xml:space="preserve">Chipiron  </w:t>
      </w:r>
      <w:r>
        <w:rPr>
          <w:rFonts w:ascii="Calibri" w:hAnsi="Calibri"/>
          <w:b w:val="0"/>
          <w:i w:val="0"/>
          <w:color w:val="333333"/>
          <w:sz w:val="21"/>
        </w:rPr>
        <w:t>als vertrauensbildender Träger und Asset Manager im Hintergrund</w:t>
      </w:r>
    </w:p>
    <w:p>
      <w:pPr>
        <w:pStyle w:val="ListBullet"/>
        <w:spacing w:after="60"/>
      </w:pPr>
      <w:r>
        <w:rPr>
          <w:rFonts w:ascii="Calibri" w:hAnsi="Calibri"/>
          <w:b/>
          <w:i w:val="0"/>
          <w:color w:val="333333"/>
          <w:sz w:val="21"/>
        </w:rPr>
        <w:t xml:space="preserve">FourGive / Tierschutzprojekte  </w:t>
      </w:r>
      <w:r>
        <w:rPr>
          <w:rFonts w:ascii="Calibri" w:hAnsi="Calibri"/>
          <w:b w:val="0"/>
          <w:i w:val="0"/>
          <w:color w:val="333333"/>
          <w:sz w:val="21"/>
        </w:rPr>
        <w:t>als Wirkungs- und Glaubwürdigkeitsebene</w:t>
      </w:r>
    </w:p>
    <w:p>
      <w:pPr>
        <w:spacing w:before="240" w:after="80"/>
      </w:pPr>
      <w:r>
        <w:rPr>
          <w:rFonts w:ascii="Calibri" w:hAnsi="Calibri"/>
          <w:b/>
          <w:i w:val="0"/>
          <w:color w:val="1A1033"/>
          <w:sz w:val="24"/>
        </w:rPr>
        <w:t>Ausgangsdiskrepanzen aus dem Workshop</w:t>
      </w:r>
    </w:p>
    <w:tbl>
      <w:tblPr>
        <w:tblStyle w:val="TableGrid"/>
        <w:tblW w:type="auto" w:w="0"/>
        <w:tblLook w:firstColumn="1" w:firstRow="1" w:lastColumn="0" w:lastRow="0" w:noHBand="0" w:noVBand="1" w:val="04A0"/>
      </w:tblPr>
      <w:tblGrid>
        <w:gridCol w:w="8612"/>
      </w:tblGrid>
      <w:tr>
        <w:tc>
          <w:tcPr>
            <w:tcW w:type="dxa" w:w="8612"/>
            <w:shd w:val="clear" w:color="auto" w:fill="142233"/>
            <w:tcMar>
              <w:top w:w="100" w:type="dxa"/>
              <w:bottom w:w="100" w:type="dxa"/>
              <w:left w:w="140" w:type="dxa"/>
              <w:right w:w="140" w:type="dxa"/>
            </w:tcMar>
          </w:tcPr>
          <w:p>
            <w:r>
              <w:rPr>
                <w:rFonts w:ascii="Calibri" w:hAnsi="Calibri"/>
                <w:b/>
                <w:i w:val="0"/>
                <w:color w:val="A176F4"/>
                <w:sz w:val="17"/>
              </w:rPr>
              <w:t xml:space="preserve">DISKREPANZ 1  </w:t>
            </w:r>
            <w:r>
              <w:rPr>
                <w:rFonts w:ascii="Calibri" w:hAnsi="Calibri"/>
                <w:b w:val="0"/>
                <w:i w:val="0"/>
                <w:color w:val="FFFFFF"/>
                <w:sz w:val="20"/>
              </w:rPr>
              <w:t>Beastly / Chipiron: Rollen logisch erklärbar, aber kommunikativ noch nicht gelöst. «Beastly verkauft die Idee. Chipiron verkauft die Glaubwürdigkeit.»</w:t>
            </w:r>
          </w:p>
        </w:tc>
      </w:tr>
    </w:tbl>
    <w:p>
      <w:pPr>
        <w:spacing w:after="60"/>
      </w:pPr>
    </w:p>
    <w:tbl>
      <w:tblPr>
        <w:tblStyle w:val="TableGrid"/>
        <w:tblW w:type="auto" w:w="0"/>
        <w:tblLook w:firstColumn="1" w:firstRow="1" w:lastColumn="0" w:lastRow="0" w:noHBand="0" w:noVBand="1" w:val="04A0"/>
      </w:tblPr>
      <w:tblGrid>
        <w:gridCol w:w="8612"/>
      </w:tblGrid>
      <w:tr>
        <w:tc>
          <w:tcPr>
            <w:tcW w:type="dxa" w:w="8612"/>
            <w:shd w:val="clear" w:color="auto" w:fill="142233"/>
            <w:tcMar>
              <w:top w:w="100" w:type="dxa"/>
              <w:bottom w:w="100" w:type="dxa"/>
              <w:left w:w="140" w:type="dxa"/>
              <w:right w:w="140" w:type="dxa"/>
            </w:tcMar>
          </w:tcPr>
          <w:p>
            <w:r>
              <w:rPr>
                <w:rFonts w:ascii="Calibri" w:hAnsi="Calibri"/>
                <w:b/>
                <w:i w:val="0"/>
                <w:color w:val="A176F4"/>
                <w:sz w:val="17"/>
              </w:rPr>
              <w:t xml:space="preserve">DISKREPANZ 2  </w:t>
            </w:r>
            <w:r>
              <w:rPr>
                <w:rFonts w:ascii="Calibri" w:hAnsi="Calibri"/>
                <w:b w:val="0"/>
                <w:i w:val="0"/>
                <w:color w:val="FFFFFF"/>
                <w:sz w:val="20"/>
              </w:rPr>
              <w:t>«Non-Profit» ist gefährlich missverständlich. Menschen denken sofort an Spende, Charity oder Renditeverzicht — das exakte Gegenteil des gewünschten Eindrucks.</w:t>
            </w:r>
          </w:p>
        </w:tc>
      </w:tr>
    </w:tbl>
    <w:p>
      <w:pPr>
        <w:spacing w:after="60"/>
      </w:pPr>
    </w:p>
    <w:tbl>
      <w:tblPr>
        <w:tblStyle w:val="TableGrid"/>
        <w:tblW w:type="auto" w:w="0"/>
        <w:tblLook w:firstColumn="1" w:firstRow="1" w:lastColumn="0" w:lastRow="0" w:noHBand="0" w:noVBand="1" w:val="04A0"/>
      </w:tblPr>
      <w:tblGrid>
        <w:gridCol w:w="8612"/>
      </w:tblGrid>
      <w:tr>
        <w:tc>
          <w:tcPr>
            <w:tcW w:type="dxa" w:w="8612"/>
            <w:shd w:val="clear" w:color="auto" w:fill="142233"/>
            <w:tcMar>
              <w:top w:w="100" w:type="dxa"/>
              <w:bottom w:w="100" w:type="dxa"/>
              <w:left w:w="140" w:type="dxa"/>
              <w:right w:w="140" w:type="dxa"/>
            </w:tcMar>
          </w:tcPr>
          <w:p>
            <w:r>
              <w:rPr>
                <w:rFonts w:ascii="Calibri" w:hAnsi="Calibri"/>
                <w:b/>
                <w:i w:val="0"/>
                <w:color w:val="A176F4"/>
                <w:sz w:val="17"/>
              </w:rPr>
              <w:t xml:space="preserve">DISKREPANZ 3  </w:t>
            </w:r>
            <w:r>
              <w:rPr>
                <w:rFonts w:ascii="Calibri" w:hAnsi="Calibri"/>
                <w:b w:val="0"/>
                <w:i w:val="0"/>
                <w:color w:val="FFFFFF"/>
                <w:sz w:val="20"/>
              </w:rPr>
              <w:t>Haltung ohne Aktivismus: Sie wollen nicht aktivistisch wirken, brauchen aber trotzdem eine klare Haltung. Eine feine, aber entscheidende Linie.</w:t>
            </w:r>
          </w:p>
        </w:tc>
      </w:tr>
    </w:tbl>
    <w:p>
      <w:pPr>
        <w:spacing w:after="60"/>
      </w:pPr>
    </w:p>
    <w:tbl>
      <w:tblPr>
        <w:tblStyle w:val="TableGrid"/>
        <w:tblW w:type="auto" w:w="0"/>
        <w:tblLook w:firstColumn="1" w:firstRow="1" w:lastColumn="0" w:lastRow="0" w:noHBand="0" w:noVBand="1" w:val="04A0"/>
      </w:tblPr>
      <w:tblGrid>
        <w:gridCol w:w="8612"/>
      </w:tblGrid>
      <w:tr>
        <w:tc>
          <w:tcPr>
            <w:tcW w:type="dxa" w:w="8612"/>
            <w:shd w:val="clear" w:color="auto" w:fill="142233"/>
            <w:tcMar>
              <w:top w:w="100" w:type="dxa"/>
              <w:bottom w:w="100" w:type="dxa"/>
              <w:left w:w="140" w:type="dxa"/>
              <w:right w:w="140" w:type="dxa"/>
            </w:tcMar>
          </w:tcPr>
          <w:p>
            <w:r>
              <w:rPr>
                <w:rFonts w:ascii="Calibri" w:hAnsi="Calibri"/>
                <w:b/>
                <w:i w:val="0"/>
                <w:color w:val="A176F4"/>
                <w:sz w:val="17"/>
              </w:rPr>
              <w:t xml:space="preserve">DISKREPANZ 4  </w:t>
            </w:r>
            <w:r>
              <w:rPr>
                <w:rFonts w:ascii="Calibri" w:hAnsi="Calibri"/>
                <w:b w:val="0"/>
                <w:i w:val="0"/>
                <w:color w:val="FFFFFF"/>
                <w:sz w:val="20"/>
              </w:rPr>
              <w:t>Die Gründerstory ist stark, aber noch zu wenig sichtbar. Ohne Viktor &amp; Lydia als menschliche Träger bleibt Beastly abstrakt.</w:t>
            </w:r>
          </w:p>
        </w:tc>
      </w:tr>
    </w:tbl>
    <w:p>
      <w:pPr>
        <w:spacing w:after="60"/>
      </w:pPr>
    </w:p>
    <w:tbl>
      <w:tblPr>
        <w:tblStyle w:val="TableGrid"/>
        <w:tblW w:type="auto" w:w="0"/>
        <w:tblLook w:firstColumn="1" w:firstRow="1" w:lastColumn="0" w:lastRow="0" w:noHBand="0" w:noVBand="1" w:val="04A0"/>
      </w:tblPr>
      <w:tblGrid>
        <w:gridCol w:w="8612"/>
      </w:tblGrid>
      <w:tr>
        <w:tc>
          <w:tcPr>
            <w:tcW w:type="dxa" w:w="8612"/>
            <w:shd w:val="clear" w:color="auto" w:fill="142233"/>
            <w:tcMar>
              <w:top w:w="100" w:type="dxa"/>
              <w:bottom w:w="100" w:type="dxa"/>
              <w:left w:w="140" w:type="dxa"/>
              <w:right w:w="140" w:type="dxa"/>
            </w:tcMar>
          </w:tcPr>
          <w:p>
            <w:r>
              <w:rPr>
                <w:rFonts w:ascii="Calibri" w:hAnsi="Calibri"/>
                <w:b/>
                <w:i w:val="0"/>
                <w:color w:val="A176F4"/>
                <w:sz w:val="17"/>
              </w:rPr>
              <w:t xml:space="preserve">DISKREPANZ 5  </w:t>
            </w:r>
            <w:r>
              <w:rPr>
                <w:rFonts w:ascii="Calibri" w:hAnsi="Calibri"/>
                <w:b w:val="0"/>
                <w:i w:val="0"/>
                <w:color w:val="FFFFFF"/>
                <w:sz w:val="20"/>
              </w:rPr>
              <w:t>Kommunikationsambition deutlich grösser als interne Kapazität. Die Marketingverantwortliche arbeitet 40% — zu wenig für Branding, Website, LinkedIn, Events, PR, Sales-Materialien und Storytelling.</w:t>
            </w:r>
          </w:p>
        </w:tc>
      </w:tr>
    </w:tbl>
    <w:p>
      <w:pPr>
        <w:spacing w:after="60"/>
      </w:pPr>
    </w:p>
    <w:p>
      <w:pPr>
        <w:spacing w:before="120" w:after="120"/>
        <w:pBdr>
          <w:bottom w:val="single" w:sz="4" w:space="1" w:color="a176f4"/>
        </w:pBdr>
      </w:pPr>
    </w:p>
    <w:p>
      <w:pPr>
        <w:spacing w:before="360" w:after="120"/>
      </w:pPr>
      <w:r>
        <w:rPr>
          <w:rFonts w:ascii="Calibri" w:hAnsi="Calibri"/>
          <w:b/>
          <w:i w:val="0"/>
          <w:color w:val="4B319B"/>
          <w:sz w:val="32"/>
        </w:rPr>
        <w:t>2.  Strategische Positionierung</w:t>
      </w:r>
    </w:p>
    <w:p>
      <w:pPr>
        <w:spacing w:before="240" w:after="80"/>
      </w:pPr>
      <w:r>
        <w:rPr>
          <w:rFonts w:ascii="Calibri" w:hAnsi="Calibri"/>
          <w:b/>
          <w:i w:val="0"/>
          <w:color w:val="1A1033"/>
          <w:sz w:val="24"/>
        </w:rPr>
        <w:t>2.1  Beastly führt — Chipiron bleibt diskret</w:t>
      </w:r>
    </w:p>
    <w:p>
      <w:pPr>
        <w:spacing w:after="140"/>
      </w:pPr>
      <w:r>
        <w:rPr>
          <w:rFonts w:ascii="Calibri" w:hAnsi="Calibri"/>
          <w:b w:val="0"/>
          <w:i w:val="0"/>
          <w:color w:val="333333"/>
          <w:sz w:val="21"/>
        </w:rPr>
        <w:t>Beastly war immer der emotionale Ausgangspunkt. Chipiron entstand, weil kein passender Asset Manager die Philosophie verstand. Das bedeutet: Chipiron ist strukturelle Notwendigkeit und Glaubwürdigkeitsträger — nicht die emotionale Bühne. Beastly führt eigenständig, Chipiron erscheint optisch am Rande. Diese Entscheidung ist keine Kosmetik, sondern fundamentale Markenarchitektur.</w:t>
      </w:r>
    </w:p>
    <w:p>
      <w:pPr>
        <w:spacing w:before="240" w:after="80"/>
      </w:pPr>
      <w:r>
        <w:rPr>
          <w:rFonts w:ascii="Calibri" w:hAnsi="Calibri"/>
          <w:b/>
          <w:i w:val="0"/>
          <w:color w:val="1A1033"/>
          <w:sz w:val="24"/>
        </w:rPr>
        <w:t>2.2  «Non-Profit» wird erklärt, nicht vermieden</w:t>
      </w:r>
    </w:p>
    <w:p>
      <w:pPr>
        <w:spacing w:after="140"/>
      </w:pPr>
      <w:r>
        <w:rPr>
          <w:rFonts w:ascii="Calibri" w:hAnsi="Calibri"/>
          <w:b w:val="0"/>
          <w:i w:val="0"/>
          <w:color w:val="333333"/>
          <w:sz w:val="21"/>
        </w:rPr>
        <w:t>«Non-Profit Asset Manager» als einfache Selbstbeschreibung ist kommunikativ gefährlich. Die Lösung ist nicht, den Begriff zu meiden, sondern ihn zu erklären:</w:t>
      </w:r>
    </w:p>
    <w:tbl>
      <w:tblPr>
        <w:tblStyle w:val="TableGrid"/>
        <w:tblW w:type="auto" w:w="0"/>
        <w:tblLook w:firstColumn="1" w:firstRow="1" w:lastColumn="0" w:lastRow="0" w:noHBand="0" w:noVBand="1" w:val="04A0"/>
      </w:tblPr>
      <w:tblGrid>
        <w:gridCol w:w="8612"/>
      </w:tblGrid>
      <w:tr>
        <w:tc>
          <w:tcPr>
            <w:tcW w:type="dxa" w:w="8612"/>
            <w:shd w:val="clear" w:color="auto" w:fill="F0EBF8"/>
            <w:tcMar>
              <w:top w:w="120" w:type="dxa"/>
              <w:bottom w:w="120" w:type="dxa"/>
              <w:left w:w="160" w:type="dxa"/>
              <w:right w:w="160" w:type="dxa"/>
            </w:tcMar>
          </w:tcPr>
          <w:p>
            <w:r>
              <w:rPr>
                <w:rFonts w:ascii="Calibri" w:hAnsi="Calibri"/>
                <w:b w:val="0"/>
                <w:i/>
                <w:color w:val="1A1033"/>
                <w:sz w:val="22"/>
              </w:rPr>
              <w:t>«Rendite für Investoren. Wirkung für Tiere. Keine Gewinnausschüttung an Eigentümer.»</w:t>
            </w:r>
          </w:p>
          <w:p>
            <w:r>
              <w:rPr>
                <w:rFonts w:ascii="Calibri" w:hAnsi="Calibri"/>
                <w:b w:val="0"/>
                <w:i w:val="0"/>
                <w:color w:val="555555"/>
                <w:sz w:val="18"/>
              </w:rPr>
              <w:t>— Kernversprechen Beastly Investments</w:t>
            </w:r>
          </w:p>
        </w:tc>
      </w:tr>
    </w:tbl>
    <w:p>
      <w:pPr>
        <w:spacing w:after="80"/>
      </w:pPr>
    </w:p>
    <w:p>
      <w:pPr>
        <w:spacing w:before="240" w:after="80"/>
      </w:pPr>
      <w:r>
        <w:rPr>
          <w:rFonts w:ascii="Calibri" w:hAnsi="Calibri"/>
          <w:b/>
          <w:i w:val="0"/>
          <w:color w:val="1A1033"/>
          <w:sz w:val="24"/>
        </w:rPr>
        <w:t>2.3  Haltung ohne Aktivismus</w:t>
      </w:r>
    </w:p>
    <w:p>
      <w:pPr>
        <w:spacing w:after="140"/>
      </w:pPr>
      <w:r>
        <w:rPr>
          <w:rFonts w:ascii="Calibri" w:hAnsi="Calibri"/>
          <w:b w:val="0"/>
          <w:i w:val="0"/>
          <w:color w:val="333333"/>
          <w:sz w:val="21"/>
        </w:rPr>
        <w:t>Das Produkt ist objektiv eine Provokation für den Finanzmarkt: Tierschutz fehlt im ESG-Bereich praktisch. Gleichzeitig grenzen sich Viktor und Lydia klar ab von Aktivismus. Zu brav = Kraft verloren. Zu moralisch = widerspricht dem Selbstbild.</w:t>
      </w:r>
    </w:p>
    <w:p>
      <w:pPr>
        <w:pStyle w:val="ListBullet"/>
        <w:spacing w:after="60"/>
      </w:pPr>
      <w:r>
        <w:rPr>
          <w:rFonts w:ascii="Calibri" w:hAnsi="Calibri"/>
          <w:b w:val="0"/>
          <w:i w:val="0"/>
          <w:color w:val="333333"/>
          <w:sz w:val="21"/>
        </w:rPr>
        <w:t>konsequent, aber nicht belehrend</w:t>
      </w:r>
    </w:p>
    <w:p>
      <w:pPr>
        <w:pStyle w:val="ListBullet"/>
        <w:spacing w:after="60"/>
      </w:pPr>
      <w:r>
        <w:rPr>
          <w:rFonts w:ascii="Calibri" w:hAnsi="Calibri"/>
          <w:b w:val="0"/>
          <w:i w:val="0"/>
          <w:color w:val="333333"/>
          <w:sz w:val="21"/>
        </w:rPr>
        <w:t>mutig, aber nicht laut</w:t>
      </w:r>
    </w:p>
    <w:p>
      <w:pPr>
        <w:pStyle w:val="ListBullet"/>
        <w:spacing w:after="60"/>
      </w:pPr>
      <w:r>
        <w:rPr>
          <w:rFonts w:ascii="Calibri" w:hAnsi="Calibri"/>
          <w:b w:val="0"/>
          <w:i w:val="0"/>
          <w:color w:val="333333"/>
          <w:sz w:val="21"/>
        </w:rPr>
        <w:t>wertebasiert, aber nicht moralisch überheblich</w:t>
      </w:r>
    </w:p>
    <w:p>
      <w:pPr>
        <w:pStyle w:val="ListBullet"/>
        <w:spacing w:after="60"/>
      </w:pPr>
      <w:r>
        <w:rPr>
          <w:rFonts w:ascii="Calibri" w:hAnsi="Calibri"/>
          <w:b w:val="0"/>
          <w:i w:val="0"/>
          <w:color w:val="333333"/>
          <w:sz w:val="21"/>
        </w:rPr>
        <w:t>anders, aber professionell investierbar</w:t>
      </w:r>
    </w:p>
    <w:p>
      <w:pPr>
        <w:spacing w:before="120" w:after="120"/>
        <w:pBdr>
          <w:bottom w:val="single" w:sz="4" w:space="1" w:color="a176f4"/>
        </w:pBdr>
      </w:pPr>
    </w:p>
    <w:p>
      <w:pPr>
        <w:spacing w:before="360" w:after="120"/>
      </w:pPr>
      <w:r>
        <w:rPr>
          <w:rFonts w:ascii="Calibri" w:hAnsi="Calibri"/>
          <w:b/>
          <w:i w:val="0"/>
          <w:color w:val="4B319B"/>
          <w:sz w:val="32"/>
        </w:rPr>
        <w:t>3.  Die Zielgruppen</w:t>
      </w:r>
    </w:p>
    <w:tbl>
      <w:tblPr>
        <w:tblStyle w:val="TableGrid"/>
        <w:tblW w:type="auto" w:w="0"/>
        <w:tblLook w:firstColumn="1" w:firstRow="1" w:lastColumn="0" w:lastRow="0" w:noHBand="0" w:noVBand="1" w:val="04A0"/>
      </w:tblPr>
      <w:tblGrid>
        <w:gridCol w:w="8612"/>
      </w:tblGrid>
      <w:tr>
        <w:tc>
          <w:tcPr>
            <w:tcW w:type="dxa" w:w="8612"/>
            <w:shd w:val="clear" w:color="auto" w:fill="F0EBF8"/>
            <w:tcMar>
              <w:top w:w="120" w:type="dxa"/>
              <w:bottom w:w="120" w:type="dxa"/>
              <w:left w:w="160" w:type="dxa"/>
              <w:right w:w="160" w:type="dxa"/>
            </w:tcMar>
          </w:tcPr>
          <w:p>
            <w:r>
              <w:rPr>
                <w:rFonts w:ascii="Calibri" w:hAnsi="Calibri"/>
                <w:b w:val="0"/>
                <w:i/>
                <w:color w:val="1A1033"/>
                <w:sz w:val="22"/>
              </w:rPr>
              <w:t>«Nicht Retail = Herz / Institutionell = Kopf. Sondern: Beide brauchen Herz. Aber Institutionelle brauchen zusätzlich mehr Beweisführung.»</w:t>
            </w:r>
          </w:p>
          <w:p>
            <w:r>
              <w:rPr>
                <w:rFonts w:ascii="Calibri" w:hAnsi="Calibri"/>
                <w:b w:val="0"/>
                <w:i w:val="0"/>
                <w:color w:val="555555"/>
                <w:sz w:val="18"/>
              </w:rPr>
              <w:t>— Gedanken aus dem Workshop</w:t>
            </w:r>
          </w:p>
        </w:tc>
      </w:tr>
    </w:tbl>
    <w:p>
      <w:pPr>
        <w:spacing w:after="80"/>
      </w:pPr>
    </w:p>
    <w:p>
      <w:pPr>
        <w:spacing w:before="240" w:after="80"/>
      </w:pPr>
      <w:r>
        <w:rPr>
          <w:rFonts w:ascii="Calibri" w:hAnsi="Calibri"/>
          <w:b/>
          <w:i w:val="0"/>
          <w:color w:val="1A1033"/>
          <w:sz w:val="24"/>
        </w:rPr>
        <w:t>Retail-Investoren (ab CHF 50)</w:t>
      </w:r>
    </w:p>
    <w:p>
      <w:pPr>
        <w:pStyle w:val="ListBullet"/>
        <w:spacing w:after="60"/>
      </w:pPr>
      <w:r>
        <w:rPr>
          <w:rFonts w:ascii="Calibri" w:hAnsi="Calibri"/>
          <w:b w:val="0"/>
          <w:i w:val="0"/>
          <w:color w:val="333333"/>
          <w:sz w:val="21"/>
        </w:rPr>
        <w:t>Emotionaler Einstieg, verständliche Erklärung, tiefe Einstiegshürde</w:t>
      </w:r>
    </w:p>
    <w:p>
      <w:pPr>
        <w:pStyle w:val="ListBullet"/>
        <w:spacing w:after="60"/>
      </w:pPr>
      <w:r>
        <w:rPr>
          <w:rFonts w:ascii="Calibri" w:hAnsi="Calibri"/>
          <w:b w:val="0"/>
          <w:i w:val="0"/>
          <w:color w:val="333333"/>
          <w:sz w:val="21"/>
        </w:rPr>
        <w:t>Motivation: Tierwohl, positive Wirkung, Identifikation</w:t>
      </w:r>
    </w:p>
    <w:p>
      <w:pPr>
        <w:pStyle w:val="ListBullet"/>
        <w:spacing w:after="60"/>
      </w:pPr>
      <w:r>
        <w:rPr>
          <w:rFonts w:ascii="Calibri" w:hAnsi="Calibri"/>
          <w:b w:val="0"/>
          <w:i w:val="0"/>
          <w:color w:val="333333"/>
          <w:sz w:val="21"/>
        </w:rPr>
        <w:t>Vertrauen über Menschen und Geschichten</w:t>
      </w:r>
    </w:p>
    <w:p>
      <w:pPr>
        <w:spacing w:before="240" w:after="80"/>
      </w:pPr>
      <w:r>
        <w:rPr>
          <w:rFonts w:ascii="Calibri" w:hAnsi="Calibri"/>
          <w:b/>
          <w:i w:val="0"/>
          <w:color w:val="1A1033"/>
          <w:sz w:val="24"/>
        </w:rPr>
        <w:t>Professionelle Investoren</w:t>
      </w:r>
    </w:p>
    <w:p>
      <w:pPr>
        <w:pStyle w:val="ListBullet"/>
        <w:spacing w:after="60"/>
      </w:pPr>
      <w:r>
        <w:rPr>
          <w:rFonts w:ascii="Calibri" w:hAnsi="Calibri"/>
          <w:b w:val="0"/>
          <w:i w:val="0"/>
          <w:color w:val="333333"/>
          <w:sz w:val="21"/>
        </w:rPr>
        <w:t>Gleiche emotionale Grundmotivation — aber stärkere Prüfung nötig</w:t>
      </w:r>
    </w:p>
    <w:p>
      <w:pPr>
        <w:pStyle w:val="ListBullet"/>
        <w:spacing w:after="60"/>
      </w:pPr>
      <w:r>
        <w:rPr>
          <w:rFonts w:ascii="Calibri" w:hAnsi="Calibri"/>
          <w:b w:val="0"/>
          <w:i w:val="0"/>
          <w:color w:val="333333"/>
          <w:sz w:val="21"/>
        </w:rPr>
        <w:t>Brauchen: Struktur, Risiko, Track Record, Governance, regulatorische Sicherheit, Reporting</w:t>
      </w:r>
    </w:p>
    <w:p>
      <w:pPr>
        <w:pStyle w:val="ListBullet"/>
        <w:spacing w:after="60"/>
      </w:pPr>
      <w:r>
        <w:rPr>
          <w:rFonts w:ascii="Calibri" w:hAnsi="Calibri"/>
          <w:b w:val="0"/>
          <w:i w:val="0"/>
          <w:color w:val="333333"/>
          <w:sz w:val="21"/>
        </w:rPr>
        <w:t>Entscheidung dauert länger, braucht mehr Berührungspunkte</w:t>
      </w:r>
    </w:p>
    <w:p>
      <w:pPr>
        <w:spacing w:after="140"/>
      </w:pPr>
      <w:r>
        <w:rPr>
          <w:rFonts w:ascii="Calibri" w:hAnsi="Calibri"/>
          <w:b w:val="0"/>
          <w:i/>
          <w:color w:val="333333"/>
          <w:sz w:val="21"/>
        </w:rPr>
        <w:t>Für beide gilt dieselbe Entscheidungslogik: Emotion → Vertrauen → Performance → Investmententscheidung.</w:t>
      </w:r>
    </w:p>
    <w:p>
      <w:pPr>
        <w:spacing w:before="120" w:after="120"/>
        <w:pBdr>
          <w:bottom w:val="single" w:sz="4" w:space="1" w:color="a176f4"/>
        </w:pBdr>
      </w:pPr>
    </w:p>
    <w:p>
      <w:pPr>
        <w:spacing w:before="360" w:after="120"/>
      </w:pPr>
      <w:r>
        <w:rPr>
          <w:rFonts w:ascii="Calibri" w:hAnsi="Calibri"/>
          <w:b/>
          <w:i w:val="0"/>
          <w:color w:val="4B319B"/>
          <w:sz w:val="32"/>
        </w:rPr>
        <w:t>4.  Strategischer Rahmen — Warum machen wir das so?</w:t>
      </w:r>
    </w:p>
    <w:p>
      <w:pPr>
        <w:spacing w:before="240" w:after="80"/>
      </w:pPr>
      <w:r>
        <w:rPr>
          <w:rFonts w:ascii="Calibri" w:hAnsi="Calibri"/>
          <w:b/>
          <w:i w:val="0"/>
          <w:color w:val="1A1033"/>
          <w:sz w:val="24"/>
        </w:rPr>
        <w:t>Warum personenzentriert?</w:t>
      </w:r>
    </w:p>
    <w:p>
      <w:pPr>
        <w:spacing w:after="140"/>
      </w:pPr>
      <w:r>
        <w:rPr>
          <w:rFonts w:ascii="Calibri" w:hAnsi="Calibri"/>
          <w:b w:val="0"/>
          <w:i w:val="0"/>
          <w:color w:val="333333"/>
          <w:sz w:val="21"/>
        </w:rPr>
        <w:t>«Vertrauen entsteht über Menschen, Bilder, Momente und Nahbarkeit.» Geld + Tierschutz + neuartiges Produkt ist eine aussergewöhnlich hohe Vertrauenshürde. Ohne Viktor und Lydia als menschliche Träger wird Beastly zu abstrakt — ein Fonds ohne Gesicht, eine Idee ohne Verwurzelung.</w:t>
      </w:r>
    </w:p>
    <w:p>
      <w:pPr>
        <w:spacing w:before="240" w:after="80"/>
      </w:pPr>
      <w:r>
        <w:rPr>
          <w:rFonts w:ascii="Calibri" w:hAnsi="Calibri"/>
          <w:b/>
          <w:i w:val="0"/>
          <w:color w:val="1A1033"/>
          <w:sz w:val="24"/>
        </w:rPr>
        <w:t>Warum radikale Transparenz als Stärke?</w:t>
      </w:r>
    </w:p>
    <w:p>
      <w:pPr>
        <w:spacing w:after="140"/>
      </w:pPr>
      <w:r>
        <w:rPr>
          <w:rFonts w:ascii="Calibri" w:hAnsi="Calibri"/>
          <w:b w:val="0"/>
          <w:i w:val="0"/>
          <w:color w:val="333333"/>
          <w:sz w:val="21"/>
        </w:rPr>
        <w:t>Beastly hat etwas, das kein anderer Asset Manager hat: gecappte Löhne, kein Bonus-System, öffentlich ausgewiesene Vergütungen, sämtliche Gewinne in Tierschutzprojekte. Diese Fakten sind kommunikativ Gold — aber nur wenn sie direkt sichtbar sind, nicht im Kleingedruckten. Transparenz ist hier kein ethisches Gebot, sondern ein Differenzierungshebel.</w:t>
      </w:r>
    </w:p>
    <w:p>
      <w:pPr>
        <w:spacing w:before="240" w:after="80"/>
      </w:pPr>
      <w:r>
        <w:rPr>
          <w:rFonts w:ascii="Calibri" w:hAnsi="Calibri"/>
          <w:b/>
          <w:i w:val="0"/>
          <w:color w:val="1A1033"/>
          <w:sz w:val="24"/>
        </w:rPr>
        <w:t>Warum dosieren statt alles auf einmal?</w:t>
      </w:r>
    </w:p>
    <w:tbl>
      <w:tblPr>
        <w:tblStyle w:val="TableGrid"/>
        <w:tblW w:type="auto" w:w="0"/>
        <w:tblLook w:firstColumn="1" w:firstRow="1" w:lastColumn="0" w:lastRow="0" w:noHBand="0" w:noVBand="1" w:val="04A0"/>
      </w:tblPr>
      <w:tblGrid>
        <w:gridCol w:w="8612"/>
      </w:tblGrid>
      <w:tr>
        <w:tc>
          <w:tcPr>
            <w:tcW w:type="dxa" w:w="8612"/>
            <w:shd w:val="clear" w:color="auto" w:fill="F0EBF8"/>
            <w:tcMar>
              <w:top w:w="120" w:type="dxa"/>
              <w:bottom w:w="120" w:type="dxa"/>
              <w:left w:w="160" w:type="dxa"/>
              <w:right w:w="160" w:type="dxa"/>
            </w:tcMar>
          </w:tcPr>
          <w:p>
            <w:r>
              <w:rPr>
                <w:rFonts w:ascii="Calibri" w:hAnsi="Calibri"/>
                <w:b w:val="0"/>
                <w:i/>
                <w:color w:val="1A1033"/>
                <w:sz w:val="22"/>
              </w:rPr>
              <w:t>«Die Herausforderung wird nicht sein, genug zu sagen. Die Herausforderung wird sein, zum richtigen Zeitpunkt das Richtige zu sagen.»</w:t>
            </w:r>
          </w:p>
          <w:p>
            <w:r>
              <w:rPr>
                <w:rFonts w:ascii="Calibri" w:hAnsi="Calibri"/>
                <w:b w:val="0"/>
                <w:i w:val="0"/>
                <w:color w:val="555555"/>
                <w:sz w:val="18"/>
              </w:rPr>
              <w:t>— Gedanken aus dem Workshop</w:t>
            </w:r>
          </w:p>
        </w:tc>
      </w:tr>
    </w:tbl>
    <w:p>
      <w:pPr>
        <w:spacing w:after="80"/>
      </w:pPr>
    </w:p>
    <w:p>
      <w:pPr>
        <w:spacing w:after="140"/>
      </w:pPr>
      <w:r>
        <w:rPr>
          <w:rFonts w:ascii="Calibri" w:hAnsi="Calibri"/>
          <w:b w:val="0"/>
          <w:i w:val="0"/>
          <w:color w:val="333333"/>
          <w:sz w:val="21"/>
        </w:rPr>
        <w:t>Das Produkt ist komplex: AMC, Non-Profit-Logik, Management Fees, Tierschutzprojekte, Chipiron, Beastly, FourGive, KI-Screening, Retail und institutionelle Investoren. Wer das alles von Anfang an erklären will, verliert Menschen. Deshalb folgt die Kommunikation einem gestuften Funnel-Prinzip.</w:t>
      </w:r>
    </w:p>
    <w:p>
      <w:pPr>
        <w:spacing w:before="240" w:after="80"/>
      </w:pPr>
      <w:r>
        <w:rPr>
          <w:rFonts w:ascii="Calibri" w:hAnsi="Calibri"/>
          <w:b/>
          <w:i w:val="0"/>
          <w:color w:val="1A1033"/>
          <w:sz w:val="24"/>
        </w:rPr>
        <w:t>Warum zwei Bildwelten?</w:t>
      </w:r>
    </w:p>
    <w:p>
      <w:pPr>
        <w:pStyle w:val="ListBullet"/>
        <w:spacing w:after="60"/>
      </w:pPr>
      <w:r>
        <w:rPr>
          <w:rFonts w:ascii="Calibri" w:hAnsi="Calibri"/>
          <w:b/>
          <w:i w:val="0"/>
          <w:color w:val="333333"/>
          <w:sz w:val="21"/>
        </w:rPr>
        <w:t xml:space="preserve">Starke Tiere / Raubtier-Codes  →  </w:t>
      </w:r>
      <w:r>
        <w:rPr>
          <w:rFonts w:ascii="Calibri" w:hAnsi="Calibri"/>
          <w:b w:val="0"/>
          <w:i w:val="0"/>
          <w:color w:val="333333"/>
          <w:sz w:val="21"/>
        </w:rPr>
        <w:t>Strategie, Investment, Schutzinstinkt, Analyse, Kontrolle</w:t>
      </w:r>
    </w:p>
    <w:p>
      <w:pPr>
        <w:pStyle w:val="ListBullet"/>
        <w:spacing w:after="60"/>
      </w:pPr>
      <w:r>
        <w:rPr>
          <w:rFonts w:ascii="Calibri" w:hAnsi="Calibri"/>
          <w:b/>
          <w:i w:val="0"/>
          <w:color w:val="333333"/>
          <w:sz w:val="21"/>
        </w:rPr>
        <w:t xml:space="preserve">Schützenswerte Tiere / reale Geschichten  →  </w:t>
      </w:r>
      <w:r>
        <w:rPr>
          <w:rFonts w:ascii="Calibri" w:hAnsi="Calibri"/>
          <w:b w:val="0"/>
          <w:i w:val="0"/>
          <w:color w:val="333333"/>
          <w:sz w:val="21"/>
        </w:rPr>
        <w:t>Wirkung, Projekte, Emotion, Vertrauen, Sinn</w:t>
      </w:r>
    </w:p>
    <w:p>
      <w:pPr>
        <w:spacing w:after="140"/>
      </w:pPr>
      <w:r>
        <w:rPr>
          <w:rFonts w:ascii="Calibri" w:hAnsi="Calibri"/>
          <w:b w:val="0"/>
          <w:i w:val="0"/>
          <w:color w:val="333333"/>
          <w:sz w:val="21"/>
        </w:rPr>
        <w:t>Beide Welten werden immer zusammen kommuniziert — nie isoliert. Das verbindet die Investment- mit der Wirkungsebene.</w:t>
      </w:r>
    </w:p>
    <w:p>
      <w:pPr>
        <w:spacing w:before="120" w:after="120"/>
        <w:pBdr>
          <w:bottom w:val="single" w:sz="4" w:space="1" w:color="a176f4"/>
        </w:pBdr>
      </w:pPr>
    </w:p>
    <w:p>
      <w:r>
        <w:br w:type="page"/>
      </w:r>
    </w:p>
    <w:p>
      <w:pPr>
        <w:spacing w:before="360" w:after="120"/>
      </w:pPr>
      <w:r>
        <w:rPr>
          <w:rFonts w:ascii="Calibri" w:hAnsi="Calibri"/>
          <w:b/>
          <w:i w:val="0"/>
          <w:color w:val="4B319B"/>
          <w:sz w:val="32"/>
        </w:rPr>
        <w:t>5.  Der Kommunikationsfunnel — Logikdiagramm</w:t>
      </w:r>
    </w:p>
    <w:p>
      <w:pPr>
        <w:spacing w:after="140"/>
      </w:pPr>
      <w:r>
        <w:rPr>
          <w:rFonts w:ascii="Calibri" w:hAnsi="Calibri"/>
          <w:b w:val="0"/>
          <w:i w:val="0"/>
          <w:color w:val="333333"/>
          <w:sz w:val="21"/>
        </w:rPr>
        <w:t>Das Diagramm zeigt, wie eine Person schrittweise von der ersten Berührung mit Beastly zur Investmententscheidung geführt wird. Jede Stufe hat aktive Kanäle, spezifische Berührungspunkte und eine Entscheidungssituation: Wer nicht weiter engagiert wird, bleibt in der Orbit der Kommunikation (Re-Engage). Wer weiter geht, tritt in die nächste Stufe ein.</w:t>
      </w:r>
    </w:p>
    <w:p>
      <w:pPr>
        <w:spacing w:after="120"/>
      </w:pPr>
    </w:p>
    <w:tbl>
      <w:tblPr>
        <w:tblStyle w:val="TableGrid"/>
        <w:tblW w:type="auto" w:w="0"/>
        <w:tblLook w:firstColumn="1" w:firstRow="1" w:lastColumn="0" w:lastRow="0" w:noHBand="0" w:noVBand="1" w:val="04A0"/>
      </w:tblPr>
      <w:tblGrid>
        <w:gridCol w:w="4306"/>
        <w:gridCol w:w="4306"/>
      </w:tblGrid>
      <w:tr>
        <w:tc>
          <w:tcPr>
            <w:tcW w:type="dxa" w:w="648"/>
            <w:shd w:val="clear" w:color="auto" w:fill="142233"/>
            <w:tcMar>
              <w:top w:w="80" w:type="dxa"/>
              <w:bottom w:w="80" w:type="dxa"/>
              <w:left w:w="120" w:type="dxa"/>
              <w:right w:w="60" w:type="dxa"/>
            </w:tcMar>
          </w:tcPr>
          <w:p>
            <w:pPr>
              <w:jc w:val="center"/>
            </w:pPr>
            <w:r>
              <w:rPr>
                <w:rFonts w:ascii="Calibri" w:hAnsi="Calibri"/>
                <w:b/>
                <w:i w:val="0"/>
                <w:color w:val="FFFFFF"/>
                <w:sz w:val="36"/>
              </w:rPr>
              <w:t>01</w:t>
            </w:r>
          </w:p>
        </w:tc>
        <w:tc>
          <w:tcPr>
            <w:tcW w:type="dxa" w:w="4306"/>
            <w:shd w:val="clear" w:color="auto" w:fill="142233"/>
            <w:tcMar>
              <w:top w:w="80" w:type="dxa"/>
              <w:bottom w:w="80" w:type="dxa"/>
              <w:left w:w="100" w:type="dxa"/>
              <w:right w:w="100" w:type="dxa"/>
            </w:tcMar>
          </w:tcPr>
          <w:p>
            <w:r>
              <w:rPr>
                <w:rFonts w:ascii="Calibri" w:hAnsi="Calibri"/>
                <w:b/>
                <w:i w:val="0"/>
                <w:color w:val="FFFFFF"/>
                <w:sz w:val="24"/>
              </w:rPr>
              <w:t>AUFMERKSAMKEIT</w:t>
            </w:r>
          </w:p>
        </w:tc>
      </w:tr>
    </w:tbl>
    <w:tbl>
      <w:tblPr>
        <w:tblStyle w:val="TableGrid"/>
        <w:tblW w:type="auto" w:w="0"/>
        <w:tblLook w:firstColumn="1" w:firstRow="1" w:lastColumn="0" w:lastRow="0" w:noHBand="0" w:noVBand="1" w:val="04A0"/>
      </w:tblPr>
      <w:tblGrid>
        <w:gridCol w:w="4306"/>
        <w:gridCol w:w="4306"/>
      </w:tblGrid>
      <w:tr>
        <w:tc>
          <w:tcPr>
            <w:tcW w:type="dxa" w:w="4306"/>
            <w:shd w:val="clear" w:color="auto" w:fill="F5F3FF"/>
            <w:tcMar>
              <w:top w:w="90" w:type="dxa"/>
              <w:bottom w:w="90" w:type="dxa"/>
              <w:left w:w="100" w:type="dxa"/>
              <w:right w:w="100" w:type="dxa"/>
            </w:tcMar>
          </w:tcPr>
          <w:p>
            <w:r>
              <w:rPr>
                <w:rFonts w:ascii="Calibri" w:hAnsi="Calibri"/>
                <w:b/>
                <w:i w:val="0"/>
                <w:color w:val="4B319B"/>
                <w:sz w:val="16"/>
              </w:rPr>
              <w:t>AKTIVE KANÄLE</w:t>
            </w:r>
          </w:p>
          <w:p>
            <w:r>
              <w:rPr>
                <w:rFonts w:ascii="Calibri" w:hAnsi="Calibri"/>
                <w:b w:val="0"/>
                <w:i w:val="0"/>
                <w:color w:val="333333"/>
                <w:sz w:val="18"/>
              </w:rPr>
              <w:t>→  Viktor Ackermann LinkedIn (persönliches Profil)</w:t>
            </w:r>
          </w:p>
          <w:p>
            <w:r>
              <w:rPr>
                <w:rFonts w:ascii="Calibri" w:hAnsi="Calibri"/>
                <w:b w:val="0"/>
                <w:i w:val="0"/>
                <w:color w:val="333333"/>
                <w:sz w:val="18"/>
              </w:rPr>
              <w:t>→  Beastly Social Media — LinkedIn Markenkanal</w:t>
            </w:r>
          </w:p>
          <w:p>
            <w:r>
              <w:rPr>
                <w:rFonts w:ascii="Calibri" w:hAnsi="Calibri"/>
                <w:b w:val="0"/>
                <w:i w:val="0"/>
                <w:color w:val="333333"/>
                <w:sz w:val="18"/>
              </w:rPr>
              <w:t>→  Paid Awareness-Ads (LinkedIn / Meta)</w:t>
            </w:r>
          </w:p>
        </w:tc>
        <w:tc>
          <w:tcPr>
            <w:tcW w:type="dxa" w:w="4306"/>
            <w:shd w:val="clear" w:color="auto" w:fill="F5F3FF"/>
            <w:tcMar>
              <w:top w:w="90" w:type="dxa"/>
              <w:bottom w:w="90" w:type="dxa"/>
              <w:left w:w="100" w:type="dxa"/>
              <w:right w:w="100" w:type="dxa"/>
            </w:tcMar>
          </w:tcPr>
          <w:p>
            <w:r>
              <w:rPr>
                <w:rFonts w:ascii="Calibri" w:hAnsi="Calibri"/>
                <w:b/>
                <w:i w:val="0"/>
                <w:color w:val="4B319B"/>
                <w:sz w:val="16"/>
              </w:rPr>
              <w:t>BERÜHRUNGSPUNKTE</w:t>
            </w:r>
          </w:p>
          <w:p>
            <w:r>
              <w:rPr>
                <w:rFonts w:ascii="Calibri" w:hAnsi="Calibri"/>
                <w:b w:val="0"/>
                <w:i w:val="0"/>
                <w:color w:val="333333"/>
                <w:sz w:val="18"/>
              </w:rPr>
              <w:t>→  Beitrag oder Reel gesehen</w:t>
            </w:r>
          </w:p>
          <w:p>
            <w:r>
              <w:rPr>
                <w:rFonts w:ascii="Calibri" w:hAnsi="Calibri"/>
                <w:b w:val="0"/>
                <w:i w:val="0"/>
                <w:color w:val="333333"/>
                <w:sz w:val="18"/>
              </w:rPr>
              <w:t>→  Ad im Feed ausgespielt</w:t>
            </w:r>
          </w:p>
          <w:p>
            <w:r>
              <w:rPr>
                <w:rFonts w:ascii="Calibri" w:hAnsi="Calibri"/>
                <w:b w:val="0"/>
                <w:i w:val="0"/>
                <w:color w:val="333333"/>
                <w:sz w:val="18"/>
              </w:rPr>
              <w:t>→  Viktors Profil entdeckt</w:t>
            </w:r>
          </w:p>
          <w:p>
            <w:r>
              <w:rPr>
                <w:rFonts w:ascii="Calibri" w:hAnsi="Calibri"/>
                <w:b w:val="0"/>
                <w:i w:val="0"/>
                <w:color w:val="333333"/>
                <w:sz w:val="18"/>
              </w:rPr>
              <w:t>→  Beastly-Seite angeklickt</w:t>
            </w:r>
          </w:p>
        </w:tc>
      </w:tr>
    </w:tbl>
    <w:tbl>
      <w:tblPr>
        <w:tblStyle w:val="TableGrid"/>
        <w:tblW w:type="auto" w:w="0"/>
        <w:tblLook w:firstColumn="1" w:firstRow="1" w:lastColumn="0" w:lastRow="0" w:noHBand="0" w:noVBand="1" w:val="04A0"/>
      </w:tblPr>
      <w:tblGrid>
        <w:gridCol w:w="2871"/>
        <w:gridCol w:w="2871"/>
        <w:gridCol w:w="2871"/>
      </w:tblGrid>
      <w:tr>
        <w:tc>
          <w:tcPr>
            <w:tcW w:type="dxa" w:w="2871"/>
            <w:shd w:val="clear" w:color="auto" w:fill="FEF3EE"/>
            <w:tcMar>
              <w:top w:w="80" w:type="dxa"/>
              <w:bottom w:w="80" w:type="dxa"/>
              <w:left w:w="100" w:type="dxa"/>
              <w:right w:w="100" w:type="dxa"/>
            </w:tcMar>
          </w:tcPr>
          <w:p>
            <w:r>
              <w:rPr>
                <w:rFonts w:ascii="Calibri" w:hAnsi="Calibri"/>
                <w:b/>
                <w:i w:val="0"/>
                <w:color w:val="BD5435"/>
                <w:sz w:val="16"/>
              </w:rPr>
              <w:t>KEIN ENGAGEMENT</w:t>
            </w:r>
            <w:r>
              <w:rPr>
                <w:rFonts w:ascii="Calibri" w:hAnsi="Calibri"/>
                <w:b w:val="0"/>
                <w:i w:val="0"/>
                <w:color w:val="333333"/>
                <w:sz w:val="18"/>
              </w:rPr>
              <w:t xml:space="preserve">  →  </w:t>
            </w:r>
          </w:p>
          <w:p>
            <w:r>
              <w:rPr>
                <w:rFonts w:ascii="Calibri" w:hAnsi="Calibri"/>
                <w:b w:val="0"/>
                <w:i w:val="0"/>
                <w:color w:val="8B3A20"/>
                <w:sz w:val="18"/>
              </w:rPr>
              <w:t>Bleibt im Orbit → nächster Post, nächste Ad, nächste Begegnung. Retargeting aktiv.</w:t>
            </w:r>
          </w:p>
        </w:tc>
        <w:tc>
          <w:tcPr>
            <w:tcW w:type="dxa" w:w="720"/>
            <w:shd w:val="clear" w:color="auto" w:fill="FFFFFF"/>
            <w:tcMar>
              <w:top w:w="80" w:type="dxa"/>
              <w:bottom w:w="80" w:type="dxa"/>
              <w:left w:w="80" w:type="dxa"/>
              <w:right w:w="80" w:type="dxa"/>
            </w:tcMar>
          </w:tcPr>
          <w:p>
            <w:pPr>
              <w:jc w:val="center"/>
            </w:pPr>
            <w:r>
              <w:rPr>
                <w:rFonts w:ascii="Calibri" w:hAnsi="Calibri"/>
                <w:b w:val="0"/>
                <w:i w:val="0"/>
                <w:color w:val="A176F4"/>
                <w:sz w:val="32"/>
              </w:rPr>
              <w:t>▼</w:t>
            </w:r>
          </w:p>
        </w:tc>
        <w:tc>
          <w:tcPr>
            <w:tcW w:type="dxa" w:w="2871"/>
            <w:shd w:val="clear" w:color="auto" w:fill="EDF7EE"/>
            <w:tcMar>
              <w:top w:w="80" w:type="dxa"/>
              <w:bottom w:w="80" w:type="dxa"/>
              <w:left w:w="100" w:type="dxa"/>
              <w:right w:w="100" w:type="dxa"/>
            </w:tcMar>
          </w:tcPr>
          <w:p>
            <w:r>
              <w:rPr>
                <w:rFonts w:ascii="Calibri" w:hAnsi="Calibri"/>
                <w:b/>
                <w:i w:val="0"/>
                <w:color w:val="1A5C38"/>
                <w:sz w:val="16"/>
              </w:rPr>
              <w:t>ENGAGEMENT</w:t>
            </w:r>
            <w:r>
              <w:rPr>
                <w:rFonts w:ascii="Calibri" w:hAnsi="Calibri"/>
                <w:b w:val="0"/>
                <w:i w:val="0"/>
                <w:color w:val="333333"/>
                <w:sz w:val="18"/>
              </w:rPr>
              <w:t xml:space="preserve">  →  </w:t>
            </w:r>
          </w:p>
          <w:p>
            <w:r>
              <w:rPr>
                <w:rFonts w:ascii="Calibri" w:hAnsi="Calibri"/>
                <w:b w:val="0"/>
                <w:i w:val="0"/>
                <w:color w:val="1A5C38"/>
                <w:sz w:val="18"/>
              </w:rPr>
              <w:t>Klickt, folgt, kommentiert, teilt → zeigt erstes aktives Interesse.</w:t>
            </w:r>
          </w:p>
        </w:tc>
      </w:tr>
    </w:tbl>
    <w:p>
      <w:pPr>
        <w:spacing w:before="40" w:after="40"/>
        <w:jc w:val="center"/>
      </w:pPr>
      <w:r>
        <w:rPr>
          <w:rFonts w:ascii="Calibri" w:hAnsi="Calibri"/>
          <w:b w:val="0"/>
          <w:i w:val="0"/>
          <w:color w:val="A176F4"/>
          <w:sz w:val="28"/>
        </w:rPr>
        <w:t>▼</w:t>
      </w:r>
    </w:p>
    <w:tbl>
      <w:tblPr>
        <w:tblStyle w:val="TableGrid"/>
        <w:tblW w:type="auto" w:w="0"/>
        <w:tblLook w:firstColumn="1" w:firstRow="1" w:lastColumn="0" w:lastRow="0" w:noHBand="0" w:noVBand="1" w:val="04A0"/>
      </w:tblPr>
      <w:tblGrid>
        <w:gridCol w:w="4306"/>
        <w:gridCol w:w="4306"/>
      </w:tblGrid>
      <w:tr>
        <w:tc>
          <w:tcPr>
            <w:tcW w:type="dxa" w:w="648"/>
            <w:shd w:val="clear" w:color="auto" w:fill="1e3350"/>
            <w:tcMar>
              <w:top w:w="80" w:type="dxa"/>
              <w:bottom w:w="80" w:type="dxa"/>
              <w:left w:w="120" w:type="dxa"/>
              <w:right w:w="60" w:type="dxa"/>
            </w:tcMar>
          </w:tcPr>
          <w:p>
            <w:pPr>
              <w:jc w:val="center"/>
            </w:pPr>
            <w:r>
              <w:rPr>
                <w:rFonts w:ascii="Calibri" w:hAnsi="Calibri"/>
                <w:b/>
                <w:i w:val="0"/>
                <w:color w:val="FFFFFF"/>
                <w:sz w:val="36"/>
              </w:rPr>
              <w:t>02</w:t>
            </w:r>
          </w:p>
        </w:tc>
        <w:tc>
          <w:tcPr>
            <w:tcW w:type="dxa" w:w="4306"/>
            <w:shd w:val="clear" w:color="auto" w:fill="1e3350"/>
            <w:tcMar>
              <w:top w:w="80" w:type="dxa"/>
              <w:bottom w:w="80" w:type="dxa"/>
              <w:left w:w="100" w:type="dxa"/>
              <w:right w:w="100" w:type="dxa"/>
            </w:tcMar>
          </w:tcPr>
          <w:p>
            <w:r>
              <w:rPr>
                <w:rFonts w:ascii="Calibri" w:hAnsi="Calibri"/>
                <w:b/>
                <w:i w:val="0"/>
                <w:color w:val="FFFFFF"/>
                <w:sz w:val="24"/>
              </w:rPr>
              <w:t>NEUGIER</w:t>
            </w:r>
          </w:p>
        </w:tc>
      </w:tr>
    </w:tbl>
    <w:tbl>
      <w:tblPr>
        <w:tblStyle w:val="TableGrid"/>
        <w:tblW w:type="auto" w:w="0"/>
        <w:tblLook w:firstColumn="1" w:firstRow="1" w:lastColumn="0" w:lastRow="0" w:noHBand="0" w:noVBand="1" w:val="04A0"/>
      </w:tblPr>
      <w:tblGrid>
        <w:gridCol w:w="4306"/>
        <w:gridCol w:w="4306"/>
      </w:tblGrid>
      <w:tr>
        <w:tc>
          <w:tcPr>
            <w:tcW w:type="dxa" w:w="4306"/>
            <w:shd w:val="clear" w:color="auto" w:fill="EEF4FF"/>
            <w:tcMar>
              <w:top w:w="90" w:type="dxa"/>
              <w:bottom w:w="90" w:type="dxa"/>
              <w:left w:w="100" w:type="dxa"/>
              <w:right w:w="100" w:type="dxa"/>
            </w:tcMar>
          </w:tcPr>
          <w:p>
            <w:r>
              <w:rPr>
                <w:rFonts w:ascii="Calibri" w:hAnsi="Calibri"/>
                <w:b/>
                <w:i w:val="0"/>
                <w:color w:val="4B319B"/>
                <w:sz w:val="16"/>
              </w:rPr>
              <w:t>AKTIVE KANÄLE</w:t>
            </w:r>
          </w:p>
          <w:p>
            <w:r>
              <w:rPr>
                <w:rFonts w:ascii="Calibri" w:hAnsi="Calibri"/>
                <w:b w:val="0"/>
                <w:i w:val="0"/>
                <w:color w:val="333333"/>
                <w:sz w:val="18"/>
              </w:rPr>
              <w:t>→  Viktor LinkedIn — Story-Content, Gründerhintergrund</w:t>
            </w:r>
          </w:p>
          <w:p>
            <w:r>
              <w:rPr>
                <w:rFonts w:ascii="Calibri" w:hAnsi="Calibri"/>
                <w:b w:val="0"/>
                <w:i w:val="0"/>
                <w:color w:val="333333"/>
                <w:sz w:val="18"/>
              </w:rPr>
              <w:t>→  Beastly Social Media — Dual-Bildwelt, Werte-Posts</w:t>
            </w:r>
          </w:p>
          <w:p>
            <w:r>
              <w:rPr>
                <w:rFonts w:ascii="Calibri" w:hAnsi="Calibri"/>
                <w:b w:val="0"/>
                <w:i w:val="0"/>
                <w:color w:val="333333"/>
                <w:sz w:val="18"/>
              </w:rPr>
              <w:t>→  Website — Einstiegsseite (Gründerstory, Was ist Beastly?)</w:t>
            </w:r>
          </w:p>
        </w:tc>
        <w:tc>
          <w:tcPr>
            <w:tcW w:type="dxa" w:w="4306"/>
            <w:shd w:val="clear" w:color="auto" w:fill="EEF4FF"/>
            <w:tcMar>
              <w:top w:w="90" w:type="dxa"/>
              <w:bottom w:w="90" w:type="dxa"/>
              <w:left w:w="100" w:type="dxa"/>
              <w:right w:w="100" w:type="dxa"/>
            </w:tcMar>
          </w:tcPr>
          <w:p>
            <w:r>
              <w:rPr>
                <w:rFonts w:ascii="Calibri" w:hAnsi="Calibri"/>
                <w:b/>
                <w:i w:val="0"/>
                <w:color w:val="4B319B"/>
                <w:sz w:val="16"/>
              </w:rPr>
              <w:t>BERÜHRUNGSPUNKTE</w:t>
            </w:r>
          </w:p>
          <w:p>
            <w:r>
              <w:rPr>
                <w:rFonts w:ascii="Calibri" w:hAnsi="Calibri"/>
                <w:b w:val="0"/>
                <w:i w:val="0"/>
                <w:color w:val="333333"/>
                <w:sz w:val="18"/>
              </w:rPr>
              <w:t>→  Profilbesuch (Viktor oder Beastly)</w:t>
            </w:r>
          </w:p>
          <w:p>
            <w:r>
              <w:rPr>
                <w:rFonts w:ascii="Calibri" w:hAnsi="Calibri"/>
                <w:b w:val="0"/>
                <w:i w:val="0"/>
                <w:color w:val="333333"/>
                <w:sz w:val="18"/>
              </w:rPr>
              <w:t>→  Website aufgerufen</w:t>
            </w:r>
          </w:p>
          <w:p>
            <w:r>
              <w:rPr>
                <w:rFonts w:ascii="Calibri" w:hAnsi="Calibri"/>
                <w:b w:val="0"/>
                <w:i w:val="0"/>
                <w:color w:val="333333"/>
                <w:sz w:val="18"/>
              </w:rPr>
              <w:t>→  Gründerstory gelesen</w:t>
            </w:r>
          </w:p>
          <w:p>
            <w:r>
              <w:rPr>
                <w:rFonts w:ascii="Calibri" w:hAnsi="Calibri"/>
                <w:b w:val="0"/>
                <w:i w:val="0"/>
                <w:color w:val="333333"/>
                <w:sz w:val="18"/>
              </w:rPr>
              <w:t>→  Mehrere Beiträge konsumiert</w:t>
            </w:r>
          </w:p>
        </w:tc>
      </w:tr>
    </w:tbl>
    <w:tbl>
      <w:tblPr>
        <w:tblStyle w:val="TableGrid"/>
        <w:tblW w:type="auto" w:w="0"/>
        <w:tblLook w:firstColumn="1" w:firstRow="1" w:lastColumn="0" w:lastRow="0" w:noHBand="0" w:noVBand="1" w:val="04A0"/>
      </w:tblPr>
      <w:tblGrid>
        <w:gridCol w:w="2871"/>
        <w:gridCol w:w="2871"/>
        <w:gridCol w:w="2871"/>
      </w:tblGrid>
      <w:tr>
        <w:tc>
          <w:tcPr>
            <w:tcW w:type="dxa" w:w="2871"/>
            <w:shd w:val="clear" w:color="auto" w:fill="FEF3EE"/>
            <w:tcMar>
              <w:top w:w="80" w:type="dxa"/>
              <w:bottom w:w="80" w:type="dxa"/>
              <w:left w:w="100" w:type="dxa"/>
              <w:right w:w="100" w:type="dxa"/>
            </w:tcMar>
          </w:tcPr>
          <w:p>
            <w:r>
              <w:rPr>
                <w:rFonts w:ascii="Calibri" w:hAnsi="Calibri"/>
                <w:b/>
                <w:i w:val="0"/>
                <w:color w:val="BD5435"/>
                <w:sz w:val="16"/>
              </w:rPr>
              <w:t>KEIN ENGAGEMENT</w:t>
            </w:r>
            <w:r>
              <w:rPr>
                <w:rFonts w:ascii="Calibri" w:hAnsi="Calibri"/>
                <w:b w:val="0"/>
                <w:i w:val="0"/>
                <w:color w:val="333333"/>
                <w:sz w:val="18"/>
              </w:rPr>
              <w:t xml:space="preserve">  →  </w:t>
            </w:r>
          </w:p>
          <w:p>
            <w:r>
              <w:rPr>
                <w:rFonts w:ascii="Calibri" w:hAnsi="Calibri"/>
                <w:b w:val="0"/>
                <w:i w:val="0"/>
                <w:color w:val="8B3A20"/>
                <w:sz w:val="18"/>
              </w:rPr>
              <w:t>Verlässt ohne Vertiefung → bleibt im Feed-Orbit, nächste Begegnung beim nächsten Post.</w:t>
            </w:r>
          </w:p>
        </w:tc>
        <w:tc>
          <w:tcPr>
            <w:tcW w:type="dxa" w:w="720"/>
            <w:shd w:val="clear" w:color="auto" w:fill="FFFFFF"/>
            <w:tcMar>
              <w:top w:w="80" w:type="dxa"/>
              <w:bottom w:w="80" w:type="dxa"/>
              <w:left w:w="80" w:type="dxa"/>
              <w:right w:w="80" w:type="dxa"/>
            </w:tcMar>
          </w:tcPr>
          <w:p>
            <w:pPr>
              <w:jc w:val="center"/>
            </w:pPr>
            <w:r>
              <w:rPr>
                <w:rFonts w:ascii="Calibri" w:hAnsi="Calibri"/>
                <w:b w:val="0"/>
                <w:i w:val="0"/>
                <w:color w:val="A176F4"/>
                <w:sz w:val="32"/>
              </w:rPr>
              <w:t>▼</w:t>
            </w:r>
          </w:p>
        </w:tc>
        <w:tc>
          <w:tcPr>
            <w:tcW w:type="dxa" w:w="2871"/>
            <w:shd w:val="clear" w:color="auto" w:fill="EDF7EE"/>
            <w:tcMar>
              <w:top w:w="80" w:type="dxa"/>
              <w:bottom w:w="80" w:type="dxa"/>
              <w:left w:w="100" w:type="dxa"/>
              <w:right w:w="100" w:type="dxa"/>
            </w:tcMar>
          </w:tcPr>
          <w:p>
            <w:r>
              <w:rPr>
                <w:rFonts w:ascii="Calibri" w:hAnsi="Calibri"/>
                <w:b/>
                <w:i w:val="0"/>
                <w:color w:val="1A5C38"/>
                <w:sz w:val="16"/>
              </w:rPr>
              <w:t>ENGAGEMENT</w:t>
            </w:r>
            <w:r>
              <w:rPr>
                <w:rFonts w:ascii="Calibri" w:hAnsi="Calibri"/>
                <w:b w:val="0"/>
                <w:i w:val="0"/>
                <w:color w:val="333333"/>
                <w:sz w:val="18"/>
              </w:rPr>
              <w:t xml:space="preserve">  →  </w:t>
            </w:r>
          </w:p>
          <w:p>
            <w:r>
              <w:rPr>
                <w:rFonts w:ascii="Calibri" w:hAnsi="Calibri"/>
                <w:b w:val="0"/>
                <w:i w:val="0"/>
                <w:color w:val="1A5C38"/>
                <w:sz w:val="18"/>
              </w:rPr>
              <w:t>Sucht aktiv mehr → besucht Website, liest tiefer, folgt dem Profil.</w:t>
            </w:r>
          </w:p>
        </w:tc>
      </w:tr>
    </w:tbl>
    <w:p>
      <w:pPr>
        <w:spacing w:before="40" w:after="40"/>
        <w:jc w:val="center"/>
      </w:pPr>
      <w:r>
        <w:rPr>
          <w:rFonts w:ascii="Calibri" w:hAnsi="Calibri"/>
          <w:b w:val="0"/>
          <w:i w:val="0"/>
          <w:color w:val="A176F4"/>
          <w:sz w:val="28"/>
        </w:rPr>
        <w:t>▼</w:t>
      </w:r>
    </w:p>
    <w:tbl>
      <w:tblPr>
        <w:tblStyle w:val="TableGrid"/>
        <w:tblW w:type="auto" w:w="0"/>
        <w:tblLook w:firstColumn="1" w:firstRow="1" w:lastColumn="0" w:lastRow="0" w:noHBand="0" w:noVBand="1" w:val="04A0"/>
      </w:tblPr>
      <w:tblGrid>
        <w:gridCol w:w="4306"/>
        <w:gridCol w:w="4306"/>
      </w:tblGrid>
      <w:tr>
        <w:tc>
          <w:tcPr>
            <w:tcW w:type="dxa" w:w="648"/>
            <w:shd w:val="clear" w:color="auto" w:fill="27406A"/>
            <w:tcMar>
              <w:top w:w="80" w:type="dxa"/>
              <w:bottom w:w="80" w:type="dxa"/>
              <w:left w:w="120" w:type="dxa"/>
              <w:right w:w="60" w:type="dxa"/>
            </w:tcMar>
          </w:tcPr>
          <w:p>
            <w:pPr>
              <w:jc w:val="center"/>
            </w:pPr>
            <w:r>
              <w:rPr>
                <w:rFonts w:ascii="Calibri" w:hAnsi="Calibri"/>
                <w:b/>
                <w:i w:val="0"/>
                <w:color w:val="FFFFFF"/>
                <w:sz w:val="36"/>
              </w:rPr>
              <w:t>03</w:t>
            </w:r>
          </w:p>
        </w:tc>
        <w:tc>
          <w:tcPr>
            <w:tcW w:type="dxa" w:w="4306"/>
            <w:shd w:val="clear" w:color="auto" w:fill="27406A"/>
            <w:tcMar>
              <w:top w:w="80" w:type="dxa"/>
              <w:bottom w:w="80" w:type="dxa"/>
              <w:left w:w="100" w:type="dxa"/>
              <w:right w:w="100" w:type="dxa"/>
            </w:tcMar>
          </w:tcPr>
          <w:p>
            <w:r>
              <w:rPr>
                <w:rFonts w:ascii="Calibri" w:hAnsi="Calibri"/>
                <w:b/>
                <w:i w:val="0"/>
                <w:color w:val="FFFFFF"/>
                <w:sz w:val="24"/>
              </w:rPr>
              <w:t>VERTRAUEN</w:t>
            </w:r>
          </w:p>
        </w:tc>
      </w:tr>
    </w:tbl>
    <w:tbl>
      <w:tblPr>
        <w:tblStyle w:val="TableGrid"/>
        <w:tblW w:type="auto" w:w="0"/>
        <w:tblLook w:firstColumn="1" w:firstRow="1" w:lastColumn="0" w:lastRow="0" w:noHBand="0" w:noVBand="1" w:val="04A0"/>
      </w:tblPr>
      <w:tblGrid>
        <w:gridCol w:w="4306"/>
        <w:gridCol w:w="4306"/>
      </w:tblGrid>
      <w:tr>
        <w:tc>
          <w:tcPr>
            <w:tcW w:type="dxa" w:w="4306"/>
            <w:shd w:val="clear" w:color="auto" w:fill="F5F3FF"/>
            <w:tcMar>
              <w:top w:w="90" w:type="dxa"/>
              <w:bottom w:w="90" w:type="dxa"/>
              <w:left w:w="100" w:type="dxa"/>
              <w:right w:w="100" w:type="dxa"/>
            </w:tcMar>
          </w:tcPr>
          <w:p>
            <w:r>
              <w:rPr>
                <w:rFonts w:ascii="Calibri" w:hAnsi="Calibri"/>
                <w:b/>
                <w:i w:val="0"/>
                <w:color w:val="4B319B"/>
                <w:sz w:val="16"/>
              </w:rPr>
              <w:t>AKTIVE KANÄLE</w:t>
            </w:r>
          </w:p>
          <w:p>
            <w:r>
              <w:rPr>
                <w:rFonts w:ascii="Calibri" w:hAnsi="Calibri"/>
                <w:b w:val="0"/>
                <w:i w:val="0"/>
                <w:color w:val="333333"/>
                <w:sz w:val="18"/>
              </w:rPr>
              <w:t>→  Website — Transparenzbereich (Löhne, Struktur, 5 Projekte)</w:t>
            </w:r>
          </w:p>
          <w:p>
            <w:r>
              <w:rPr>
                <w:rFonts w:ascii="Calibri" w:hAnsi="Calibri"/>
                <w:b w:val="0"/>
                <w:i w:val="0"/>
                <w:color w:val="333333"/>
                <w:sz w:val="18"/>
              </w:rPr>
              <w:t>→  Viktor &amp; Lydia — Nahbarkeit, persönliche Posts</w:t>
            </w:r>
          </w:p>
          <w:p>
            <w:r>
              <w:rPr>
                <w:rFonts w:ascii="Calibri" w:hAnsi="Calibri"/>
                <w:b w:val="0"/>
                <w:i w:val="0"/>
                <w:color w:val="333333"/>
                <w:sz w:val="18"/>
              </w:rPr>
              <w:t>→  FourGive — reale Wirkungsmomente, Geschichten</w:t>
            </w:r>
          </w:p>
        </w:tc>
        <w:tc>
          <w:tcPr>
            <w:tcW w:type="dxa" w:w="4306"/>
            <w:shd w:val="clear" w:color="auto" w:fill="F5F3FF"/>
            <w:tcMar>
              <w:top w:w="90" w:type="dxa"/>
              <w:bottom w:w="90" w:type="dxa"/>
              <w:left w:w="100" w:type="dxa"/>
              <w:right w:w="100" w:type="dxa"/>
            </w:tcMar>
          </w:tcPr>
          <w:p>
            <w:r>
              <w:rPr>
                <w:rFonts w:ascii="Calibri" w:hAnsi="Calibri"/>
                <w:b/>
                <w:i w:val="0"/>
                <w:color w:val="4B319B"/>
                <w:sz w:val="16"/>
              </w:rPr>
              <w:t>BERÜHRUNGSPUNKTE</w:t>
            </w:r>
          </w:p>
          <w:p>
            <w:r>
              <w:rPr>
                <w:rFonts w:ascii="Calibri" w:hAnsi="Calibri"/>
                <w:b w:val="0"/>
                <w:i w:val="0"/>
                <w:color w:val="333333"/>
                <w:sz w:val="18"/>
              </w:rPr>
              <w:t>→  Transparenzseite gelesen</w:t>
            </w:r>
          </w:p>
          <w:p>
            <w:r>
              <w:rPr>
                <w:rFonts w:ascii="Calibri" w:hAnsi="Calibri"/>
                <w:b w:val="0"/>
                <w:i w:val="0"/>
                <w:color w:val="333333"/>
                <w:sz w:val="18"/>
              </w:rPr>
              <w:t>→  Lohnstruktur entdeckt und verstanden</w:t>
            </w:r>
          </w:p>
          <w:p>
            <w:r>
              <w:rPr>
                <w:rFonts w:ascii="Calibri" w:hAnsi="Calibri"/>
                <w:b w:val="0"/>
                <w:i w:val="0"/>
                <w:color w:val="333333"/>
                <w:sz w:val="18"/>
              </w:rPr>
              <w:t>→  FourGive-Geschichte nachverfolgt</w:t>
            </w:r>
          </w:p>
          <w:p>
            <w:r>
              <w:rPr>
                <w:rFonts w:ascii="Calibri" w:hAnsi="Calibri"/>
                <w:b w:val="0"/>
                <w:i w:val="0"/>
                <w:color w:val="333333"/>
                <w:sz w:val="18"/>
              </w:rPr>
              <w:t>→  Viktor / Lydia als echte Menschen wahrgenommen</w:t>
            </w:r>
          </w:p>
        </w:tc>
      </w:tr>
    </w:tbl>
    <w:tbl>
      <w:tblPr>
        <w:tblStyle w:val="TableGrid"/>
        <w:tblW w:type="auto" w:w="0"/>
        <w:tblLook w:firstColumn="1" w:firstRow="1" w:lastColumn="0" w:lastRow="0" w:noHBand="0" w:noVBand="1" w:val="04A0"/>
      </w:tblPr>
      <w:tblGrid>
        <w:gridCol w:w="2871"/>
        <w:gridCol w:w="2871"/>
        <w:gridCol w:w="2871"/>
      </w:tblGrid>
      <w:tr>
        <w:tc>
          <w:tcPr>
            <w:tcW w:type="dxa" w:w="2871"/>
            <w:shd w:val="clear" w:color="auto" w:fill="FEF3EE"/>
            <w:tcMar>
              <w:top w:w="80" w:type="dxa"/>
              <w:bottom w:w="80" w:type="dxa"/>
              <w:left w:w="100" w:type="dxa"/>
              <w:right w:w="100" w:type="dxa"/>
            </w:tcMar>
          </w:tcPr>
          <w:p>
            <w:r>
              <w:rPr>
                <w:rFonts w:ascii="Calibri" w:hAnsi="Calibri"/>
                <w:b/>
                <w:i w:val="0"/>
                <w:color w:val="BD5435"/>
                <w:sz w:val="16"/>
              </w:rPr>
              <w:t>KEIN ENGAGEMENT</w:t>
            </w:r>
            <w:r>
              <w:rPr>
                <w:rFonts w:ascii="Calibri" w:hAnsi="Calibri"/>
                <w:b w:val="0"/>
                <w:i w:val="0"/>
                <w:color w:val="333333"/>
                <w:sz w:val="18"/>
              </w:rPr>
              <w:t xml:space="preserve">  →  </w:t>
            </w:r>
          </w:p>
          <w:p>
            <w:r>
              <w:rPr>
                <w:rFonts w:ascii="Calibri" w:hAnsi="Calibri"/>
                <w:b w:val="0"/>
                <w:i w:val="0"/>
                <w:color w:val="8B3A20"/>
                <w:sz w:val="18"/>
              </w:rPr>
              <w:t>Zweifel bleiben → gezielter Beweis-Content, Transparenz-Posts, Retargeting mit Substanz.</w:t>
            </w:r>
          </w:p>
        </w:tc>
        <w:tc>
          <w:tcPr>
            <w:tcW w:type="dxa" w:w="720"/>
            <w:shd w:val="clear" w:color="auto" w:fill="FFFFFF"/>
            <w:tcMar>
              <w:top w:w="80" w:type="dxa"/>
              <w:bottom w:w="80" w:type="dxa"/>
              <w:left w:w="80" w:type="dxa"/>
              <w:right w:w="80" w:type="dxa"/>
            </w:tcMar>
          </w:tcPr>
          <w:p>
            <w:pPr>
              <w:jc w:val="center"/>
            </w:pPr>
            <w:r>
              <w:rPr>
                <w:rFonts w:ascii="Calibri" w:hAnsi="Calibri"/>
                <w:b w:val="0"/>
                <w:i w:val="0"/>
                <w:color w:val="A176F4"/>
                <w:sz w:val="32"/>
              </w:rPr>
              <w:t>▼</w:t>
            </w:r>
          </w:p>
        </w:tc>
        <w:tc>
          <w:tcPr>
            <w:tcW w:type="dxa" w:w="2871"/>
            <w:shd w:val="clear" w:color="auto" w:fill="EDF7EE"/>
            <w:tcMar>
              <w:top w:w="80" w:type="dxa"/>
              <w:bottom w:w="80" w:type="dxa"/>
              <w:left w:w="100" w:type="dxa"/>
              <w:right w:w="100" w:type="dxa"/>
            </w:tcMar>
          </w:tcPr>
          <w:p>
            <w:r>
              <w:rPr>
                <w:rFonts w:ascii="Calibri" w:hAnsi="Calibri"/>
                <w:b/>
                <w:i w:val="0"/>
                <w:color w:val="1A5C38"/>
                <w:sz w:val="16"/>
              </w:rPr>
              <w:t>ENGAGEMENT</w:t>
            </w:r>
            <w:r>
              <w:rPr>
                <w:rFonts w:ascii="Calibri" w:hAnsi="Calibri"/>
                <w:b w:val="0"/>
                <w:i w:val="0"/>
                <w:color w:val="333333"/>
                <w:sz w:val="18"/>
              </w:rPr>
              <w:t xml:space="preserve">  →  </w:t>
            </w:r>
          </w:p>
          <w:p>
            <w:r>
              <w:rPr>
                <w:rFonts w:ascii="Calibri" w:hAnsi="Calibri"/>
                <w:b w:val="0"/>
                <w:i w:val="0"/>
                <w:color w:val="1A5C38"/>
                <w:sz w:val="18"/>
              </w:rPr>
              <w:t>Vertrauen gewonnen → bereit zu prüfen, ob das Produkt für sie passt.</w:t>
            </w:r>
          </w:p>
        </w:tc>
      </w:tr>
    </w:tbl>
    <w:p>
      <w:pPr>
        <w:spacing w:before="40" w:after="40"/>
        <w:jc w:val="center"/>
      </w:pPr>
      <w:r>
        <w:rPr>
          <w:rFonts w:ascii="Calibri" w:hAnsi="Calibri"/>
          <w:b w:val="0"/>
          <w:i w:val="0"/>
          <w:color w:val="A176F4"/>
          <w:sz w:val="28"/>
        </w:rPr>
        <w:t>▼</w:t>
      </w:r>
    </w:p>
    <w:tbl>
      <w:tblPr>
        <w:tblStyle w:val="TableGrid"/>
        <w:tblW w:type="auto" w:w="0"/>
        <w:tblLook w:firstColumn="1" w:firstRow="1" w:lastColumn="0" w:lastRow="0" w:noHBand="0" w:noVBand="1" w:val="04A0"/>
      </w:tblPr>
      <w:tblGrid>
        <w:gridCol w:w="4306"/>
        <w:gridCol w:w="4306"/>
      </w:tblGrid>
      <w:tr>
        <w:tc>
          <w:tcPr>
            <w:tcW w:type="dxa" w:w="648"/>
            <w:shd w:val="clear" w:color="auto" w:fill="344E5A"/>
            <w:tcMar>
              <w:top w:w="80" w:type="dxa"/>
              <w:bottom w:w="80" w:type="dxa"/>
              <w:left w:w="120" w:type="dxa"/>
              <w:right w:w="60" w:type="dxa"/>
            </w:tcMar>
          </w:tcPr>
          <w:p>
            <w:pPr>
              <w:jc w:val="center"/>
            </w:pPr>
            <w:r>
              <w:rPr>
                <w:rFonts w:ascii="Calibri" w:hAnsi="Calibri"/>
                <w:b/>
                <w:i w:val="0"/>
                <w:color w:val="FFFFFF"/>
                <w:sz w:val="36"/>
              </w:rPr>
              <w:t>04</w:t>
            </w:r>
          </w:p>
        </w:tc>
        <w:tc>
          <w:tcPr>
            <w:tcW w:type="dxa" w:w="4306"/>
            <w:shd w:val="clear" w:color="auto" w:fill="344E5A"/>
            <w:tcMar>
              <w:top w:w="80" w:type="dxa"/>
              <w:bottom w:w="80" w:type="dxa"/>
              <w:left w:w="100" w:type="dxa"/>
              <w:right w:w="100" w:type="dxa"/>
            </w:tcMar>
          </w:tcPr>
          <w:p>
            <w:r>
              <w:rPr>
                <w:rFonts w:ascii="Calibri" w:hAnsi="Calibri"/>
                <w:b/>
                <w:i w:val="0"/>
                <w:color w:val="FFFFFF"/>
                <w:sz w:val="24"/>
              </w:rPr>
              <w:t>ERKLÄRUNG</w:t>
            </w:r>
          </w:p>
        </w:tc>
      </w:tr>
    </w:tbl>
    <w:tbl>
      <w:tblPr>
        <w:tblStyle w:val="TableGrid"/>
        <w:tblW w:type="auto" w:w="0"/>
        <w:tblLook w:firstColumn="1" w:firstRow="1" w:lastColumn="0" w:lastRow="0" w:noHBand="0" w:noVBand="1" w:val="04A0"/>
      </w:tblPr>
      <w:tblGrid>
        <w:gridCol w:w="4306"/>
        <w:gridCol w:w="4306"/>
      </w:tblGrid>
      <w:tr>
        <w:tc>
          <w:tcPr>
            <w:tcW w:type="dxa" w:w="4306"/>
            <w:shd w:val="clear" w:color="auto" w:fill="EEF4FF"/>
            <w:tcMar>
              <w:top w:w="90" w:type="dxa"/>
              <w:bottom w:w="90" w:type="dxa"/>
              <w:left w:w="100" w:type="dxa"/>
              <w:right w:w="100" w:type="dxa"/>
            </w:tcMar>
          </w:tcPr>
          <w:p>
            <w:r>
              <w:rPr>
                <w:rFonts w:ascii="Calibri" w:hAnsi="Calibri"/>
                <w:b/>
                <w:i w:val="0"/>
                <w:color w:val="4B319B"/>
                <w:sz w:val="16"/>
              </w:rPr>
              <w:t>AKTIVE KANÄLE</w:t>
            </w:r>
          </w:p>
          <w:p>
            <w:r>
              <w:rPr>
                <w:rFonts w:ascii="Calibri" w:hAnsi="Calibri"/>
                <w:b w:val="0"/>
                <w:i w:val="0"/>
                <w:color w:val="333333"/>
                <w:sz w:val="18"/>
              </w:rPr>
              <w:t>→  Pitch Deck (emotionaler Aufbau + faktische Tiefe)</w:t>
            </w:r>
          </w:p>
          <w:p>
            <w:r>
              <w:rPr>
                <w:rFonts w:ascii="Calibri" w:hAnsi="Calibri"/>
                <w:b w:val="0"/>
                <w:i w:val="0"/>
                <w:color w:val="333333"/>
                <w:sz w:val="18"/>
              </w:rPr>
              <w:t>→  Direktgespräch Viktor &amp; Lydia (professionelle Investoren)</w:t>
            </w:r>
          </w:p>
          <w:p>
            <w:r>
              <w:rPr>
                <w:rFonts w:ascii="Calibri" w:hAnsi="Calibri"/>
                <w:b w:val="0"/>
                <w:i w:val="0"/>
                <w:color w:val="333333"/>
                <w:sz w:val="18"/>
              </w:rPr>
              <w:t>→  Website — Deep Dive: KI-Logik, Governance, Portfolio</w:t>
            </w:r>
          </w:p>
        </w:tc>
        <w:tc>
          <w:tcPr>
            <w:tcW w:type="dxa" w:w="4306"/>
            <w:shd w:val="clear" w:color="auto" w:fill="EEF4FF"/>
            <w:tcMar>
              <w:top w:w="90" w:type="dxa"/>
              <w:bottom w:w="90" w:type="dxa"/>
              <w:left w:w="100" w:type="dxa"/>
              <w:right w:w="100" w:type="dxa"/>
            </w:tcMar>
          </w:tcPr>
          <w:p>
            <w:r>
              <w:rPr>
                <w:rFonts w:ascii="Calibri" w:hAnsi="Calibri"/>
                <w:b/>
                <w:i w:val="0"/>
                <w:color w:val="4B319B"/>
                <w:sz w:val="16"/>
              </w:rPr>
              <w:t>BERÜHRUNGSPUNKTE</w:t>
            </w:r>
          </w:p>
          <w:p>
            <w:r>
              <w:rPr>
                <w:rFonts w:ascii="Calibri" w:hAnsi="Calibri"/>
                <w:b w:val="0"/>
                <w:i w:val="0"/>
                <w:color w:val="333333"/>
                <w:sz w:val="18"/>
              </w:rPr>
              <w:t>→  Pitch Deck angefordert oder erhalten</w:t>
            </w:r>
          </w:p>
          <w:p>
            <w:r>
              <w:rPr>
                <w:rFonts w:ascii="Calibri" w:hAnsi="Calibri"/>
                <w:b w:val="0"/>
                <w:i w:val="0"/>
                <w:color w:val="333333"/>
                <w:sz w:val="18"/>
              </w:rPr>
              <w:t>→  Gespräch mit Viktor / Lydia geführt</w:t>
            </w:r>
          </w:p>
          <w:p>
            <w:r>
              <w:rPr>
                <w:rFonts w:ascii="Calibri" w:hAnsi="Calibri"/>
                <w:b w:val="0"/>
                <w:i w:val="0"/>
                <w:color w:val="333333"/>
                <w:sz w:val="18"/>
              </w:rPr>
              <w:t>→  Produkt-Details gelesen und verstanden</w:t>
            </w:r>
          </w:p>
          <w:p>
            <w:r>
              <w:rPr>
                <w:rFonts w:ascii="Calibri" w:hAnsi="Calibri"/>
                <w:b w:val="0"/>
                <w:i w:val="0"/>
                <w:color w:val="333333"/>
                <w:sz w:val="18"/>
              </w:rPr>
              <w:t>→  Fragen gestellt und beantwortet</w:t>
            </w:r>
          </w:p>
        </w:tc>
      </w:tr>
    </w:tbl>
    <w:tbl>
      <w:tblPr>
        <w:tblStyle w:val="TableGrid"/>
        <w:tblW w:type="auto" w:w="0"/>
        <w:tblLook w:firstColumn="1" w:firstRow="1" w:lastColumn="0" w:lastRow="0" w:noHBand="0" w:noVBand="1" w:val="04A0"/>
      </w:tblPr>
      <w:tblGrid>
        <w:gridCol w:w="2871"/>
        <w:gridCol w:w="2871"/>
        <w:gridCol w:w="2871"/>
      </w:tblGrid>
      <w:tr>
        <w:tc>
          <w:tcPr>
            <w:tcW w:type="dxa" w:w="2871"/>
            <w:shd w:val="clear" w:color="auto" w:fill="FEF3EE"/>
            <w:tcMar>
              <w:top w:w="80" w:type="dxa"/>
              <w:bottom w:w="80" w:type="dxa"/>
              <w:left w:w="100" w:type="dxa"/>
              <w:right w:w="100" w:type="dxa"/>
            </w:tcMar>
          </w:tcPr>
          <w:p>
            <w:r>
              <w:rPr>
                <w:rFonts w:ascii="Calibri" w:hAnsi="Calibri"/>
                <w:b/>
                <w:i w:val="0"/>
                <w:color w:val="BD5435"/>
                <w:sz w:val="16"/>
              </w:rPr>
              <w:t>KEIN ENGAGEMENT</w:t>
            </w:r>
            <w:r>
              <w:rPr>
                <w:rFonts w:ascii="Calibri" w:hAnsi="Calibri"/>
                <w:b w:val="0"/>
                <w:i w:val="0"/>
                <w:color w:val="333333"/>
                <w:sz w:val="18"/>
              </w:rPr>
              <w:t xml:space="preserve">  →  </w:t>
            </w:r>
          </w:p>
          <w:p>
            <w:r>
              <w:rPr>
                <w:rFonts w:ascii="Calibri" w:hAnsi="Calibri"/>
                <w:b w:val="0"/>
                <w:i w:val="0"/>
                <w:color w:val="8B3A20"/>
                <w:sz w:val="18"/>
              </w:rPr>
              <w:t>Zu komplex oder zu risikoreich → nicht der richtige Moment. Kein Druck — Tür bleibt offen.</w:t>
            </w:r>
          </w:p>
        </w:tc>
        <w:tc>
          <w:tcPr>
            <w:tcW w:type="dxa" w:w="720"/>
            <w:shd w:val="clear" w:color="auto" w:fill="FFFFFF"/>
            <w:tcMar>
              <w:top w:w="80" w:type="dxa"/>
              <w:bottom w:w="80" w:type="dxa"/>
              <w:left w:w="80" w:type="dxa"/>
              <w:right w:w="80" w:type="dxa"/>
            </w:tcMar>
          </w:tcPr>
          <w:p>
            <w:pPr>
              <w:jc w:val="center"/>
            </w:pPr>
            <w:r>
              <w:rPr>
                <w:rFonts w:ascii="Calibri" w:hAnsi="Calibri"/>
                <w:b w:val="0"/>
                <w:i w:val="0"/>
                <w:color w:val="A176F4"/>
                <w:sz w:val="32"/>
              </w:rPr>
              <w:t>▼</w:t>
            </w:r>
          </w:p>
        </w:tc>
        <w:tc>
          <w:tcPr>
            <w:tcW w:type="dxa" w:w="2871"/>
            <w:shd w:val="clear" w:color="auto" w:fill="EDF7EE"/>
            <w:tcMar>
              <w:top w:w="80" w:type="dxa"/>
              <w:bottom w:w="80" w:type="dxa"/>
              <w:left w:w="100" w:type="dxa"/>
              <w:right w:w="100" w:type="dxa"/>
            </w:tcMar>
          </w:tcPr>
          <w:p>
            <w:r>
              <w:rPr>
                <w:rFonts w:ascii="Calibri" w:hAnsi="Calibri"/>
                <w:b/>
                <w:i w:val="0"/>
                <w:color w:val="1A5C38"/>
                <w:sz w:val="16"/>
              </w:rPr>
              <w:t>ENGAGEMENT</w:t>
            </w:r>
            <w:r>
              <w:rPr>
                <w:rFonts w:ascii="Calibri" w:hAnsi="Calibri"/>
                <w:b w:val="0"/>
                <w:i w:val="0"/>
                <w:color w:val="333333"/>
                <w:sz w:val="18"/>
              </w:rPr>
              <w:t xml:space="preserve">  →  </w:t>
            </w:r>
          </w:p>
          <w:p>
            <w:r>
              <w:rPr>
                <w:rFonts w:ascii="Calibri" w:hAnsi="Calibri"/>
                <w:b w:val="0"/>
                <w:i w:val="0"/>
                <w:color w:val="1A5C38"/>
                <w:sz w:val="18"/>
              </w:rPr>
              <w:t>Entscheidungsreif → kennt das Produkt, versteht die Logik, ist bereit zu investieren.</w:t>
            </w:r>
          </w:p>
        </w:tc>
      </w:tr>
    </w:tbl>
    <w:p>
      <w:pPr>
        <w:spacing w:before="40" w:after="40"/>
        <w:jc w:val="center"/>
      </w:pPr>
      <w:r>
        <w:rPr>
          <w:rFonts w:ascii="Calibri" w:hAnsi="Calibri"/>
          <w:b/>
          <w:i w:val="0"/>
          <w:color w:val="4B319B"/>
          <w:sz w:val="22"/>
        </w:rPr>
        <w:t>▼  ENTSCHEIDUNGSWEG  ▼</w:t>
      </w:r>
    </w:p>
    <w:tbl>
      <w:tblPr>
        <w:tblStyle w:val="TableGrid"/>
        <w:tblW w:type="auto" w:w="0"/>
        <w:tblLook w:firstColumn="1" w:firstRow="1" w:lastColumn="0" w:lastRow="0" w:noHBand="0" w:noVBand="1" w:val="04A0"/>
      </w:tblPr>
      <w:tblGrid>
        <w:gridCol w:w="4306"/>
        <w:gridCol w:w="4306"/>
      </w:tblGrid>
      <w:tr>
        <w:tc>
          <w:tcPr>
            <w:tcW w:type="dxa" w:w="4306"/>
            <w:shd w:val="clear" w:color="auto" w:fill="BD5435"/>
            <w:tcMar>
              <w:top w:w="100" w:type="dxa"/>
              <w:bottom w:w="100" w:type="dxa"/>
              <w:left w:w="120" w:type="dxa"/>
              <w:right w:w="120" w:type="dxa"/>
            </w:tcMar>
          </w:tcPr>
          <w:p>
            <w:r>
              <w:rPr>
                <w:rFonts w:ascii="Calibri" w:hAnsi="Calibri"/>
                <w:b/>
                <w:i w:val="0"/>
                <w:color w:val="FFFFFF"/>
                <w:sz w:val="20"/>
              </w:rPr>
              <w:t>RETAIL — ab CHF 50</w:t>
            </w:r>
          </w:p>
          <w:p>
            <w:r>
              <w:rPr>
                <w:rFonts w:ascii="Calibri" w:hAnsi="Calibri"/>
                <w:b w:val="0"/>
                <w:i w:val="0"/>
                <w:color w:val="FFFFFF"/>
                <w:sz w:val="19"/>
              </w:rPr>
              <w:t>→ Geht zur Bank oder Investment-App</w:t>
            </w:r>
          </w:p>
          <w:p>
            <w:r>
              <w:rPr>
                <w:rFonts w:ascii="Calibri" w:hAnsi="Calibri"/>
                <w:b w:val="0"/>
                <w:i w:val="0"/>
                <w:color w:val="FFFFFF"/>
                <w:sz w:val="19"/>
              </w:rPr>
              <w:t>→ Sucht «Beastly Investments» im Produktkatalog</w:t>
            </w:r>
          </w:p>
          <w:p>
            <w:r>
              <w:rPr>
                <w:rFonts w:ascii="Calibri" w:hAnsi="Calibri"/>
                <w:b w:val="0"/>
                <w:i w:val="0"/>
                <w:color w:val="FFFFFF"/>
                <w:sz w:val="19"/>
              </w:rPr>
              <w:t>→ Gibt Betrag ein (min. CHF 50)</w:t>
            </w:r>
          </w:p>
          <w:p>
            <w:r>
              <w:rPr>
                <w:rFonts w:ascii="Calibri" w:hAnsi="Calibri"/>
                <w:b w:val="0"/>
                <w:i w:val="0"/>
                <w:color w:val="FFFFFF"/>
                <w:sz w:val="19"/>
              </w:rPr>
              <w:t>→ Bestätigt das Investment</w:t>
            </w:r>
          </w:p>
        </w:tc>
        <w:tc>
          <w:tcPr>
            <w:tcW w:type="dxa" w:w="4306"/>
            <w:shd w:val="clear" w:color="auto" w:fill="4b319b"/>
            <w:tcMar>
              <w:top w:w="100" w:type="dxa"/>
              <w:bottom w:w="100" w:type="dxa"/>
              <w:left w:w="120" w:type="dxa"/>
              <w:right w:w="120" w:type="dxa"/>
            </w:tcMar>
          </w:tcPr>
          <w:p>
            <w:r>
              <w:rPr>
                <w:rFonts w:ascii="Calibri" w:hAnsi="Calibri"/>
                <w:b/>
                <w:i w:val="0"/>
                <w:color w:val="FFFFFF"/>
                <w:sz w:val="20"/>
              </w:rPr>
              <w:t>PROFESSIONELL — Direktabschluss</w:t>
            </w:r>
          </w:p>
          <w:p>
            <w:r>
              <w:rPr>
                <w:rFonts w:ascii="Calibri" w:hAnsi="Calibri"/>
                <w:b w:val="0"/>
                <w:i w:val="0"/>
                <w:color w:val="FFFFFF"/>
                <w:sz w:val="19"/>
              </w:rPr>
              <w:t>→ Hat Gespräch mit Viktor &amp; Lydia geführt</w:t>
            </w:r>
          </w:p>
          <w:p>
            <w:r>
              <w:rPr>
                <w:rFonts w:ascii="Calibri" w:hAnsi="Calibri"/>
                <w:b w:val="0"/>
                <w:i w:val="0"/>
                <w:color w:val="FFFFFF"/>
                <w:sz w:val="19"/>
              </w:rPr>
              <w:t>→ Pitch Deck und Unterlagen erhalten</w:t>
            </w:r>
          </w:p>
          <w:p>
            <w:r>
              <w:rPr>
                <w:rFonts w:ascii="Calibri" w:hAnsi="Calibri"/>
                <w:b w:val="0"/>
                <w:i w:val="0"/>
                <w:color w:val="FFFFFF"/>
                <w:sz w:val="19"/>
              </w:rPr>
              <w:t>→ Investmententscheid intern abgestimmt</w:t>
            </w:r>
          </w:p>
          <w:p>
            <w:r>
              <w:rPr>
                <w:rFonts w:ascii="Calibri" w:hAnsi="Calibri"/>
                <w:b w:val="0"/>
                <w:i w:val="0"/>
                <w:color w:val="FFFFFF"/>
                <w:sz w:val="19"/>
              </w:rPr>
              <w:t>→ Abschluss über eigene Bank / Custody-Lösung</w:t>
            </w:r>
          </w:p>
        </w:tc>
      </w:tr>
    </w:tbl>
    <w:p>
      <w:pPr>
        <w:spacing w:after="40"/>
      </w:pPr>
    </w:p>
    <w:tbl>
      <w:tblPr>
        <w:tblStyle w:val="TableGrid"/>
        <w:tblW w:type="auto" w:w="0"/>
        <w:tblLook w:firstColumn="1" w:firstRow="1" w:lastColumn="0" w:lastRow="0" w:noHBand="0" w:noVBand="1" w:val="04A0"/>
      </w:tblPr>
      <w:tblGrid>
        <w:gridCol w:w="8612"/>
      </w:tblGrid>
      <w:tr>
        <w:tc>
          <w:tcPr>
            <w:tcW w:type="dxa" w:w="8612"/>
            <w:shd w:val="clear" w:color="auto" w:fill="1a5c38"/>
            <w:tcMar>
              <w:top w:w="100" w:type="dxa"/>
              <w:bottom w:w="100" w:type="dxa"/>
              <w:left w:w="140" w:type="dxa"/>
              <w:right w:w="140" w:type="dxa"/>
            </w:tcMar>
          </w:tcPr>
          <w:p>
            <w:r>
              <w:rPr>
                <w:rFonts w:ascii="Calibri" w:hAnsi="Calibri"/>
                <w:b/>
                <w:i w:val="0"/>
                <w:color w:val="FFFFFF"/>
                <w:sz w:val="24"/>
              </w:rPr>
              <w:t xml:space="preserve">✓  INVESTMENT GETÄTIGT  </w:t>
            </w:r>
            <w:r>
              <w:rPr>
                <w:rFonts w:ascii="Calibri" w:hAnsi="Calibri"/>
                <w:b w:val="0"/>
                <w:i w:val="0"/>
                <w:color w:val="B0E8C0"/>
                <w:sz w:val="22"/>
              </w:rPr>
              <w:t>— Beastly hat einen neuen Investor.</w:t>
            </w:r>
          </w:p>
        </w:tc>
      </w:tr>
    </w:tbl>
    <w:p>
      <w:pPr>
        <w:spacing w:after="80"/>
      </w:pPr>
    </w:p>
    <w:p>
      <w:pPr>
        <w:spacing w:before="40" w:after="40"/>
        <w:jc w:val="center"/>
      </w:pPr>
      <w:r>
        <w:rPr>
          <w:rFonts w:ascii="Calibri" w:hAnsi="Calibri"/>
          <w:b w:val="0"/>
          <w:i w:val="0"/>
          <w:color w:val="A176F4"/>
          <w:sz w:val="28"/>
        </w:rPr>
        <w:t>▼</w:t>
      </w:r>
    </w:p>
    <w:tbl>
      <w:tblPr>
        <w:tblStyle w:val="TableGrid"/>
        <w:tblW w:type="auto" w:w="0"/>
        <w:tblLook w:firstColumn="1" w:firstRow="1" w:lastColumn="0" w:lastRow="0" w:noHBand="0" w:noVBand="1" w:val="04A0"/>
      </w:tblPr>
      <w:tblGrid>
        <w:gridCol w:w="8612"/>
      </w:tblGrid>
      <w:tr>
        <w:tc>
          <w:tcPr>
            <w:tcW w:type="dxa" w:w="8612"/>
            <w:shd w:val="clear" w:color="auto" w:fill="2D1B5E"/>
            <w:tcMar>
              <w:top w:w="100" w:type="dxa"/>
              <w:bottom w:w="100" w:type="dxa"/>
              <w:left w:w="140" w:type="dxa"/>
              <w:right w:w="140" w:type="dxa"/>
            </w:tcMar>
          </w:tcPr>
          <w:p>
            <w:r>
              <w:rPr>
                <w:rFonts w:ascii="Calibri" w:hAnsi="Calibri"/>
                <w:b/>
                <w:i w:val="0"/>
                <w:color w:val="A176F4"/>
                <w:sz w:val="21"/>
              </w:rPr>
              <w:t>POST-INVESTMENT — Bindung &amp; Weiterempfehlung</w:t>
            </w:r>
          </w:p>
          <w:p>
            <w:r>
              <w:rPr>
                <w:rFonts w:ascii="Calibri" w:hAnsi="Calibri"/>
                <w:b w:val="0"/>
                <w:i w:val="0"/>
                <w:color w:val="E0D8FF"/>
                <w:sz w:val="19"/>
              </w:rPr>
              <w:t>→  Wirkungskommunikation: Welche Projekte wurden unterstützt, was hat das ausgelöst?</w:t>
            </w:r>
          </w:p>
          <w:p>
            <w:r>
              <w:rPr>
                <w:rFonts w:ascii="Calibri" w:hAnsi="Calibri"/>
                <w:b w:val="0"/>
                <w:i w:val="0"/>
                <w:color w:val="E0D8FF"/>
                <w:sz w:val="19"/>
              </w:rPr>
              <w:t>→  Transparenz-Updates: Jahresbericht, Mittelverwendung, Portfolio-Entwicklung</w:t>
            </w:r>
          </w:p>
          <w:p>
            <w:r>
              <w:rPr>
                <w:rFonts w:ascii="Calibri" w:hAnsi="Calibri"/>
                <w:b w:val="0"/>
                <w:i w:val="0"/>
                <w:color w:val="E0D8FF"/>
                <w:sz w:val="19"/>
              </w:rPr>
              <w:t>→  Einladung zu Events und Moments (Swiss Funds Anlass, Tierschutz-Momente)</w:t>
            </w:r>
          </w:p>
          <w:p>
            <w:r>
              <w:rPr>
                <w:rFonts w:ascii="Calibri" w:hAnsi="Calibri"/>
                <w:b w:val="0"/>
                <w:i w:val="0"/>
                <w:color w:val="E0D8FF"/>
                <w:sz w:val="19"/>
              </w:rPr>
              <w:t>→  Weiterempfehlung: Zufriedene Investoren sind der stärkste Kanal</w:t>
            </w:r>
          </w:p>
        </w:tc>
      </w:tr>
    </w:tbl>
    <w:p>
      <w:pPr>
        <w:spacing w:after="160"/>
      </w:pPr>
    </w:p>
    <w:p>
      <w:pPr>
        <w:spacing w:before="120" w:after="120"/>
        <w:pBdr>
          <w:bottom w:val="single" w:sz="4" w:space="1" w:color="a176f4"/>
        </w:pBdr>
      </w:pPr>
    </w:p>
    <w:p>
      <w:r>
        <w:br w:type="page"/>
      </w:r>
    </w:p>
    <w:p>
      <w:pPr>
        <w:spacing w:before="360" w:after="120"/>
      </w:pPr>
      <w:r>
        <w:rPr>
          <w:rFonts w:ascii="Calibri" w:hAnsi="Calibri"/>
          <w:b/>
          <w:i w:val="0"/>
          <w:color w:val="4B319B"/>
          <w:sz w:val="32"/>
        </w:rPr>
        <w:t>6.  Die Kommunikationselemente</w:t>
      </w:r>
    </w:p>
    <w:p>
      <w:pPr>
        <w:spacing w:after="140"/>
      </w:pPr>
      <w:r>
        <w:rPr>
          <w:rFonts w:ascii="Calibri" w:hAnsi="Calibri"/>
          <w:b w:val="0"/>
          <w:i w:val="0"/>
          <w:color w:val="333333"/>
          <w:sz w:val="21"/>
        </w:rPr>
        <w:t>Die acht Kommunikationselemente sind nach der Umsetzungslogik priorisiert: Fundament → Marke → Sichtbarkeit → Reichweite. Jedes Element enthält die strategische Begründung.</w:t>
      </w:r>
    </w:p>
    <w:p>
      <w:pPr>
        <w:spacing w:before="240" w:after="80"/>
      </w:pPr>
      <w:r>
        <w:rPr>
          <w:rFonts w:ascii="Calibri" w:hAnsi="Calibri"/>
          <w:b/>
          <w:i w:val="0"/>
          <w:color w:val="1A1033"/>
          <w:sz w:val="24"/>
        </w:rPr>
        <w:t>6.1  Logo und Branding — schärfen</w:t>
      </w:r>
    </w:p>
    <w:p>
      <w:pPr>
        <w:spacing w:after="140"/>
      </w:pPr>
      <w:r>
        <w:rPr>
          <w:rFonts w:ascii="Calibri" w:hAnsi="Calibri"/>
          <w:b w:val="0"/>
          <w:i w:val="0"/>
          <w:color w:val="333333"/>
          <w:sz w:val="21"/>
        </w:rPr>
        <w:t>Das Branding-System steht: DM Sans, Farbpalette (Navy #142233 / Clay #BD5435 / Ivory #F7EFE0), drei Logo-Varianten. Die strategische Aufgabe ist jetzt die Rollentrennung visuell zu verankern: Beastly als emotionaler Markenauftritt, Chipiron als diskreter Absender am Rande. Die duale Bildwelt (starke vs. schützenswerte Tiere) wird als konsistentes visuelles System ausgebaut — nicht als einmaliger Designentscheid.</w:t>
      </w:r>
    </w:p>
    <w:tbl>
      <w:tblPr>
        <w:tblStyle w:val="TableGrid"/>
        <w:tblW w:type="auto" w:w="0"/>
        <w:tblLook w:firstColumn="1" w:firstRow="1" w:lastColumn="0" w:lastRow="0" w:noHBand="0" w:noVBand="1" w:val="04A0"/>
      </w:tblPr>
      <w:tblGrid>
        <w:gridCol w:w="8612"/>
      </w:tblGrid>
      <w:tr>
        <w:tc>
          <w:tcPr>
            <w:tcW w:type="dxa" w:w="8612"/>
            <w:shd w:val="clear" w:color="auto" w:fill="EDF2FB"/>
            <w:tcMar>
              <w:top w:w="80" w:type="dxa"/>
              <w:bottom w:w="80" w:type="dxa"/>
              <w:left w:w="120" w:type="dxa"/>
              <w:right w:w="120" w:type="dxa"/>
            </w:tcMar>
          </w:tcPr>
          <w:p>
            <w:r>
              <w:rPr>
                <w:rFonts w:ascii="Calibri" w:hAnsi="Calibri"/>
                <w:b/>
                <w:i w:val="0"/>
                <w:color w:val="4B319B"/>
                <w:sz w:val="17"/>
              </w:rPr>
              <w:t xml:space="preserve">WARUM  </w:t>
            </w:r>
            <w:r>
              <w:rPr>
                <w:rFonts w:ascii="Calibri" w:hAnsi="Calibri"/>
                <w:b w:val="0"/>
                <w:i w:val="0"/>
                <w:color w:val="1A1033"/>
                <w:sz w:val="19"/>
              </w:rPr>
              <w:t>Solange die Markenarchitektur visuell nicht klar ist, sendet jede Massnahme ein widersprüchliches Signal. Das Branding ist die Sprache, in der alles andere kommuniziert wird.</w:t>
            </w:r>
          </w:p>
        </w:tc>
      </w:tr>
    </w:tbl>
    <w:p>
      <w:pPr>
        <w:spacing w:after="80"/>
      </w:pPr>
    </w:p>
    <w:p>
      <w:pPr>
        <w:spacing w:before="240" w:after="80"/>
      </w:pPr>
      <w:r>
        <w:rPr>
          <w:rFonts w:ascii="Calibri" w:hAnsi="Calibri"/>
          <w:b/>
          <w:i w:val="0"/>
          <w:color w:val="1A1033"/>
          <w:sz w:val="24"/>
        </w:rPr>
        <w:t>6.2  Webseite — überarbeiten</w:t>
      </w:r>
    </w:p>
    <w:p>
      <w:pPr>
        <w:spacing w:after="140"/>
      </w:pPr>
      <w:r>
        <w:rPr>
          <w:rFonts w:ascii="Calibri" w:hAnsi="Calibri"/>
          <w:b w:val="0"/>
          <w:i w:val="0"/>
          <w:color w:val="333333"/>
          <w:sz w:val="21"/>
        </w:rPr>
        <w:t>Die Website ist der Vertrauensschritt im Funnel — kein Akquise-Instrument. Sie wird von Menschen besucht, die sich bereits interessieren und mehr wissen wollen. Heute zeigt die Seite Werte, aber lebt sie nicht: Gesichter fehlen, die Gründerstory ist kaum sichtbar, die Substanz ist nicht direkt zugänglich. Das visuelle Konzept wird durch Fabio parallel erarbeitet und als Bestandteil dieser Strategie ergänzt. Inhaltlich: volle Transparenz direkt sichtbar — nicht gestaffelt.</w:t>
      </w:r>
    </w:p>
    <w:tbl>
      <w:tblPr>
        <w:tblStyle w:val="TableGrid"/>
        <w:tblW w:type="auto" w:w="0"/>
        <w:tblLook w:firstColumn="1" w:firstRow="1" w:lastColumn="0" w:lastRow="0" w:noHBand="0" w:noVBand="1" w:val="04A0"/>
      </w:tblPr>
      <w:tblGrid>
        <w:gridCol w:w="8612"/>
      </w:tblGrid>
      <w:tr>
        <w:tc>
          <w:tcPr>
            <w:tcW w:type="dxa" w:w="8612"/>
            <w:shd w:val="clear" w:color="auto" w:fill="EDF2FB"/>
            <w:tcMar>
              <w:top w:w="80" w:type="dxa"/>
              <w:bottom w:w="80" w:type="dxa"/>
              <w:left w:w="120" w:type="dxa"/>
              <w:right w:w="120" w:type="dxa"/>
            </w:tcMar>
          </w:tcPr>
          <w:p>
            <w:r>
              <w:rPr>
                <w:rFonts w:ascii="Calibri" w:hAnsi="Calibri"/>
                <w:b/>
                <w:i w:val="0"/>
                <w:color w:val="4B319B"/>
                <w:sz w:val="17"/>
              </w:rPr>
              <w:t xml:space="preserve">WARUM  </w:t>
            </w:r>
            <w:r>
              <w:rPr>
                <w:rFonts w:ascii="Calibri" w:hAnsi="Calibri"/>
                <w:b w:val="0"/>
                <w:i w:val="0"/>
                <w:color w:val="1A1033"/>
                <w:sz w:val="19"/>
              </w:rPr>
              <w:t>Die Website ist der einzige vollständig kontrollierbare Kommunikationskanal. Sie muss die Vertrauensfrage beantworten — durch Beweis, nicht durch Versprechen.</w:t>
            </w:r>
          </w:p>
        </w:tc>
      </w:tr>
    </w:tbl>
    <w:p>
      <w:pPr>
        <w:spacing w:after="80"/>
      </w:pPr>
    </w:p>
    <w:p>
      <w:pPr>
        <w:spacing w:before="240" w:after="80"/>
      </w:pPr>
      <w:r>
        <w:rPr>
          <w:rFonts w:ascii="Calibri" w:hAnsi="Calibri"/>
          <w:b/>
          <w:i w:val="0"/>
          <w:color w:val="1A1033"/>
          <w:sz w:val="24"/>
        </w:rPr>
        <w:t>6.3  Personal Branding — Viktor Ackermann</w:t>
      </w:r>
    </w:p>
    <w:p>
      <w:pPr>
        <w:spacing w:after="140"/>
      </w:pPr>
      <w:r>
        <w:rPr>
          <w:rFonts w:ascii="Calibri" w:hAnsi="Calibri"/>
          <w:b w:val="0"/>
          <w:i w:val="0"/>
          <w:color w:val="333333"/>
          <w:sz w:val="21"/>
        </w:rPr>
        <w:t>Viktor Ackermann soll ein öffentliches LinkedIn-Profil als eigenständige Persönlichkeit aufbauen. Nicht als «CEO von Beastly», sondern als Mensch mit einer Überzeugung. Lydia flankiert — Viktor ist der Hauptakteur.</w:t>
      </w:r>
    </w:p>
    <w:p>
      <w:pPr>
        <w:spacing w:before="160" w:after="60"/>
      </w:pPr>
      <w:r>
        <w:rPr>
          <w:rFonts w:ascii="Calibri" w:hAnsi="Calibri"/>
          <w:b/>
          <w:i w:val="0"/>
          <w:color w:val="142233"/>
          <w:sz w:val="21"/>
        </w:rPr>
        <w:t>Was macht Viktors Profil aus?</w:t>
      </w:r>
    </w:p>
    <w:p>
      <w:pPr>
        <w:spacing w:after="140"/>
      </w:pPr>
      <w:r>
        <w:rPr>
          <w:rFonts w:ascii="Calibri" w:hAnsi="Calibri"/>
          <w:b w:val="0"/>
          <w:i w:val="0"/>
          <w:color w:val="333333"/>
          <w:sz w:val="21"/>
        </w:rPr>
        <w:t>Drei Ebenen prägen seinen Auftritt:</w:t>
      </w:r>
    </w:p>
    <w:p>
      <w:pPr>
        <w:pStyle w:val="ListBullet"/>
        <w:spacing w:after="60"/>
      </w:pPr>
      <w:r>
        <w:rPr>
          <w:rFonts w:ascii="Calibri" w:hAnsi="Calibri"/>
          <w:b/>
          <w:i w:val="0"/>
          <w:color w:val="333333"/>
          <w:sz w:val="21"/>
        </w:rPr>
        <w:t xml:space="preserve">Haltung  </w:t>
      </w:r>
      <w:r>
        <w:rPr>
          <w:rFonts w:ascii="Calibri" w:hAnsi="Calibri"/>
          <w:b w:val="0"/>
          <w:i w:val="0"/>
          <w:color w:val="333333"/>
          <w:sz w:val="21"/>
        </w:rPr>
        <w:t>Die persönliche Geschichte: FourGive, Ägypten, die Erkenntnis. Das ist die Gründungsmotivation — sie darf nicht im Kleingedruckten stehen.</w:t>
      </w:r>
    </w:p>
    <w:p>
      <w:pPr>
        <w:pStyle w:val="ListBullet"/>
        <w:spacing w:after="60"/>
      </w:pPr>
      <w:r>
        <w:rPr>
          <w:rFonts w:ascii="Calibri" w:hAnsi="Calibri"/>
          <w:b/>
          <w:i w:val="0"/>
          <w:color w:val="333333"/>
          <w:sz w:val="21"/>
        </w:rPr>
        <w:t xml:space="preserve">Expertise  </w:t>
      </w:r>
      <w:r>
        <w:rPr>
          <w:rFonts w:ascii="Calibri" w:hAnsi="Calibri"/>
          <w:b w:val="0"/>
          <w:i w:val="0"/>
          <w:color w:val="333333"/>
          <w:sz w:val="21"/>
        </w:rPr>
        <w:t>Investment-Perspektive: Wie denkt Viktor über Kapitalallokation, Risiko, Finanzmarkt? Er ist nicht nur Tierschützer — er ist Investor mit Überzeugung.</w:t>
      </w:r>
    </w:p>
    <w:p>
      <w:pPr>
        <w:pStyle w:val="ListBullet"/>
        <w:spacing w:after="60"/>
      </w:pPr>
      <w:r>
        <w:rPr>
          <w:rFonts w:ascii="Calibri" w:hAnsi="Calibri"/>
          <w:b/>
          <w:i w:val="0"/>
          <w:color w:val="333333"/>
          <w:sz w:val="21"/>
        </w:rPr>
        <w:t xml:space="preserve">Wirkung  </w:t>
      </w:r>
      <w:r>
        <w:rPr>
          <w:rFonts w:ascii="Calibri" w:hAnsi="Calibri"/>
          <w:b w:val="0"/>
          <w:i w:val="0"/>
          <w:color w:val="333333"/>
          <w:sz w:val="21"/>
        </w:rPr>
        <w:t>Wirkungsebene: Was passiert mit den Projekten? Echte Momente, reale Geschichten, Fortschritte.</w:t>
      </w:r>
    </w:p>
    <w:p>
      <w:pPr>
        <w:spacing w:before="160" w:after="60"/>
      </w:pPr>
      <w:r>
        <w:rPr>
          <w:rFonts w:ascii="Calibri" w:hAnsi="Calibri"/>
          <w:b/>
          <w:i w:val="0"/>
          <w:color w:val="142233"/>
          <w:sz w:val="21"/>
        </w:rPr>
        <w:t>Was wird nicht gemacht?</w:t>
      </w:r>
    </w:p>
    <w:p>
      <w:pPr>
        <w:pStyle w:val="ListBullet"/>
        <w:spacing w:after="60"/>
      </w:pPr>
      <w:r>
        <w:rPr>
          <w:rFonts w:ascii="Calibri" w:hAnsi="Calibri"/>
          <w:b w:val="0"/>
          <w:i w:val="0"/>
          <w:color w:val="333333"/>
          <w:sz w:val="21"/>
        </w:rPr>
        <w:t>Keine Werbeposts für Beastly («Investiert jetzt!»)</w:t>
      </w:r>
    </w:p>
    <w:p>
      <w:pPr>
        <w:pStyle w:val="ListBullet"/>
        <w:spacing w:after="60"/>
      </w:pPr>
      <w:r>
        <w:rPr>
          <w:rFonts w:ascii="Calibri" w:hAnsi="Calibri"/>
          <w:b w:val="0"/>
          <w:i w:val="0"/>
          <w:color w:val="333333"/>
          <w:sz w:val="21"/>
        </w:rPr>
        <w:t>Kein aktivistischer Ton («Tierleid muss aufhören!»)</w:t>
      </w:r>
    </w:p>
    <w:p>
      <w:pPr>
        <w:pStyle w:val="ListBullet"/>
        <w:spacing w:after="60"/>
      </w:pPr>
      <w:r>
        <w:rPr>
          <w:rFonts w:ascii="Calibri" w:hAnsi="Calibri"/>
          <w:b w:val="0"/>
          <w:i w:val="0"/>
          <w:color w:val="333333"/>
          <w:sz w:val="21"/>
        </w:rPr>
        <w:t>Kein permanentes Selbstmarketing</w:t>
      </w:r>
    </w:p>
    <w:p>
      <w:pPr>
        <w:spacing w:before="160" w:after="60"/>
      </w:pPr>
      <w:r>
        <w:rPr>
          <w:rFonts w:ascii="Calibri" w:hAnsi="Calibri"/>
          <w:b/>
          <w:i w:val="0"/>
          <w:color w:val="142233"/>
          <w:sz w:val="21"/>
        </w:rPr>
        <w:t>Content-Prinzip</w:t>
      </w:r>
    </w:p>
    <w:p>
      <w:pPr>
        <w:spacing w:after="140"/>
      </w:pPr>
      <w:r>
        <w:rPr>
          <w:rFonts w:ascii="Calibri" w:hAnsi="Calibri"/>
          <w:b w:val="0"/>
          <w:i w:val="0"/>
          <w:color w:val="333333"/>
          <w:sz w:val="21"/>
        </w:rPr>
        <w:t>Viktor postet so, wie er spricht: direkt, reflektiert, ohne Schönfärberei. Haltung zeigen, ohne zu predigen. Das ist der schwerste Teil — und der wirkungsvollste.</w:t>
      </w:r>
    </w:p>
    <w:p>
      <w:pPr>
        <w:spacing w:after="140"/>
      </w:pPr>
      <w:r>
        <w:rPr>
          <w:rFonts w:ascii="Calibri" w:hAnsi="Calibri"/>
          <w:b w:val="0"/>
          <w:i w:val="0"/>
          <w:color w:val="333333"/>
          <w:sz w:val="21"/>
        </w:rPr>
        <w:t>Lydia flankiert sichtbar dort, wo es natürlich ist: gemeinsame Momente, FourGive-Besuche, persönliche Statements. Kein erzwungenes Branding.</w:t>
      </w:r>
    </w:p>
    <w:tbl>
      <w:tblPr>
        <w:tblStyle w:val="TableGrid"/>
        <w:tblW w:type="auto" w:w="0"/>
        <w:tblLook w:firstColumn="1" w:firstRow="1" w:lastColumn="0" w:lastRow="0" w:noHBand="0" w:noVBand="1" w:val="04A0"/>
      </w:tblPr>
      <w:tblGrid>
        <w:gridCol w:w="8612"/>
      </w:tblGrid>
      <w:tr>
        <w:tc>
          <w:tcPr>
            <w:tcW w:type="dxa" w:w="8612"/>
            <w:shd w:val="clear" w:color="auto" w:fill="EDF2FB"/>
            <w:tcMar>
              <w:top w:w="80" w:type="dxa"/>
              <w:bottom w:w="80" w:type="dxa"/>
              <w:left w:w="120" w:type="dxa"/>
              <w:right w:w="120" w:type="dxa"/>
            </w:tcMar>
          </w:tcPr>
          <w:p>
            <w:r>
              <w:rPr>
                <w:rFonts w:ascii="Calibri" w:hAnsi="Calibri"/>
                <w:b/>
                <w:i w:val="0"/>
                <w:color w:val="4B319B"/>
                <w:sz w:val="17"/>
              </w:rPr>
              <w:t xml:space="preserve">WARUM  </w:t>
            </w:r>
            <w:r>
              <w:rPr>
                <w:rFonts w:ascii="Calibri" w:hAnsi="Calibri"/>
                <w:b w:val="0"/>
                <w:i w:val="0"/>
                <w:color w:val="1A1033"/>
                <w:sz w:val="19"/>
              </w:rPr>
              <w:t>Persönliche Profile sind in dieser Grösse und Branche um ein Vielfaches wirksamer als Unternehmensprofile. Viktor ist die glaubwürdigste Stimme für Beastly — weil er das Produkt nicht nur führt, sondern lebt. Ohne diese menschliche Ebene bleibt Beastly abstrakt.</w:t>
            </w:r>
          </w:p>
        </w:tc>
      </w:tr>
    </w:tbl>
    <w:p>
      <w:pPr>
        <w:spacing w:after="80"/>
      </w:pPr>
    </w:p>
    <w:p>
      <w:pPr>
        <w:spacing w:before="240" w:after="80"/>
      </w:pPr>
      <w:r>
        <w:rPr>
          <w:rFonts w:ascii="Calibri" w:hAnsi="Calibri"/>
          <w:b/>
          <w:i w:val="0"/>
          <w:color w:val="1A1033"/>
          <w:sz w:val="24"/>
        </w:rPr>
        <w:t>6.4  Kanalstrategie Social Media</w:t>
      </w:r>
    </w:p>
    <w:p>
      <w:r>
        <w:rPr>
          <w:sz w:val="18"/>
        </w:rPr>
        <w:t>Beastly startet mit LinkedIn — das ist gesetzt. Die übrigen Kanäle sind kombinierbare Optionen, die schrittweise hinzugenommen werden. Entscheidend: Jeder Kanal hat eine eigene Aufgabe im Kommunikationssystem. Es geht nicht darum, überall präsent zu sein — sondern auf dem richtigen Kanal die richtige Energie zu bringen.</w:t>
      </w:r>
    </w:p>
    <w:tbl>
      <w:tblPr>
        <w:tblStyle w:val="TableGrid"/>
        <w:tblW w:type="auto" w:w="0"/>
        <w:tblLook w:firstColumn="1" w:firstRow="1" w:lastColumn="0" w:lastRow="0" w:noHBand="0" w:noVBand="1" w:val="04A0"/>
      </w:tblPr>
      <w:tblGrid>
        <w:gridCol w:w="8612"/>
      </w:tblGrid>
      <w:tr>
        <w:tc>
          <w:tcPr>
            <w:tcW w:type="dxa" w:w="8612"/>
            <w:shd w:val="clear" w:color="auto" w:fill="0A66C2"/>
            <w:tcMar>
              <w:top w:w="100" w:type="dxa"/>
              <w:bottom w:w="100" w:type="dxa"/>
              <w:left w:w="140" w:type="dxa"/>
              <w:right w:w="140" w:type="dxa"/>
            </w:tcMar>
          </w:tcPr>
          <w:p>
            <w:r>
              <w:rPr>
                <w:rFonts w:ascii="Calibri" w:hAnsi="Calibri"/>
                <w:b/>
                <w:i w:val="0"/>
                <w:color w:val="FFFFFF"/>
                <w:sz w:val="22"/>
              </w:rPr>
              <w:t>LINKEDIN — Gesetzter Ausgangspunkt (nicht verhandelbar)</w:t>
            </w:r>
          </w:p>
          <w:p>
            <w:r>
              <w:rPr>
                <w:rFonts w:ascii="Calibri" w:hAnsi="Calibri"/>
                <w:b w:val="0"/>
                <w:i w:val="0"/>
                <w:color w:val="FFFFFF"/>
                <w:sz w:val="19"/>
              </w:rPr>
              <w:t>→  Professionelle Zielgruppe ist hier präsent — sowohl Retail-affine als auch institutionelle Investoren</w:t>
            </w:r>
          </w:p>
          <w:p>
            <w:r>
              <w:rPr>
                <w:rFonts w:ascii="Calibri" w:hAnsi="Calibri"/>
                <w:b w:val="0"/>
                <w:i w:val="0"/>
                <w:color w:val="FFFFFF"/>
                <w:sz w:val="19"/>
              </w:rPr>
              <w:t>→  Plattform erlaubt tiefe, substanzielle Inhalte — ideal für Vertrauen und Erklärung</w:t>
            </w:r>
          </w:p>
          <w:p>
            <w:r>
              <w:rPr>
                <w:rFonts w:ascii="Calibri" w:hAnsi="Calibri"/>
                <w:b w:val="0"/>
                <w:i w:val="0"/>
                <w:color w:val="FFFFFF"/>
                <w:sz w:val="19"/>
              </w:rPr>
              <w:t>→  Viktors persönliches Profil und Beastlys Markenkanal sind auf derselben Plattform</w:t>
            </w:r>
          </w:p>
          <w:p>
            <w:r>
              <w:rPr>
                <w:rFonts w:ascii="Calibri" w:hAnsi="Calibri"/>
                <w:b w:val="0"/>
                <w:i w:val="0"/>
                <w:color w:val="FFFFFF"/>
                <w:sz w:val="19"/>
              </w:rPr>
              <w:t>→  Höchste Qualität der Engagements im Vergleich zu anderen Kanälen</w:t>
            </w:r>
          </w:p>
        </w:tc>
      </w:tr>
    </w:tbl>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4b319b"/>
            <w:tcMar>
              <w:top w:w="100" w:type="dxa"/>
              <w:bottom w:w="100" w:type="dxa"/>
              <w:left w:w="150" w:type="dxa"/>
              <w:right w:w="150" w:type="dxa"/>
            </w:tcMar>
          </w:tcPr>
          <w:p>
            <w:r>
              <w:rPr>
                <w:b/>
                <w:color w:val="FFFFFF"/>
                <w:sz w:val="20"/>
              </w:rPr>
              <w:t>WAS LINKEDIN FÜR BEASTLY KONKRET BEWIRKT</w:t>
            </w:r>
          </w:p>
        </w:tc>
      </w:tr>
      <w:tr>
        <w:tc>
          <w:tcPr>
            <w:tcW w:type="dxa" w:w="8612"/>
            <w:shd w:val="clear" w:color="auto" w:fill="EEE8F7"/>
            <w:tcMar>
              <w:top w:w="85" w:type="dxa"/>
              <w:bottom w:w="90" w:type="dxa"/>
              <w:left w:w="150" w:type="dxa"/>
              <w:right w:w="150" w:type="dxa"/>
            </w:tcMar>
          </w:tcPr>
          <w:p>
            <w:r>
              <w:rPr>
                <w:b/>
                <w:color w:val="4B319B"/>
                <w:sz w:val="18"/>
              </w:rPr>
              <w:t>Professionelles Vertrauen im Finanzumfeld</w:t>
            </w:r>
          </w:p>
          <w:p>
            <w:r>
              <w:rPr>
                <w:sz w:val="18"/>
              </w:rPr>
              <w:t>LinkedIn ist der einzige Kanal, auf dem Investitionsentscheide durch Content direkt beeinflusst werden. Wer Viktor's Haltung als Gründer kennt, vertraut der Marke dahinter. Anders als visuelle Plattformen erlaubt LinkedIn tiefe, substanzielle Posts — Texte die erklären, Argumente die überzeugen.</w:t>
            </w:r>
          </w:p>
        </w:tc>
      </w:tr>
      <w:tr>
        <w:tc>
          <w:tcPr>
            <w:tcW w:type="dxa" w:w="8612"/>
            <w:shd w:val="clear" w:color="auto" w:fill="F5F0FC"/>
            <w:tcMar>
              <w:top w:w="85" w:type="dxa"/>
              <w:bottom w:w="90" w:type="dxa"/>
              <w:left w:w="150" w:type="dxa"/>
              <w:right w:w="150" w:type="dxa"/>
            </w:tcMar>
          </w:tcPr>
          <w:p>
            <w:r>
              <w:rPr>
                <w:b/>
                <w:color w:val="4B319B"/>
                <w:sz w:val="18"/>
              </w:rPr>
              <w:t>Viktor und Beastly verstärken sich gegenseitig</w:t>
            </w:r>
          </w:p>
          <w:p>
            <w:r>
              <w:rPr>
                <w:sz w:val="18"/>
              </w:rPr>
              <w:t>Persönliche Profile erzielen auf LinkedIn in dieser Unternehmensgrösse ein Vielfaches mehr organische Reichweite als Unternehmensseiten. Viktor baut persönliche Reichweite auf, Beastly liefert institutionelle Substanz. Beide Kanäle bauen das Vertrauens-Ökosystem auf.</w:t>
            </w:r>
          </w:p>
        </w:tc>
      </w:tr>
      <w:tr>
        <w:tc>
          <w:tcPr>
            <w:tcW w:type="dxa" w:w="8612"/>
            <w:shd w:val="clear" w:color="auto" w:fill="EEE8F7"/>
            <w:tcMar>
              <w:top w:w="85" w:type="dxa"/>
              <w:bottom w:w="90" w:type="dxa"/>
              <w:left w:w="150" w:type="dxa"/>
              <w:right w:w="150" w:type="dxa"/>
            </w:tcMar>
          </w:tcPr>
          <w:p>
            <w:r>
              <w:rPr>
                <w:b/>
                <w:color w:val="4B319B"/>
                <w:sz w:val="18"/>
              </w:rPr>
              <w:t>Was Viktor postet — persönliches Profil</w:t>
            </w:r>
          </w:p>
          <w:p>
            <w:r>
              <w:rPr>
                <w:sz w:val="18"/>
              </w:rPr>
              <w:t>—  Investment-Reflexionen: Wie denkt Viktor über Kapitalallokation, Risiko und das Schweizer Finanzsystem?</w:t>
            </w:r>
          </w:p>
          <w:p>
            <w:r>
              <w:rPr>
                <w:sz w:val="18"/>
              </w:rPr>
              <w:t>—  Persönliche Haltung: Warum Tierschutz und Rendite kein Widerspruch sind — konkret, klar, ohne Pathos</w:t>
            </w:r>
          </w:p>
          <w:p>
            <w:r>
              <w:rPr>
                <w:sz w:val="18"/>
              </w:rPr>
              <w:t>—  Gründungsmomente: Einzelne Szenen aus Ägypten, aus dem Aufbau von Beastly, aus FourGive</w:t>
            </w:r>
          </w:p>
          <w:p>
            <w:r>
              <w:rPr>
                <w:sz w:val="18"/>
              </w:rPr>
              <w:t>—  Ehrliche Einblicke: Was funktioniert, was ist schwierig, was haben wir gelernt?</w:t>
            </w:r>
          </w:p>
          <w:p>
            <w:r>
              <w:rPr>
                <w:sz w:val="18"/>
              </w:rPr>
              <w:t>—  Lydia flankiert dort, wo es natürlich ist — gemeinsame Momente, FourGive-Besuche, persönliche Statements</w:t>
            </w:r>
          </w:p>
        </w:tc>
      </w:tr>
      <w:tr>
        <w:tc>
          <w:tcPr>
            <w:tcW w:type="dxa" w:w="8612"/>
            <w:shd w:val="clear" w:color="auto" w:fill="F5F0FC"/>
            <w:tcMar>
              <w:top w:w="85" w:type="dxa"/>
              <w:bottom w:w="90" w:type="dxa"/>
              <w:left w:w="150" w:type="dxa"/>
              <w:right w:w="150" w:type="dxa"/>
            </w:tcMar>
          </w:tcPr>
          <w:p>
            <w:r>
              <w:rPr>
                <w:b/>
                <w:color w:val="4B319B"/>
                <w:sz w:val="18"/>
              </w:rPr>
              <w:t>Was Beastly postet — Unternehmenskanal</w:t>
            </w:r>
          </w:p>
          <w:p>
            <w:r>
              <w:rPr>
                <w:sz w:val="18"/>
              </w:rPr>
              <w:t>—  Transparenz-Content: Lohnstruktur, Mittelverwendung, Animal Cruelty Free Screening — sichtbar, belegbar, echt</w:t>
            </w:r>
          </w:p>
          <w:p>
            <w:r>
              <w:rPr>
                <w:sz w:val="18"/>
              </w:rPr>
              <w:t>—  Wirkungsberichte: Was passiert mit dem investierten Geld? Welche Projekte werden unterstützt?</w:t>
            </w:r>
          </w:p>
          <w:p>
            <w:r>
              <w:rPr>
                <w:sz w:val="18"/>
              </w:rPr>
              <w:t>—  Bildwelt: Starke Tiere für Investment-Codes, schützenswerte Tiere für Wirkungskommunikation (FourGive)</w:t>
            </w:r>
          </w:p>
          <w:p>
            <w:r>
              <w:rPr>
                <w:sz w:val="18"/>
              </w:rPr>
              <w:t>—  Milestones: FINMA-Prozess, erste Investoren, erste messbare Kennzahlen</w:t>
            </w:r>
          </w:p>
        </w:tc>
      </w:tr>
    </w:tbl>
    <w:p/>
    <w:p>
      <w:r>
        <w:rPr>
          <w:b/>
          <w:color w:val="4B319B"/>
          <w:sz w:val="20"/>
        </w:rPr>
        <w:t>Kombinierbare Erweiterungsoptionen</w:t>
      </w:r>
    </w:p>
    <w:tbl>
      <w:tblPr>
        <w:tblStyle w:val="TableGrid"/>
        <w:tblW w:type="auto" w:w="0"/>
        <w:tblLook w:firstColumn="1" w:firstRow="1" w:lastColumn="0" w:lastRow="0" w:noHBand="0" w:noVBand="1" w:val="04A0"/>
      </w:tblPr>
      <w:tblGrid>
        <w:gridCol w:w="2871"/>
        <w:gridCol w:w="2871"/>
        <w:gridCol w:w="2871"/>
      </w:tblGrid>
      <w:tr>
        <w:tc>
          <w:tcPr>
            <w:tcW w:type="dxa" w:w="2871"/>
            <w:shd w:val="clear" w:color="auto" w:fill="1a1033"/>
            <w:tcMar>
              <w:top w:w="80" w:type="dxa"/>
              <w:bottom w:w="80" w:type="dxa"/>
              <w:left w:w="100" w:type="dxa"/>
              <w:right w:w="100" w:type="dxa"/>
            </w:tcMar>
          </w:tcPr>
          <w:p>
            <w:r>
              <w:rPr>
                <w:rFonts w:ascii="Calibri" w:hAnsi="Calibri"/>
                <w:b/>
                <w:i w:val="0"/>
                <w:color w:val="A176F4"/>
                <w:sz w:val="18"/>
              </w:rPr>
              <w:t>KANAL</w:t>
            </w:r>
          </w:p>
        </w:tc>
        <w:tc>
          <w:tcPr>
            <w:tcW w:type="dxa" w:w="2871"/>
            <w:shd w:val="clear" w:color="auto" w:fill="1a1033"/>
            <w:tcMar>
              <w:top w:w="80" w:type="dxa"/>
              <w:bottom w:w="80" w:type="dxa"/>
              <w:left w:w="100" w:type="dxa"/>
              <w:right w:w="100" w:type="dxa"/>
            </w:tcMar>
          </w:tcPr>
          <w:p>
            <w:r>
              <w:rPr>
                <w:rFonts w:ascii="Calibri" w:hAnsi="Calibri"/>
                <w:b/>
                <w:i w:val="0"/>
                <w:color w:val="A176F4"/>
                <w:sz w:val="18"/>
              </w:rPr>
              <w:t>SCHWERPUNKT &amp; INHALT</w:t>
            </w:r>
          </w:p>
        </w:tc>
        <w:tc>
          <w:tcPr>
            <w:tcW w:type="dxa" w:w="2871"/>
            <w:shd w:val="clear" w:color="auto" w:fill="1a1033"/>
            <w:tcMar>
              <w:top w:w="80" w:type="dxa"/>
              <w:bottom w:w="80" w:type="dxa"/>
              <w:left w:w="100" w:type="dxa"/>
              <w:right w:w="100" w:type="dxa"/>
            </w:tcMar>
          </w:tcPr>
          <w:p>
            <w:r>
              <w:rPr>
                <w:rFonts w:ascii="Calibri" w:hAnsi="Calibri"/>
                <w:b/>
                <w:i w:val="0"/>
                <w:color w:val="A176F4"/>
                <w:sz w:val="18"/>
              </w:rPr>
              <w:t>WANN SINNVOLL</w:t>
            </w:r>
          </w:p>
        </w:tc>
      </w:tr>
      <w:tr>
        <w:tc>
          <w:tcPr>
            <w:tcW w:type="dxa" w:w="2871"/>
            <w:shd w:val="clear" w:color="auto" w:fill="EDE8FF"/>
            <w:tcMar>
              <w:top w:w="80" w:type="dxa"/>
              <w:bottom w:w="80" w:type="dxa"/>
              <w:left w:w="100" w:type="dxa"/>
              <w:right w:w="100" w:type="dxa"/>
            </w:tcMar>
          </w:tcPr>
          <w:p>
            <w:r>
              <w:rPr>
                <w:rFonts w:ascii="Calibri" w:hAnsi="Calibri"/>
                <w:b/>
                <w:i w:val="0"/>
                <w:color w:val="4B319B"/>
                <w:sz w:val="20"/>
              </w:rPr>
              <w:t>+  INSTAGRAM / META</w:t>
            </w:r>
          </w:p>
        </w:tc>
        <w:tc>
          <w:tcPr>
            <w:tcW w:type="dxa" w:w="2871"/>
            <w:shd w:val="clear" w:color="auto" w:fill="F8F6FF"/>
            <w:tcMar>
              <w:top w:w="80" w:type="dxa"/>
              <w:bottom w:w="80" w:type="dxa"/>
              <w:left w:w="100" w:type="dxa"/>
              <w:right w:w="100" w:type="dxa"/>
            </w:tcMar>
          </w:tcPr>
          <w:p>
            <w:r>
              <w:rPr>
                <w:rFonts w:ascii="Calibri" w:hAnsi="Calibri"/>
                <w:b w:val="0"/>
                <w:i w:val="0"/>
                <w:color w:val="333333"/>
                <w:sz w:val="19"/>
              </w:rPr>
              <w:t>Visueller Schwerpunkt: Dual-Bildwelt, Tierwohl-Momente, FourGive-Geschichten, emotionale Momentaufnahmen. Beide Botschaften (Invest + Tierwohl) — Emotion führt.</w:t>
            </w:r>
          </w:p>
        </w:tc>
        <w:tc>
          <w:tcPr>
            <w:tcW w:type="dxa" w:w="2871"/>
            <w:shd w:val="clear" w:color="auto" w:fill="F8F6FF"/>
            <w:tcMar>
              <w:top w:w="80" w:type="dxa"/>
              <w:bottom w:w="80" w:type="dxa"/>
              <w:left w:w="100" w:type="dxa"/>
              <w:right w:w="100" w:type="dxa"/>
            </w:tcMar>
          </w:tcPr>
          <w:p>
            <w:r>
              <w:rPr>
                <w:rFonts w:ascii="Calibri" w:hAnsi="Calibri"/>
                <w:b w:val="0"/>
                <w:i w:val="0"/>
                <w:color w:val="555555"/>
                <w:sz w:val="19"/>
              </w:rPr>
              <w:t>Wenn visueller Content (Tierbilder, FourGive-Momente) produziert werden kann. Synergie mit Meta-Ads.</w:t>
            </w:r>
          </w:p>
        </w:tc>
      </w:tr>
      <w:tr>
        <w:tc>
          <w:tcPr>
            <w:tcW w:type="dxa" w:w="2871"/>
            <w:shd w:val="clear" w:color="auto" w:fill="EDE8FF"/>
            <w:tcMar>
              <w:top w:w="80" w:type="dxa"/>
              <w:bottom w:w="80" w:type="dxa"/>
              <w:left w:w="100" w:type="dxa"/>
              <w:right w:w="100" w:type="dxa"/>
            </w:tcMar>
          </w:tcPr>
          <w:p>
            <w:r>
              <w:rPr>
                <w:rFonts w:ascii="Calibri" w:hAnsi="Calibri"/>
                <w:b/>
                <w:i w:val="0"/>
                <w:color w:val="4B319B"/>
                <w:sz w:val="20"/>
              </w:rPr>
              <w:t>+  TIKTOK</w:t>
            </w:r>
          </w:p>
        </w:tc>
        <w:tc>
          <w:tcPr>
            <w:tcW w:type="dxa" w:w="2871"/>
            <w:shd w:val="clear" w:color="auto" w:fill="F0EDFF"/>
            <w:tcMar>
              <w:top w:w="80" w:type="dxa"/>
              <w:bottom w:w="80" w:type="dxa"/>
              <w:left w:w="100" w:type="dxa"/>
              <w:right w:w="100" w:type="dxa"/>
            </w:tcMar>
          </w:tcPr>
          <w:p>
            <w:r>
              <w:rPr>
                <w:rFonts w:ascii="Calibri" w:hAnsi="Calibri"/>
                <w:b w:val="0"/>
                <w:i w:val="0"/>
                <w:color w:val="333333"/>
                <w:sz w:val="19"/>
              </w:rPr>
              <w:t>Persönlichkeit und Gesichter: kurze, authentische Video-Formate. Viktor erklärt etwas. Ein Moment bei FourGive. Eine ehrliche Reflexion. Roher als LinkedIn.</w:t>
            </w:r>
          </w:p>
        </w:tc>
        <w:tc>
          <w:tcPr>
            <w:tcW w:type="dxa" w:w="2871"/>
            <w:shd w:val="clear" w:color="auto" w:fill="F0EDFF"/>
            <w:tcMar>
              <w:top w:w="80" w:type="dxa"/>
              <w:bottom w:w="80" w:type="dxa"/>
              <w:left w:w="100" w:type="dxa"/>
              <w:right w:w="100" w:type="dxa"/>
            </w:tcMar>
          </w:tcPr>
          <w:p>
            <w:r>
              <w:rPr>
                <w:rFonts w:ascii="Calibri" w:hAnsi="Calibri"/>
                <w:b w:val="0"/>
                <w:i w:val="0"/>
                <w:color w:val="555555"/>
                <w:sz w:val="19"/>
              </w:rPr>
              <w:t>Wenn Viktor bereit ist, sich selbst vor der Kamera zu zeigen. Höchster Produktionsaufwand per Kanal — aber stärkste Persönlichkeitswirkung.</w:t>
            </w:r>
          </w:p>
        </w:tc>
      </w:tr>
      <w:tr>
        <w:tc>
          <w:tcPr>
            <w:tcW w:type="dxa" w:w="2871"/>
          </w:tcPr>
          <w:p/>
        </w:tc>
        <w:tc>
          <w:tcPr>
            <w:tcW w:type="dxa" w:w="2871"/>
          </w:tcPr>
          <w:p/>
        </w:tc>
        <w:tc>
          <w:tcPr>
            <w:tcW w:type="dxa" w:w="2871"/>
          </w:tcPr>
          <w:p/>
        </w:tc>
      </w:tr>
    </w:tbl>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BD5435"/>
            <w:tcMar>
              <w:top w:w="100" w:type="dxa"/>
              <w:bottom w:w="100" w:type="dxa"/>
              <w:left w:w="150" w:type="dxa"/>
              <w:right w:w="150" w:type="dxa"/>
            </w:tcMar>
          </w:tcPr>
          <w:p>
            <w:r>
              <w:rPr>
                <w:b/>
                <w:color w:val="FFFFFF"/>
                <w:sz w:val="20"/>
              </w:rPr>
              <w:t>INSTAGRAM / META — WAS DIESER KANAL FÜR BEASTLY BEWIRKT</w:t>
            </w:r>
          </w:p>
        </w:tc>
      </w:tr>
      <w:tr>
        <w:tc>
          <w:tcPr>
            <w:tcW w:type="dxa" w:w="8612"/>
            <w:shd w:val="clear" w:color="auto" w:fill="EEE8F7"/>
            <w:tcMar>
              <w:top w:w="85" w:type="dxa"/>
              <w:bottom w:w="90" w:type="dxa"/>
              <w:left w:w="150" w:type="dxa"/>
              <w:right w:w="150" w:type="dxa"/>
            </w:tcMar>
          </w:tcPr>
          <w:p>
            <w:r>
              <w:rPr>
                <w:b/>
                <w:color w:val="4B319B"/>
                <w:sz w:val="18"/>
              </w:rPr>
              <w:t>Warum Instagram / Meta</w:t>
            </w:r>
          </w:p>
          <w:p>
            <w:r>
              <w:rPr>
                <w:sz w:val="18"/>
              </w:rPr>
              <w:t>Beastly hat zwei starke Bilderwelten: kraftvolle Raubtiere als Investment-Code und schützenswerte Tiere für FourGive-Wirkungsgeschichten. Instagram ist das natürliche Zuhause dafür — wo LinkedIn auf Sprache setzt, setzt Instagram auf Bild. Menschen mit Tierwohl-Affinität werden emotional abgeholt, bevor sie über Investment nachdenken. Das erweitert den Kreis weit über den Finanzsektor hinaus.</w:t>
            </w:r>
          </w:p>
        </w:tc>
      </w:tr>
      <w:tr>
        <w:tc>
          <w:tcPr>
            <w:tcW w:type="dxa" w:w="8612"/>
            <w:shd w:val="clear" w:color="auto" w:fill="F5F0FC"/>
            <w:tcMar>
              <w:top w:w="85" w:type="dxa"/>
              <w:bottom w:w="90" w:type="dxa"/>
              <w:left w:w="150" w:type="dxa"/>
              <w:right w:w="150" w:type="dxa"/>
            </w:tcMar>
          </w:tcPr>
          <w:p>
            <w:r>
              <w:rPr>
                <w:b/>
                <w:color w:val="4B319B"/>
                <w:sz w:val="18"/>
              </w:rPr>
              <w:t>Meta-Ads-Synergie</w:t>
            </w:r>
          </w:p>
          <w:p>
            <w:r>
              <w:rPr>
                <w:sz w:val="18"/>
              </w:rPr>
              <w:t>Die Meta-Infrastruktur (Facebook + Instagram) erlaubt es, organische Creatives direkt als bezahlte Werbung einzusetzen. Kein doppelter Produktionsaufwand — ein Asset, zwei Nutzungswege. Organische Posts validieren, was als Ad skaliert werden soll.</w:t>
            </w:r>
          </w:p>
        </w:tc>
      </w:tr>
      <w:tr>
        <w:tc>
          <w:tcPr>
            <w:tcW w:type="dxa" w:w="8612"/>
            <w:shd w:val="clear" w:color="auto" w:fill="EEE8F7"/>
            <w:tcMar>
              <w:top w:w="85" w:type="dxa"/>
              <w:bottom w:w="90" w:type="dxa"/>
              <w:left w:w="150" w:type="dxa"/>
              <w:right w:w="150" w:type="dxa"/>
            </w:tcMar>
          </w:tcPr>
          <w:p>
            <w:r>
              <w:rPr>
                <w:b/>
                <w:color w:val="4B319B"/>
                <w:sz w:val="18"/>
              </w:rPr>
              <w:t>Was auf Instagram kommuniziert wird</w:t>
            </w:r>
          </w:p>
          <w:p>
            <w:r>
              <w:rPr>
                <w:sz w:val="18"/>
              </w:rPr>
              <w:t>—  Tier-Bildwelt: Raubtierfotos (Kraft, Präzision, Würde) alternierend mit FourGive-Momenten (Fürsorge, Wirkung)</w:t>
            </w:r>
          </w:p>
          <w:p>
            <w:r>
              <w:rPr>
                <w:sz w:val="18"/>
              </w:rPr>
              <w:t>—  Wirkungsgeschichten: Was passiert mit dem investierten Geld? Welches Tier wurde behandelt?</w:t>
            </w:r>
          </w:p>
          <w:p>
            <w:r>
              <w:rPr>
                <w:sz w:val="18"/>
              </w:rPr>
              <w:t>—  Viktor und Lydia persönlich: Authentische Momentaufnahmen, keine Hochglanz-Inszenierung</w:t>
            </w:r>
          </w:p>
          <w:p>
            <w:r>
              <w:rPr>
                <w:sz w:val="18"/>
              </w:rPr>
              <w:t>—  Zitat-Cards: Kernaussagen visuell aufbereitet im Beastly-Brand-Design</w:t>
            </w:r>
          </w:p>
        </w:tc>
      </w:tr>
    </w:tbl>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142233"/>
            <w:tcMar>
              <w:top w:w="100" w:type="dxa"/>
              <w:bottom w:w="100" w:type="dxa"/>
              <w:left w:w="150" w:type="dxa"/>
              <w:right w:w="150" w:type="dxa"/>
            </w:tcMar>
          </w:tcPr>
          <w:p>
            <w:r>
              <w:rPr>
                <w:b/>
                <w:color w:val="FFFFFF"/>
                <w:sz w:val="20"/>
              </w:rPr>
              <w:t>TIKTOK — WAS DIESER KANAL FÜR BEASTLY BEWIRKT</w:t>
            </w:r>
          </w:p>
        </w:tc>
      </w:tr>
      <w:tr>
        <w:tc>
          <w:tcPr>
            <w:tcW w:type="dxa" w:w="8612"/>
            <w:shd w:val="clear" w:color="auto" w:fill="EEE8F7"/>
            <w:tcMar>
              <w:top w:w="85" w:type="dxa"/>
              <w:bottom w:w="90" w:type="dxa"/>
              <w:left w:w="150" w:type="dxa"/>
              <w:right w:w="150" w:type="dxa"/>
            </w:tcMar>
          </w:tcPr>
          <w:p>
            <w:r>
              <w:rPr>
                <w:b/>
                <w:color w:val="4B319B"/>
                <w:sz w:val="18"/>
              </w:rPr>
              <w:t>Warum TikTok</w:t>
            </w:r>
          </w:p>
          <w:p>
            <w:r>
              <w:rPr>
                <w:sz w:val="18"/>
              </w:rPr>
              <w:t>TikTok ist der einzige Kanal, auf dem unbekannte Accounts durch den Algorithmus grosse Reichweite erreichen können. Viktors Geschichte — vom Moment in Ägypten zur FINMA-Bewilligung — hat dieses Potenzial. Gleichzeitig erschliesst TikTok eine jüngere Retail-Zielgruppe (Millennials, Gen Z), die auf LinkedIn nicht erreichbar ist und Investieren als Alltagsthema wahrnimmt.</w:t>
            </w:r>
          </w:p>
        </w:tc>
      </w:tr>
      <w:tr>
        <w:tc>
          <w:tcPr>
            <w:tcW w:type="dxa" w:w="8612"/>
            <w:shd w:val="clear" w:color="auto" w:fill="F5F0FC"/>
            <w:tcMar>
              <w:top w:w="85" w:type="dxa"/>
              <w:bottom w:w="90" w:type="dxa"/>
              <w:left w:w="150" w:type="dxa"/>
              <w:right w:w="150" w:type="dxa"/>
            </w:tcMar>
          </w:tcPr>
          <w:p>
            <w:r>
              <w:rPr>
                <w:b/>
                <w:color w:val="4B319B"/>
                <w:sz w:val="18"/>
              </w:rPr>
              <w:t>Keine Hochglanz-Produktion — Authentizität gewinnt</w:t>
            </w:r>
          </w:p>
          <w:p>
            <w:r>
              <w:rPr>
                <w:sz w:val="18"/>
              </w:rPr>
              <w:t>Ein ehrlicher 60-Sekunden-Clip von Viktor, der erklärt warum er Beastly gegründet hat, ist wirkungsvoller als jedes produzierte Markenvideo. TikTok belohnt Echtheit und bestraft Inszenierung sofort.</w:t>
            </w:r>
          </w:p>
        </w:tc>
      </w:tr>
      <w:tr>
        <w:tc>
          <w:tcPr>
            <w:tcW w:type="dxa" w:w="8612"/>
            <w:shd w:val="clear" w:color="auto" w:fill="EEE8F7"/>
            <w:tcMar>
              <w:top w:w="85" w:type="dxa"/>
              <w:bottom w:w="90" w:type="dxa"/>
              <w:left w:w="150" w:type="dxa"/>
              <w:right w:w="150" w:type="dxa"/>
            </w:tcMar>
          </w:tcPr>
          <w:p>
            <w:r>
              <w:rPr>
                <w:b/>
                <w:color w:val="4B319B"/>
                <w:sz w:val="18"/>
              </w:rPr>
              <w:t>Was auf TikTok kommuniziert wird</w:t>
            </w:r>
          </w:p>
          <w:p>
            <w:r>
              <w:rPr>
                <w:sz w:val="18"/>
              </w:rPr>
              <w:t>—  Viktor erklärt in 60 Sekunden, warum Beastly existiert — kein Skript, kein Teleprompter</w:t>
            </w:r>
          </w:p>
          <w:p>
            <w:r>
              <w:rPr>
                <w:sz w:val="18"/>
              </w:rPr>
              <w:t>—  Momente aus der FourGive-Tierklinik in Ägypten: Was passiert dort, wen helfen wir?</w:t>
            </w:r>
          </w:p>
          <w:p>
            <w:r>
              <w:rPr>
                <w:sz w:val="18"/>
              </w:rPr>
              <w:t>—  Ehrliche Reflexionen: «Was ich über Investieren und Tierschutz gelernt habe»</w:t>
            </w:r>
          </w:p>
          <w:p>
            <w:r>
              <w:rPr>
                <w:sz w:val="18"/>
              </w:rPr>
              <w:t>—  Behind-the-Scenes: Wie baut man einen Fonds auf? Was macht die FINMA?</w:t>
            </w:r>
          </w:p>
        </w:tc>
      </w:tr>
      <w:tr>
        <w:tc>
          <w:tcPr>
            <w:tcW w:type="dxa" w:w="8612"/>
            <w:shd w:val="clear" w:color="auto" w:fill="F5F0FC"/>
            <w:tcMar>
              <w:top w:w="85" w:type="dxa"/>
              <w:bottom w:w="90" w:type="dxa"/>
              <w:left w:w="150" w:type="dxa"/>
              <w:right w:w="150" w:type="dxa"/>
            </w:tcMar>
          </w:tcPr>
          <w:p>
            <w:r>
              <w:rPr>
                <w:b/>
                <w:color w:val="4B319B"/>
                <w:sz w:val="18"/>
              </w:rPr>
              <w:t>Wichtige Bedingung</w:t>
            </w:r>
          </w:p>
          <w:p>
            <w:r>
              <w:rPr>
                <w:sz w:val="18"/>
              </w:rPr>
              <w:t>TikTok entfaltet Wirkung nur, wenn Viktor wirklich bereit ist, sich authentisch zu zeigen. Ein halbherziger Auftritt schadet mehr als er nützt. Wenn die Bereitschaft da ist, kann TikTok Beastly schneller bekannt machen als jeder andere Kanal.</w:t>
            </w:r>
          </w:p>
        </w:tc>
      </w:tr>
    </w:tbl>
    <w:p/>
    <w:p>
      <w:r>
        <w:rPr>
          <w:b/>
          <w:color w:val="4B319B"/>
          <w:sz w:val="20"/>
        </w:rPr>
        <w:t>Empfohlene Kombinationslogik</w:t>
      </w:r>
    </w:p>
    <w:tbl>
      <w:tblPr>
        <w:tblStyle w:val="TableGrid"/>
        <w:tblW w:type="auto" w:w="0"/>
        <w:tblLook w:firstColumn="1" w:firstRow="1" w:lastColumn="0" w:lastRow="0" w:noHBand="0" w:noVBand="1" w:val="04A0"/>
      </w:tblPr>
      <w:tblGrid>
        <w:gridCol w:w="4306"/>
        <w:gridCol w:w="4306"/>
      </w:tblGrid>
      <w:tr>
        <w:tc>
          <w:tcPr>
            <w:tcW w:type="dxa" w:w="4306"/>
            <w:shd w:val="clear" w:color="auto" w:fill="142233"/>
            <w:tcMar>
              <w:top w:w="70" w:type="dxa"/>
              <w:bottom w:w="70" w:type="dxa"/>
              <w:left w:w="100" w:type="dxa"/>
              <w:right w:w="100" w:type="dxa"/>
            </w:tcMar>
          </w:tcPr>
          <w:p>
            <w:r>
              <w:rPr>
                <w:rFonts w:ascii="Calibri" w:hAnsi="Calibri"/>
                <w:b/>
                <w:i w:val="0"/>
                <w:color w:val="A176F4"/>
                <w:sz w:val="18"/>
              </w:rPr>
              <w:t>RESSOURCEN / SITUATION</w:t>
            </w:r>
          </w:p>
        </w:tc>
        <w:tc>
          <w:tcPr>
            <w:tcW w:type="dxa" w:w="4306"/>
            <w:shd w:val="clear" w:color="auto" w:fill="142233"/>
            <w:tcMar>
              <w:top w:w="70" w:type="dxa"/>
              <w:bottom w:w="70" w:type="dxa"/>
              <w:left w:w="100" w:type="dxa"/>
              <w:right w:w="100" w:type="dxa"/>
            </w:tcMar>
          </w:tcPr>
          <w:p>
            <w:r>
              <w:rPr>
                <w:rFonts w:ascii="Calibri" w:hAnsi="Calibri"/>
                <w:b/>
                <w:i w:val="0"/>
                <w:color w:val="A176F4"/>
                <w:sz w:val="18"/>
              </w:rPr>
              <w:t>EMPFEHLUNG</w:t>
            </w:r>
          </w:p>
        </w:tc>
      </w:tr>
      <w:tr>
        <w:tc>
          <w:tcPr>
            <w:tcW w:type="dxa" w:w="4306"/>
            <w:shd w:val="clear" w:color="auto" w:fill="F5F3FF"/>
            <w:tcMar>
              <w:top w:w="80" w:type="dxa"/>
              <w:bottom w:w="80" w:type="dxa"/>
              <w:left w:w="100" w:type="dxa"/>
              <w:right w:w="100" w:type="dxa"/>
            </w:tcMar>
          </w:tcPr>
          <w:p>
            <w:r>
              <w:rPr>
                <w:rFonts w:ascii="Calibri" w:hAnsi="Calibri"/>
                <w:b/>
                <w:i w:val="0"/>
                <w:color w:val="1A1033"/>
                <w:sz w:val="19"/>
              </w:rPr>
              <w:t>Minimale Ressourcen / Startphase</w:t>
            </w:r>
          </w:p>
        </w:tc>
        <w:tc>
          <w:tcPr>
            <w:tcW w:type="dxa" w:w="4306"/>
            <w:shd w:val="clear" w:color="auto" w:fill="F5F3FF"/>
            <w:tcMar>
              <w:top w:w="80" w:type="dxa"/>
              <w:bottom w:w="80" w:type="dxa"/>
              <w:left w:w="100" w:type="dxa"/>
              <w:right w:w="100" w:type="dxa"/>
            </w:tcMar>
          </w:tcPr>
          <w:p>
            <w:r>
              <w:rPr>
                <w:rFonts w:ascii="Calibri" w:hAnsi="Calibri"/>
                <w:b w:val="0"/>
                <w:i w:val="0"/>
                <w:color w:val="333333"/>
                <w:sz w:val="19"/>
              </w:rPr>
              <w:t>LinkedIn allein (Viktor Profil + Beastly Markenkanal) — Fokus, Konsistenz, Qualität über Quantität.</w:t>
            </w:r>
          </w:p>
        </w:tc>
      </w:tr>
      <w:tr>
        <w:tc>
          <w:tcPr>
            <w:tcW w:type="dxa" w:w="4306"/>
            <w:shd w:val="clear" w:color="auto" w:fill="EEF0FF"/>
            <w:tcMar>
              <w:top w:w="80" w:type="dxa"/>
              <w:bottom w:w="80" w:type="dxa"/>
              <w:left w:w="100" w:type="dxa"/>
              <w:right w:w="100" w:type="dxa"/>
            </w:tcMar>
          </w:tcPr>
          <w:p>
            <w:r>
              <w:rPr>
                <w:rFonts w:ascii="Calibri" w:hAnsi="Calibri"/>
                <w:b/>
                <w:i w:val="0"/>
                <w:color w:val="1A1033"/>
                <w:sz w:val="19"/>
              </w:rPr>
              <w:t>Moderate Ressourcen / visueller Content vorhanden</w:t>
            </w:r>
          </w:p>
        </w:tc>
        <w:tc>
          <w:tcPr>
            <w:tcW w:type="dxa" w:w="4306"/>
            <w:shd w:val="clear" w:color="auto" w:fill="EEF0FF"/>
            <w:tcMar>
              <w:top w:w="80" w:type="dxa"/>
              <w:bottom w:w="80" w:type="dxa"/>
              <w:left w:w="100" w:type="dxa"/>
              <w:right w:w="100" w:type="dxa"/>
            </w:tcMar>
          </w:tcPr>
          <w:p>
            <w:r>
              <w:rPr>
                <w:rFonts w:ascii="Calibri" w:hAnsi="Calibri"/>
                <w:b w:val="0"/>
                <w:i w:val="0"/>
                <w:color w:val="333333"/>
                <w:sz w:val="19"/>
              </w:rPr>
              <w:t>LinkedIn + Instagram — visuelle Tierwohl-Inhalte ergänzen den textlastigen LinkedIn-Auftritt. Synergie mit Meta-Ads.</w:t>
            </w:r>
          </w:p>
        </w:tc>
      </w:tr>
      <w:tr>
        <w:tc>
          <w:tcPr>
            <w:tcW w:type="dxa" w:w="4306"/>
            <w:shd w:val="clear" w:color="auto" w:fill="F5F3FF"/>
            <w:tcMar>
              <w:top w:w="80" w:type="dxa"/>
              <w:bottom w:w="80" w:type="dxa"/>
              <w:left w:w="100" w:type="dxa"/>
              <w:right w:w="100" w:type="dxa"/>
            </w:tcMar>
          </w:tcPr>
          <w:p>
            <w:r>
              <w:rPr>
                <w:rFonts w:ascii="Calibri" w:hAnsi="Calibri"/>
                <w:b/>
                <w:i w:val="0"/>
                <w:color w:val="1A1033"/>
                <w:sz w:val="19"/>
              </w:rPr>
              <w:t>Volle Kapazität / nach erstem Fundament</w:t>
            </w:r>
          </w:p>
        </w:tc>
        <w:tc>
          <w:tcPr>
            <w:tcW w:type="dxa" w:w="4306"/>
            <w:shd w:val="clear" w:color="auto" w:fill="F5F3FF"/>
            <w:tcMar>
              <w:top w:w="80" w:type="dxa"/>
              <w:bottom w:w="80" w:type="dxa"/>
              <w:left w:w="100" w:type="dxa"/>
              <w:right w:w="100" w:type="dxa"/>
            </w:tcMar>
          </w:tcPr>
          <w:p>
            <w:r>
              <w:rPr>
                <w:rFonts w:ascii="Calibri" w:hAnsi="Calibri"/>
                <w:b w:val="0"/>
                <w:i w:val="0"/>
                <w:color w:val="333333"/>
                <w:sz w:val="19"/>
              </w:rPr>
              <w:t>LinkedIn + Instagram + TikTok — erst wenn das Fundament steht, die Botschaften klar sind und Produktionskapazität vorhanden ist.</w:t>
            </w:r>
          </w:p>
        </w:tc>
      </w:tr>
    </w:tbl>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E3F2FD"/>
            <w:tcMar>
              <w:top w:w="120" w:type="dxa"/>
              <w:bottom w:w="120" w:type="dxa"/>
              <w:left w:w="160" w:type="dxa"/>
              <w:right w:w="160" w:type="dxa"/>
            </w:tcMar>
          </w:tcPr>
          <w:p>
            <w:r>
              <w:rPr>
                <w:b/>
                <w:color w:val="1A237E"/>
                <w:sz w:val="18"/>
              </w:rPr>
              <w:t xml:space="preserve">WARUM  </w:t>
            </w:r>
            <w:r>
              <w:rPr>
                <w:sz w:val="18"/>
              </w:rPr>
              <w:t>Mehr Kanäle bedeuten mehr Komplexität — nicht automatisch mehr Reichweite. Jeder Kanal braucht eigene Energie, eigenes Format und eigene Kadenz. Wer sich verteilt ohne Substanz, wirkt überall schwach statt auf einem Kanal stark.</w:t>
            </w:r>
          </w:p>
          <w:p>
            <w:r>
              <w:rPr>
                <w:sz w:val="18"/>
              </w:rPr>
              <w:t>LinkedIn ist gesetzt, weil er die Kernzielgruppe direkt trifft und gleichzeitig die nötige Tiefe erlaubt. Instagram und TikTok kommen hinzu, wenn das LinkedIn-Fundament steht — nicht davor. Die Entscheidung hängt davon ab, welches Format Viktor und Lydia wirklich konsequent bespielen können und wollen.</w:t>
            </w:r>
          </w:p>
        </w:tc>
      </w:tr>
    </w:tbl>
    <w:p>
      <w:pPr>
        <w:spacing w:before="240" w:after="80"/>
      </w:pPr>
      <w:r>
        <w:rPr>
          <w:rFonts w:ascii="Calibri" w:hAnsi="Calibri"/>
          <w:b/>
          <w:i w:val="0"/>
          <w:color w:val="1A1033"/>
          <w:sz w:val="24"/>
        </w:rPr>
        <w:t>6.5  Repräsentationsmaterial — Pitch Deck</w:t>
      </w:r>
    </w:p>
    <w:p>
      <w:pPr>
        <w:spacing w:after="140"/>
      </w:pPr>
      <w:r>
        <w:rPr>
          <w:rFonts w:ascii="Calibri" w:hAnsi="Calibri"/>
          <w:b w:val="0"/>
          <w:i w:val="0"/>
          <w:color w:val="333333"/>
          <w:sz w:val="21"/>
        </w:rPr>
        <w:t>Ein emotionales Pitch Deck, das faktisch abholt und gleichzeitig berührt. Viktor und Lydia führen alle Verkaufsgespräche direkt — kein eigenständiges Leave-Behind ist nötig. Das Deck muss die dramaturgische Kurve abbilden: Emotion → Vertrauen → Performance. Die Gründerstory kommt zuerst. Die Struktur danach. Die Zahlen am Ende.</w:t>
      </w:r>
    </w:p>
    <w:tbl>
      <w:tblPr>
        <w:tblStyle w:val="TableGrid"/>
        <w:tblW w:type="auto" w:w="0"/>
        <w:tblLook w:firstColumn="1" w:firstRow="1" w:lastColumn="0" w:lastRow="0" w:noHBand="0" w:noVBand="1" w:val="04A0"/>
      </w:tblPr>
      <w:tblGrid>
        <w:gridCol w:w="8612"/>
      </w:tblGrid>
      <w:tr>
        <w:tc>
          <w:tcPr>
            <w:tcW w:type="dxa" w:w="8612"/>
            <w:shd w:val="clear" w:color="auto" w:fill="EDF2FB"/>
            <w:tcMar>
              <w:top w:w="80" w:type="dxa"/>
              <w:bottom w:w="80" w:type="dxa"/>
              <w:left w:w="120" w:type="dxa"/>
              <w:right w:w="120" w:type="dxa"/>
            </w:tcMar>
          </w:tcPr>
          <w:p>
            <w:r>
              <w:rPr>
                <w:rFonts w:ascii="Calibri" w:hAnsi="Calibri"/>
                <w:b/>
                <w:i w:val="0"/>
                <w:color w:val="4B319B"/>
                <w:sz w:val="17"/>
              </w:rPr>
              <w:t xml:space="preserve">WARUM  </w:t>
            </w:r>
            <w:r>
              <w:rPr>
                <w:rFonts w:ascii="Calibri" w:hAnsi="Calibri"/>
                <w:b w:val="0"/>
                <w:i w:val="0"/>
                <w:color w:val="1A1033"/>
                <w:sz w:val="19"/>
              </w:rPr>
              <w:t>Wer emotional berührt wird, hört zu. Wer vertraut, prüft. Wer überzeugt ist, investiert. Ein rein faktisches Deck überspringt die ersten zwei Stufen.</w:t>
            </w:r>
          </w:p>
        </w:tc>
      </w:tr>
    </w:tbl>
    <w:p>
      <w:pPr>
        <w:spacing w:after="80"/>
      </w:pPr>
    </w:p>
    <w:p>
      <w:pPr>
        <w:spacing w:before="240" w:after="80"/>
      </w:pPr>
      <w:r>
        <w:rPr>
          <w:rFonts w:ascii="Calibri" w:hAnsi="Calibri"/>
          <w:b/>
          <w:i w:val="0"/>
          <w:color w:val="1A1033"/>
          <w:sz w:val="24"/>
        </w:rPr>
        <w:t>6.6  Partnerschaften — FourGive</w:t>
      </w:r>
    </w:p>
    <w:p>
      <w:pPr>
        <w:spacing w:after="140"/>
      </w:pPr>
      <w:r>
        <w:rPr>
          <w:rFonts w:ascii="Calibri" w:hAnsi="Calibri"/>
          <w:b w:val="0"/>
          <w:i w:val="0"/>
          <w:color w:val="333333"/>
          <w:sz w:val="21"/>
        </w:rPr>
        <w:t>FourGive ist keine akquirierte Partnerschaft — es ist die Gründungsgeschichte. Die Tierklinik, in der die Idee zu Beastly entstand, und prägender Bestandteil der persönlichen Entwicklung von Viktor und Lydia. FourGive wird eines der fünf Tierschutzprojekte 2026 sein. Da die Projekte jährlich wechseln, kommunizieren wir es nicht als feste Partnerschaft, sondern als Teil der Gründerstory. Als eigener Kommunikationskanal wird FourGive vorerst nicht bespielt — das ist ein späterer Schritt.</w:t>
      </w:r>
    </w:p>
    <w:tbl>
      <w:tblPr>
        <w:tblStyle w:val="TableGrid"/>
        <w:tblW w:type="auto" w:w="0"/>
        <w:tblLook w:firstColumn="1" w:firstRow="1" w:lastColumn="0" w:lastRow="0" w:noHBand="0" w:noVBand="1" w:val="04A0"/>
      </w:tblPr>
      <w:tblGrid>
        <w:gridCol w:w="8612"/>
      </w:tblGrid>
      <w:tr>
        <w:tc>
          <w:tcPr>
            <w:tcW w:type="dxa" w:w="8612"/>
            <w:shd w:val="clear" w:color="auto" w:fill="EDF2FB"/>
            <w:tcMar>
              <w:top w:w="80" w:type="dxa"/>
              <w:bottom w:w="80" w:type="dxa"/>
              <w:left w:w="120" w:type="dxa"/>
              <w:right w:w="120" w:type="dxa"/>
            </w:tcMar>
          </w:tcPr>
          <w:p>
            <w:r>
              <w:rPr>
                <w:rFonts w:ascii="Calibri" w:hAnsi="Calibri"/>
                <w:b/>
                <w:i w:val="0"/>
                <w:color w:val="4B319B"/>
                <w:sz w:val="17"/>
              </w:rPr>
              <w:t xml:space="preserve">WARUM  </w:t>
            </w:r>
            <w:r>
              <w:rPr>
                <w:rFonts w:ascii="Calibri" w:hAnsi="Calibri"/>
                <w:b w:val="0"/>
                <w:i w:val="0"/>
                <w:color w:val="1A1033"/>
                <w:sz w:val="19"/>
              </w:rPr>
              <w:t>FourGive darf nie instrumentalisiert werden — das würde die Echtheit zerstören, die Beastly ausmacht. Der Wert liegt in der Authentizität, nicht in der Verwertung als Marketing-Asset.</w:t>
            </w:r>
          </w:p>
        </w:tc>
      </w:tr>
    </w:tbl>
    <w:p>
      <w:pPr>
        <w:spacing w:after="80"/>
      </w:pPr>
    </w:p>
    <w:p>
      <w:pPr>
        <w:spacing w:before="240" w:after="80"/>
      </w:pPr>
      <w:r>
        <w:rPr>
          <w:rFonts w:ascii="Calibri" w:hAnsi="Calibri"/>
          <w:b/>
          <w:i w:val="0"/>
          <w:color w:val="1A1033"/>
          <w:sz w:val="24"/>
        </w:rPr>
        <w:t>6.7  Events</w:t>
      </w:r>
    </w:p>
    <w:p>
      <w:pPr>
        <w:spacing w:after="140"/>
      </w:pPr>
      <w:r>
        <w:rPr>
          <w:rFonts w:ascii="Calibri" w:hAnsi="Calibri"/>
          <w:b w:val="0"/>
          <w:i w:val="0"/>
          <w:color w:val="333333"/>
          <w:sz w:val="21"/>
        </w:rPr>
        <w:t>Im September 2026 bietet sich eine konkrete Auftrittschance an einem relevanten Anlass im Schweizer Finanzumfeld — nicht als Veranstalter, sondern als Präsenz. Beastly zeigt sich, steht aber nicht im Mittelpunkt. Strategisches Ziel: erste Sichtbarkeit im richtigen Umfeld aufbauen, Vertrauen durch Vernetzung gewinnen.</w:t>
      </w:r>
    </w:p>
    <w:p>
      <w:pPr>
        <w:spacing w:after="140"/>
      </w:pPr>
      <w:r>
        <w:rPr>
          <w:rFonts w:ascii="Calibri" w:hAnsi="Calibri"/>
          <w:b w:val="0"/>
          <w:i w:val="0"/>
          <w:color w:val="333333"/>
          <w:sz w:val="21"/>
        </w:rPr>
        <w:t>Events dieser Art sind keine Launch-Plattformen, sondern Beziehungsmomente. Beastly muss noch nicht alles fertig haben — aber einen klaren, überzeugenden Auftritt vorbereitet haben: einen Gesprächseinstieg, ein sauberes Profil, ein Deck das greifbar ist.</w:t>
      </w:r>
    </w:p>
    <w:tbl>
      <w:tblPr>
        <w:tblStyle w:val="TableGrid"/>
        <w:tblW w:type="auto" w:w="0"/>
        <w:tblLook w:firstColumn="1" w:firstRow="1" w:lastColumn="0" w:lastRow="0" w:noHBand="0" w:noVBand="1" w:val="04A0"/>
      </w:tblPr>
      <w:tblGrid>
        <w:gridCol w:w="8612"/>
      </w:tblGrid>
      <w:tr>
        <w:tc>
          <w:tcPr>
            <w:tcW w:type="dxa" w:w="8612"/>
            <w:shd w:val="clear" w:color="auto" w:fill="EDF2FB"/>
            <w:tcMar>
              <w:top w:w="80" w:type="dxa"/>
              <w:bottom w:w="80" w:type="dxa"/>
              <w:left w:w="120" w:type="dxa"/>
              <w:right w:w="120" w:type="dxa"/>
            </w:tcMar>
          </w:tcPr>
          <w:p>
            <w:r>
              <w:rPr>
                <w:rFonts w:ascii="Calibri" w:hAnsi="Calibri"/>
                <w:b/>
                <w:i w:val="0"/>
                <w:color w:val="4B319B"/>
                <w:sz w:val="17"/>
              </w:rPr>
              <w:t xml:space="preserve">WARUM  </w:t>
            </w:r>
            <w:r>
              <w:rPr>
                <w:rFonts w:ascii="Calibri" w:hAnsi="Calibri"/>
                <w:b w:val="0"/>
                <w:i w:val="0"/>
                <w:color w:val="1A1033"/>
                <w:sz w:val="19"/>
              </w:rPr>
              <w:t>Ein Netzwerk-Anlass in einem hochwertigem Finanzumfeld ist für Beastly wertvoller als jede bezahlte Medienpräsenz in dieser Phase. Persönliche Gespräche bauen Vertrauen schneller auf als jeder Kanal.</w:t>
            </w:r>
          </w:p>
        </w:tc>
      </w:tr>
    </w:tbl>
    <w:p>
      <w:pPr>
        <w:spacing w:after="80"/>
      </w:pPr>
    </w:p>
    <w:p>
      <w:pPr>
        <w:spacing w:before="240" w:after="80"/>
      </w:pPr>
      <w:r>
        <w:rPr>
          <w:rFonts w:ascii="Calibri" w:hAnsi="Calibri"/>
          <w:b/>
          <w:i w:val="0"/>
          <w:color w:val="1A1033"/>
          <w:sz w:val="24"/>
        </w:rPr>
        <w:t>6.8  Social Media Ads — zwei Phasen</w:t>
      </w:r>
    </w:p>
    <w:p>
      <w:r>
        <w:rPr>
          <w:sz w:val="18"/>
        </w:rPr>
        <w:t>Die Ads-Strategie folgt dem organischen Aufbau — nicht umgekehrt. Awareness-Ads verstärken, was organisch bereits resoniert. Conversion-Ads werden erst eingesetzt, wenn das Grundrauschen steht. Die Sequenz ist entscheidend: Fundament organisch aufbauen → Awareness-Ads schalten → Conversion-Ads einsetzen.</w:t>
      </w:r>
    </w:p>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4b319b"/>
            <w:tcMar>
              <w:top w:w="100" w:type="dxa"/>
              <w:bottom w:w="100" w:type="dxa"/>
              <w:left w:w="150" w:type="dxa"/>
              <w:right w:w="150" w:type="dxa"/>
            </w:tcMar>
          </w:tcPr>
          <w:p>
            <w:r>
              <w:rPr>
                <w:b/>
                <w:color w:val="FFFFFF"/>
                <w:sz w:val="20"/>
              </w:rPr>
              <w:t>PHASE 1 — AWARENESS</w:t>
            </w:r>
          </w:p>
        </w:tc>
      </w:tr>
      <w:tr>
        <w:tc>
          <w:tcPr>
            <w:tcW w:type="dxa" w:w="8612"/>
            <w:shd w:val="clear" w:color="auto" w:fill="EEE8F7"/>
            <w:tcMar>
              <w:top w:w="85" w:type="dxa"/>
              <w:bottom w:w="90" w:type="dxa"/>
              <w:left w:w="150" w:type="dxa"/>
              <w:right w:w="150" w:type="dxa"/>
            </w:tcMar>
          </w:tcPr>
          <w:p>
            <w:r>
              <w:rPr>
                <w:b/>
                <w:color w:val="4B319B"/>
                <w:sz w:val="18"/>
              </w:rPr>
              <w:t>Ziel</w:t>
            </w:r>
          </w:p>
          <w:p>
            <w:r>
              <w:rPr>
                <w:sz w:val="18"/>
              </w:rPr>
              <w:t>Grundrauschen aufbauen, erste Berührungspunkte schaffen, Marke bekannt machen — bevor ein Investment-CTA sinnvoll ist. Beastly muss zuerst erkannt werden, bevor es gewählt werden kann.</w:t>
            </w:r>
          </w:p>
        </w:tc>
      </w:tr>
      <w:tr>
        <w:tc>
          <w:tcPr>
            <w:tcW w:type="dxa" w:w="8612"/>
            <w:shd w:val="clear" w:color="auto" w:fill="F5F0FC"/>
            <w:tcMar>
              <w:top w:w="85" w:type="dxa"/>
              <w:bottom w:w="90" w:type="dxa"/>
              <w:left w:w="150" w:type="dxa"/>
              <w:right w:w="150" w:type="dxa"/>
            </w:tcMar>
          </w:tcPr>
          <w:p>
            <w:r>
              <w:rPr>
                <w:b/>
                <w:color w:val="4B319B"/>
                <w:sz w:val="18"/>
              </w:rPr>
              <w:t>Targeting-Logik</w:t>
            </w:r>
          </w:p>
          <w:p>
            <w:r>
              <w:rPr>
                <w:sz w:val="18"/>
              </w:rPr>
              <w:t>—  LinkedIn: Finanz-affines Publikum (Asset Management, Private Banking, Family Office) + Tierwohl-Interesse als kombiniertes Kriterium</w:t>
            </w:r>
          </w:p>
          <w:p>
            <w:r>
              <w:rPr>
                <w:sz w:val="18"/>
              </w:rPr>
              <w:t>—  Meta: Lookalike Audiences basierend auf ersten Website-Besuchern; Interessen-Targeting (Tierschutz + Geldanlage kombiniert)</w:t>
            </w:r>
          </w:p>
          <w:p>
            <w:r>
              <w:rPr>
                <w:sz w:val="18"/>
              </w:rPr>
              <w:t>—  Retargeting: Website-Besucher ohne Conversion, Video-Viewer mit &gt;75% Completion</w:t>
            </w:r>
          </w:p>
        </w:tc>
      </w:tr>
      <w:tr>
        <w:tc>
          <w:tcPr>
            <w:tcW w:type="dxa" w:w="8612"/>
            <w:shd w:val="clear" w:color="auto" w:fill="EEE8F7"/>
            <w:tcMar>
              <w:top w:w="85" w:type="dxa"/>
              <w:bottom w:w="90" w:type="dxa"/>
              <w:left w:w="150" w:type="dxa"/>
              <w:right w:w="150" w:type="dxa"/>
            </w:tcMar>
          </w:tcPr>
          <w:p>
            <w:r>
              <w:rPr>
                <w:b/>
                <w:color w:val="4B319B"/>
                <w:sz w:val="18"/>
              </w:rPr>
              <w:t>Creative-Prinzip</w:t>
            </w:r>
          </w:p>
          <w:p>
            <w:r>
              <w:rPr>
                <w:sz w:val="18"/>
              </w:rPr>
              <w:t>Emotion führt. Kein Produktpitch, keine Rendite-Zahlen, keine Gebühren-Listen. Die Geschichte steht im Vordergrund:</w:t>
            </w:r>
          </w:p>
          <w:p>
            <w:r>
              <w:rPr>
                <w:i/>
                <w:sz w:val="18"/>
              </w:rPr>
              <w:t>«Wir haben eine Tierklinik in Ägypten gebaut. Daraus ist ein Investmentfonds geworden.»</w:t>
            </w:r>
          </w:p>
          <w:p>
            <w:r>
              <w:rPr>
                <w:sz w:val="18"/>
              </w:rPr>
              <w:t>Beide Bildwelten aktivieren: Raubtier-Codes für Investment-affines Publikum, Tiergeschichten für emotionalen Einstieg.</w:t>
            </w:r>
          </w:p>
        </w:tc>
      </w:tr>
      <w:tr>
        <w:tc>
          <w:tcPr>
            <w:tcW w:type="dxa" w:w="8612"/>
            <w:shd w:val="clear" w:color="auto" w:fill="F5F0FC"/>
            <w:tcMar>
              <w:top w:w="85" w:type="dxa"/>
              <w:bottom w:w="90" w:type="dxa"/>
              <w:left w:w="150" w:type="dxa"/>
              <w:right w:w="150" w:type="dxa"/>
            </w:tcMar>
          </w:tcPr>
          <w:p>
            <w:r>
              <w:rPr>
                <w:b/>
                <w:color w:val="4B319B"/>
                <w:sz w:val="18"/>
              </w:rPr>
              <w:t>Was gemessen wird</w:t>
            </w:r>
          </w:p>
          <w:p>
            <w:r>
              <w:rPr>
                <w:sz w:val="18"/>
              </w:rPr>
              <w:t>Reichweite, Klickrate auf Website, Bounce Rate, Follower-Wachstum Viktor LinkedIn, Video-Completion-Rate (&gt;75%)</w:t>
            </w:r>
          </w:p>
        </w:tc>
      </w:tr>
    </w:tbl>
    <w:p/>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142233"/>
            <w:tcMar>
              <w:top w:w="100" w:type="dxa"/>
              <w:bottom w:w="100" w:type="dxa"/>
              <w:left w:w="150" w:type="dxa"/>
              <w:right w:w="150" w:type="dxa"/>
            </w:tcMar>
          </w:tcPr>
          <w:p>
            <w:r>
              <w:rPr>
                <w:b/>
                <w:color w:val="FFFFFF"/>
                <w:sz w:val="20"/>
              </w:rPr>
              <w:t>PHASE 2 — CONVERSION</w:t>
            </w:r>
          </w:p>
        </w:tc>
      </w:tr>
      <w:tr>
        <w:tc>
          <w:tcPr>
            <w:tcW w:type="dxa" w:w="8612"/>
            <w:shd w:val="clear" w:color="auto" w:fill="EEE8F7"/>
            <w:tcMar>
              <w:top w:w="85" w:type="dxa"/>
              <w:bottom w:w="90" w:type="dxa"/>
              <w:left w:w="150" w:type="dxa"/>
              <w:right w:w="150" w:type="dxa"/>
            </w:tcMar>
          </w:tcPr>
          <w:p>
            <w:r>
              <w:rPr>
                <w:b/>
                <w:color w:val="4B319B"/>
                <w:sz w:val="18"/>
              </w:rPr>
              <w:t>Wann</w:t>
            </w:r>
          </w:p>
          <w:p>
            <w:r>
              <w:rPr>
                <w:sz w:val="18"/>
              </w:rPr>
              <w:t>Wenn das organische Fundament steht: aktiver LinkedIn-Auftritt, Website live, erstes Grundrauschen aufgebaut. Conversion-Ads die vor dem Fundament geschaltet werden, verpuffen ohne Echo.</w:t>
            </w:r>
          </w:p>
        </w:tc>
      </w:tr>
      <w:tr>
        <w:tc>
          <w:tcPr>
            <w:tcW w:type="dxa" w:w="8612"/>
            <w:shd w:val="clear" w:color="auto" w:fill="F5F0FC"/>
            <w:tcMar>
              <w:top w:w="85" w:type="dxa"/>
              <w:bottom w:w="90" w:type="dxa"/>
              <w:left w:w="150" w:type="dxa"/>
              <w:right w:w="150" w:type="dxa"/>
            </w:tcMar>
          </w:tcPr>
          <w:p>
            <w:r>
              <w:rPr>
                <w:b/>
                <w:color w:val="4B319B"/>
                <w:sz w:val="18"/>
              </w:rPr>
              <w:t>Ziel</w:t>
            </w:r>
          </w:p>
          <w:p>
            <w:r>
              <w:rPr>
                <w:sz w:val="18"/>
              </w:rPr>
              <w:t>—  Retail-Anleger: direkt auf die Website → CHF 50 Mindestanlage → Depot-Eröffnung via Bank oder App</w:t>
            </w:r>
          </w:p>
          <w:p>
            <w:r>
              <w:rPr>
                <w:sz w:val="18"/>
              </w:rPr>
              <w:t>—  Professionelle Investoren: Kontaktaufnahme Viktor / Lydia → direktes Gespräch → Abschluss</w:t>
            </w:r>
          </w:p>
        </w:tc>
      </w:tr>
      <w:tr>
        <w:tc>
          <w:tcPr>
            <w:tcW w:type="dxa" w:w="8612"/>
            <w:shd w:val="clear" w:color="auto" w:fill="EEE8F7"/>
            <w:tcMar>
              <w:top w:w="85" w:type="dxa"/>
              <w:bottom w:w="90" w:type="dxa"/>
              <w:left w:w="150" w:type="dxa"/>
              <w:right w:w="150" w:type="dxa"/>
            </w:tcMar>
          </w:tcPr>
          <w:p>
            <w:r>
              <w:rPr>
                <w:b/>
                <w:color w:val="4B319B"/>
                <w:sz w:val="18"/>
              </w:rPr>
              <w:t>Targeting-Logik</w:t>
            </w:r>
          </w:p>
          <w:p>
            <w:r>
              <w:rPr>
                <w:sz w:val="18"/>
              </w:rPr>
              <w:t>—  Retargeting: Personen die die Website besucht haben, aber nicht konvertiert sind</w:t>
            </w:r>
          </w:p>
          <w:p>
            <w:r>
              <w:rPr>
                <w:sz w:val="18"/>
              </w:rPr>
              <w:t>—  Warme Audiences: Engagement mit Viktor's LinkedIn und dem Beastly-Unternehmenskanal</w:t>
            </w:r>
          </w:p>
          <w:p>
            <w:r>
              <w:rPr>
                <w:sz w:val="18"/>
              </w:rPr>
              <w:t>—  Lookalike-Erweiterung: Basierend auf ersten Investoren, sobald diese vorhanden sind</w:t>
            </w:r>
          </w:p>
        </w:tc>
      </w:tr>
      <w:tr>
        <w:tc>
          <w:tcPr>
            <w:tcW w:type="dxa" w:w="8612"/>
            <w:shd w:val="clear" w:color="auto" w:fill="F5F0FC"/>
            <w:tcMar>
              <w:top w:w="85" w:type="dxa"/>
              <w:bottom w:w="90" w:type="dxa"/>
              <w:left w:w="150" w:type="dxa"/>
              <w:right w:w="150" w:type="dxa"/>
            </w:tcMar>
          </w:tcPr>
          <w:p>
            <w:r>
              <w:rPr>
                <w:b/>
                <w:color w:val="4B319B"/>
                <w:sz w:val="18"/>
              </w:rPr>
              <w:t>Creative-Prinzip</w:t>
            </w:r>
          </w:p>
          <w:p>
            <w:r>
              <w:rPr>
                <w:sz w:val="18"/>
              </w:rPr>
              <w:t>Die Substanz ist bekannt — jetzt kommt die klare Aufforderung. Konkret, niedrigschwellig, direkt:</w:t>
            </w:r>
          </w:p>
          <w:p>
            <w:r>
              <w:rPr>
                <w:i/>
                <w:sz w:val="18"/>
              </w:rPr>
              <w:t>«Tierschutz und Rendite. Ab CHF 50.» oder «Der einzige Asset Manager, der seine Löhne zeigt.»</w:t>
            </w:r>
          </w:p>
          <w:p>
            <w:r>
              <w:rPr>
                <w:sz w:val="18"/>
              </w:rPr>
              <w:t>Call-to-Action eindeutig, ohne Umwege.</w:t>
            </w:r>
          </w:p>
        </w:tc>
      </w:tr>
      <w:tr>
        <w:tc>
          <w:tcPr>
            <w:tcW w:type="dxa" w:w="8612"/>
            <w:shd w:val="clear" w:color="auto" w:fill="EEE8F7"/>
            <w:tcMar>
              <w:top w:w="85" w:type="dxa"/>
              <w:bottom w:w="90" w:type="dxa"/>
              <w:left w:w="150" w:type="dxa"/>
              <w:right w:w="150" w:type="dxa"/>
            </w:tcMar>
          </w:tcPr>
          <w:p>
            <w:r>
              <w:rPr>
                <w:b/>
                <w:color w:val="4B319B"/>
                <w:sz w:val="18"/>
              </w:rPr>
              <w:t>Plattform-Split</w:t>
            </w:r>
          </w:p>
          <w:p>
            <w:r>
              <w:rPr>
                <w:sz w:val="18"/>
              </w:rPr>
              <w:t>—  LinkedIn primär: Professionelle Zielgruppe im Entscheidungsmodus, höhere Konvertierungsqualität</w:t>
            </w:r>
          </w:p>
          <w:p>
            <w:r>
              <w:rPr>
                <w:sz w:val="18"/>
              </w:rPr>
              <w:t>—  Meta sekundär: Retail-Reichweite, emotionaler Abschluss für Kleinanleger</w:t>
            </w:r>
          </w:p>
        </w:tc>
      </w:tr>
    </w:tbl>
    <w:p/>
    <w:tbl>
      <w:tblPr>
        <w:tblLook w:firstColumn="1" w:firstRow="1" w:lastColumn="0" w:lastRow="0" w:noHBand="0" w:noVBand="1" w:val="04A0"/>
        <w:tblBorders>
          <w:top w:val="none"/>
          <w:left w:val="none"/>
          <w:bottom w:val="none"/>
          <w:right w:val="none"/>
          <w:insideH w:val="none"/>
          <w:insideV w:val="none"/>
        </w:tblBorders>
        <w:tblW w:w="5000" w:type="pct"/>
      </w:tblPr>
      <w:tblGrid>
        <w:gridCol w:w="8612"/>
      </w:tblGrid>
      <w:tr>
        <w:tc>
          <w:tcPr>
            <w:tcW w:type="dxa" w:w="8612"/>
            <w:shd w:val="clear" w:color="auto" w:fill="E3F2FD"/>
            <w:tcMar>
              <w:top w:w="120" w:type="dxa"/>
              <w:bottom w:w="120" w:type="dxa"/>
              <w:left w:w="160" w:type="dxa"/>
              <w:right w:w="160" w:type="dxa"/>
            </w:tcMar>
          </w:tcPr>
          <w:p>
            <w:r>
              <w:rPr>
                <w:b/>
                <w:color w:val="1A237E"/>
                <w:sz w:val="18"/>
              </w:rPr>
              <w:t xml:space="preserve">WARUM  </w:t>
            </w:r>
            <w:r>
              <w:rPr>
                <w:sz w:val="18"/>
              </w:rPr>
              <w:t>LinkedIn führt in beiden Phasen, weil die Kaufbereitschaft hier am höchsten ist: Die Zielgruppe befindet sich auf LinkedIn im professionellen Entscheidungsmodus. Meta ergänzt als emotionale Reichweitenplattform — besonders im Retail-Segment, wo der Einstieg unter CHF 100 liegt und der emotionale Impuls kaufentscheidend ist.</w:t>
            </w:r>
          </w:p>
          <w:p>
            <w:r>
              <w:rPr>
                <w:sz w:val="18"/>
              </w:rPr>
              <w:t>Die klare Trennung in zwei Phasen verhindert, dass Conversion-Budget verpufft, bevor die Marke bekannt ist. Awareness zuerst, Conversion danach — das ist die Sequenz.</w:t>
            </w:r>
          </w:p>
        </w:tc>
      </w:tr>
    </w:tbl>
    <w:p>
      <w:pPr>
        <w:spacing w:before="360" w:after="120"/>
      </w:pPr>
      <w:r>
        <w:rPr>
          <w:rFonts w:ascii="Calibri" w:hAnsi="Calibri"/>
          <w:b/>
          <w:i w:val="0"/>
          <w:color w:val="4B319B"/>
          <w:sz w:val="32"/>
        </w:rPr>
        <w:t>7.  Persönliche Einschätzung — Solider Startpunkt, hohe Kommunikationskomplexität</w:t>
      </w:r>
    </w:p>
    <w:p>
      <w:pPr>
        <w:spacing w:after="140"/>
      </w:pPr>
      <w:r>
        <w:rPr>
          <w:rFonts w:ascii="Calibri" w:hAnsi="Calibri"/>
          <w:b w:val="0"/>
          <w:i w:val="0"/>
          <w:color w:val="333333"/>
          <w:sz w:val="21"/>
        </w:rPr>
        <w:t>Beastly invested hat einen starken, eigenständigen und glaubwürdigen Ausgangspunkt: eine klare Gründerüberzeugung, ein relevantes Marktproblem und einen Produktansatz, der Tierschutz und Rendite nicht als Widerspruch versteht. Gleichzeitig ist die Kommunikation anspruchsvoll, weil mehrere Ebenen gleichzeitig sauber geführt werden müssen.</w:t>
      </w:r>
    </w:p>
    <w:p>
      <w:pPr>
        <w:pStyle w:val="ListBullet"/>
        <w:spacing w:after="60"/>
      </w:pPr>
      <w:r>
        <w:rPr>
          <w:rFonts w:ascii="Calibri" w:hAnsi="Calibri"/>
          <w:b w:val="0"/>
          <w:i w:val="0"/>
          <w:color w:val="333333"/>
          <w:sz w:val="21"/>
        </w:rPr>
        <w:t>beastly invested als emotionales, erklärungsbedürftiges Investmentprodukt</w:t>
      </w:r>
    </w:p>
    <w:p>
      <w:pPr>
        <w:pStyle w:val="ListBullet"/>
        <w:spacing w:after="60"/>
      </w:pPr>
      <w:r>
        <w:rPr>
          <w:rFonts w:ascii="Calibri" w:hAnsi="Calibri"/>
          <w:b w:val="0"/>
          <w:i w:val="0"/>
          <w:color w:val="333333"/>
          <w:sz w:val="21"/>
        </w:rPr>
        <w:t>Chipiron als vertrauensbildender Träger und Asset Manager</w:t>
      </w:r>
    </w:p>
    <w:p>
      <w:pPr>
        <w:pStyle w:val="ListBullet"/>
        <w:spacing w:after="60"/>
      </w:pPr>
      <w:r>
        <w:rPr>
          <w:rFonts w:ascii="Calibri" w:hAnsi="Calibri"/>
          <w:b w:val="0"/>
          <w:i w:val="0"/>
          <w:color w:val="333333"/>
          <w:sz w:val="21"/>
        </w:rPr>
        <w:t>FourGive / Tierschutzprojekte als Wirkungs- und Glaubwürdigkeitsebene</w:t>
      </w:r>
    </w:p>
    <w:p>
      <w:pPr>
        <w:pStyle w:val="ListBullet"/>
        <w:spacing w:after="60"/>
      </w:pPr>
      <w:r>
        <w:rPr>
          <w:rFonts w:ascii="Calibri" w:hAnsi="Calibri"/>
          <w:b w:val="0"/>
          <w:i w:val="0"/>
          <w:color w:val="333333"/>
          <w:sz w:val="21"/>
        </w:rPr>
        <w:t>unterschiedliche Zielgruppen: Retail-Investoren, professionelle Investoren, Partner, Medien, kritische Beobachter</w:t>
      </w:r>
    </w:p>
    <w:p>
      <w:pPr>
        <w:spacing w:before="240" w:after="80"/>
      </w:pPr>
      <w:r>
        <w:rPr>
          <w:rFonts w:ascii="Calibri" w:hAnsi="Calibri"/>
          <w:b/>
          <w:i w:val="0"/>
          <w:color w:val="1A1033"/>
          <w:sz w:val="24"/>
        </w:rPr>
        <w:t>Die grösste kommunikative Herausforderung</w:t>
      </w:r>
    </w:p>
    <w:p>
      <w:pPr>
        <w:pStyle w:val="ListBullet"/>
        <w:spacing w:after="60"/>
      </w:pPr>
      <w:r>
        <w:rPr>
          <w:rFonts w:ascii="Calibri" w:hAnsi="Calibri"/>
          <w:b w:val="0"/>
          <w:i w:val="0"/>
          <w:color w:val="333333"/>
          <w:sz w:val="21"/>
        </w:rPr>
        <w:t>transparent sein, ohne zu überladen</w:t>
      </w:r>
    </w:p>
    <w:p>
      <w:pPr>
        <w:pStyle w:val="ListBullet"/>
        <w:spacing w:after="60"/>
      </w:pPr>
      <w:r>
        <w:rPr>
          <w:rFonts w:ascii="Calibri" w:hAnsi="Calibri"/>
          <w:b w:val="0"/>
          <w:i w:val="0"/>
          <w:color w:val="333333"/>
          <w:sz w:val="21"/>
        </w:rPr>
        <w:t>Wirkung zeigen, ohne falsche Versprechen zu machen</w:t>
      </w:r>
    </w:p>
    <w:p>
      <w:pPr>
        <w:pStyle w:val="ListBullet"/>
        <w:spacing w:after="60"/>
      </w:pPr>
      <w:r>
        <w:rPr>
          <w:rFonts w:ascii="Calibri" w:hAnsi="Calibri"/>
          <w:b w:val="0"/>
          <w:i w:val="0"/>
          <w:color w:val="333333"/>
          <w:sz w:val="21"/>
        </w:rPr>
        <w:t>Emotion wecken, ohne aktivistisch oder belehrend zu wirken</w:t>
      </w:r>
    </w:p>
    <w:p>
      <w:pPr>
        <w:pStyle w:val="ListBullet"/>
        <w:spacing w:after="60"/>
      </w:pPr>
      <w:r>
        <w:rPr>
          <w:rFonts w:ascii="Calibri" w:hAnsi="Calibri"/>
          <w:b w:val="0"/>
          <w:i w:val="0"/>
          <w:color w:val="333333"/>
          <w:sz w:val="21"/>
        </w:rPr>
        <w:t>Expertise sichtbar machen, ohne Know-how vollständig preiszugeben</w:t>
      </w:r>
    </w:p>
    <w:p>
      <w:pPr>
        <w:pStyle w:val="ListBullet"/>
        <w:spacing w:after="60"/>
      </w:pPr>
      <w:r>
        <w:rPr>
          <w:rFonts w:ascii="Calibri" w:hAnsi="Calibri"/>
          <w:b w:val="0"/>
          <w:i w:val="0"/>
          <w:color w:val="333333"/>
          <w:sz w:val="21"/>
        </w:rPr>
        <w:t>Klarheit schaffen, ohne Komplexität zu unterschätzen</w:t>
      </w:r>
    </w:p>
    <w:tbl>
      <w:tblPr>
        <w:tblStyle w:val="TableGrid"/>
        <w:tblW w:type="auto" w:w="0"/>
        <w:tblLook w:firstColumn="1" w:firstRow="1" w:lastColumn="0" w:lastRow="0" w:noHBand="0" w:noVBand="1" w:val="04A0"/>
      </w:tblPr>
      <w:tblGrid>
        <w:gridCol w:w="8612"/>
      </w:tblGrid>
      <w:tr>
        <w:tc>
          <w:tcPr>
            <w:tcW w:type="dxa" w:w="8612"/>
            <w:shd w:val="clear" w:color="auto" w:fill="F0EBF8"/>
            <w:tcMar>
              <w:top w:w="120" w:type="dxa"/>
              <w:bottom w:w="120" w:type="dxa"/>
              <w:left w:w="160" w:type="dxa"/>
              <w:right w:w="160" w:type="dxa"/>
            </w:tcMar>
          </w:tcPr>
          <w:p>
            <w:r>
              <w:rPr>
                <w:rFonts w:ascii="Calibri" w:hAnsi="Calibri"/>
                <w:b w:val="0"/>
                <w:i/>
                <w:color w:val="1A1033"/>
                <w:sz w:val="22"/>
              </w:rPr>
              <w:t>«Beastly invested hat nicht primär ein Ideenproblem. Die Idee ist stark. Die entscheidende Frage ist, wie diese Idee so geführt, dosiert und übersetzt wird, dass sie Vertrauen schafft, ohne ihre Kraft zu verlieren.»</w:t>
            </w:r>
          </w:p>
          <w:p>
            <w:r>
              <w:rPr>
                <w:rFonts w:ascii="Calibri" w:hAnsi="Calibri"/>
                <w:b w:val="0"/>
                <w:i w:val="0"/>
                <w:color w:val="555555"/>
                <w:sz w:val="18"/>
              </w:rPr>
              <w:t>— Gedanken aus dem Workshop</w:t>
            </w:r>
          </w:p>
        </w:tc>
      </w:tr>
    </w:tbl>
    <w:p>
      <w:pPr>
        <w:spacing w:after="80"/>
      </w:pPr>
    </w:p>
    <w:p>
      <w:pPr>
        <w:spacing w:before="120" w:after="120"/>
        <w:pBdr>
          <w:bottom w:val="single" w:sz="4" w:space="1" w:color="a176f4"/>
        </w:pBdr>
      </w:pPr>
    </w:p>
    <w:p>
      <w:pPr>
        <w:spacing w:before="360" w:after="120"/>
      </w:pPr>
      <w:r>
        <w:rPr>
          <w:rFonts w:ascii="Calibri" w:hAnsi="Calibri"/>
          <w:b/>
          <w:i w:val="0"/>
          <w:color w:val="4B319B"/>
          <w:sz w:val="32"/>
        </w:rPr>
        <w:t>8.  Empfehlung — Strategische Kommunikationsführung als entscheidender Erfolgsfaktor</w:t>
      </w:r>
    </w:p>
    <w:p>
      <w:pPr>
        <w:spacing w:after="140"/>
      </w:pPr>
      <w:r>
        <w:rPr>
          <w:rFonts w:ascii="Calibri" w:hAnsi="Calibri"/>
          <w:b w:val="0"/>
          <w:i w:val="0"/>
          <w:color w:val="333333"/>
          <w:sz w:val="21"/>
        </w:rPr>
        <w:t>Das Projekt braucht für die nächste Phase eine erfahrene kommunikative Führung — nicht nur operative Marketing-Unterstützung. Die externe CMO-Funktion führt, challengt, übersetzt und entlastet Viktor.</w:t>
      </w:r>
    </w:p>
    <w:p>
      <w:pPr>
        <w:pStyle w:val="ListBullet"/>
        <w:spacing w:after="60"/>
      </w:pPr>
      <w:r>
        <w:rPr>
          <w:rFonts w:ascii="Calibri" w:hAnsi="Calibri"/>
          <w:b w:val="0"/>
          <w:i w:val="0"/>
          <w:color w:val="333333"/>
          <w:sz w:val="21"/>
        </w:rPr>
        <w:t>strategische Führung der Kommunikation</w:t>
      </w:r>
    </w:p>
    <w:p>
      <w:pPr>
        <w:pStyle w:val="ListBullet"/>
        <w:spacing w:after="60"/>
      </w:pPr>
      <w:r>
        <w:rPr>
          <w:rFonts w:ascii="Calibri" w:hAnsi="Calibri"/>
          <w:b w:val="0"/>
          <w:i w:val="0"/>
          <w:color w:val="333333"/>
          <w:sz w:val="21"/>
        </w:rPr>
        <w:t>Priorisierung der nächsten Schritte</w:t>
      </w:r>
    </w:p>
    <w:p>
      <w:pPr>
        <w:pStyle w:val="ListBullet"/>
        <w:spacing w:after="60"/>
      </w:pPr>
      <w:r>
        <w:rPr>
          <w:rFonts w:ascii="Calibri" w:hAnsi="Calibri"/>
          <w:b w:val="0"/>
          <w:i w:val="0"/>
          <w:color w:val="333333"/>
          <w:sz w:val="21"/>
        </w:rPr>
        <w:t>Einordnung von Zielgruppen, Botschaften und Kanälen</w:t>
      </w:r>
    </w:p>
    <w:p>
      <w:pPr>
        <w:pStyle w:val="ListBullet"/>
        <w:spacing w:after="60"/>
      </w:pPr>
      <w:r>
        <w:rPr>
          <w:rFonts w:ascii="Calibri" w:hAnsi="Calibri"/>
          <w:b w:val="0"/>
          <w:i w:val="0"/>
          <w:color w:val="333333"/>
          <w:sz w:val="21"/>
        </w:rPr>
        <w:t>Übersetzung der Vision in verständliche Kommunikation</w:t>
      </w:r>
    </w:p>
    <w:p>
      <w:pPr>
        <w:pStyle w:val="ListBullet"/>
        <w:spacing w:after="60"/>
      </w:pPr>
      <w:r>
        <w:rPr>
          <w:rFonts w:ascii="Calibri" w:hAnsi="Calibri"/>
          <w:b w:val="0"/>
          <w:i w:val="0"/>
          <w:color w:val="333333"/>
          <w:sz w:val="21"/>
        </w:rPr>
        <w:t>Sparring bei Grundsatzentscheidungen</w:t>
      </w:r>
    </w:p>
    <w:p>
      <w:pPr>
        <w:pStyle w:val="ListBullet"/>
        <w:spacing w:after="60"/>
      </w:pPr>
      <w:r>
        <w:rPr>
          <w:rFonts w:ascii="Calibri" w:hAnsi="Calibri"/>
          <w:b w:val="0"/>
          <w:i w:val="0"/>
          <w:color w:val="333333"/>
          <w:sz w:val="21"/>
        </w:rPr>
        <w:t>Sicherstellung von Klarheit, Konsistenz und Wirkung</w:t>
      </w:r>
    </w:p>
    <w:p>
      <w:pPr>
        <w:pStyle w:val="ListBullet"/>
        <w:spacing w:after="60"/>
      </w:pPr>
      <w:r>
        <w:rPr>
          <w:rFonts w:ascii="Calibri" w:hAnsi="Calibri"/>
          <w:b w:val="0"/>
          <w:i w:val="0"/>
          <w:color w:val="333333"/>
          <w:sz w:val="21"/>
        </w:rPr>
        <w:t>laufende Optimierung anhand von Reaktionen, Daten und Erfahrungswerten</w:t>
      </w:r>
    </w:p>
    <w:p>
      <w:pPr>
        <w:spacing w:after="140"/>
      </w:pPr>
      <w:r>
        <w:rPr>
          <w:rFonts w:ascii="Calibri" w:hAnsi="Calibri"/>
          <w:b w:val="0"/>
          <w:i w:val="0"/>
          <w:color w:val="333333"/>
          <w:sz w:val="21"/>
        </w:rPr>
        <w:t>1322 bringt die Erfahrung mit, Visionen zu strukturieren, Positionierungen zu schärfen, Kommunikationsarchitekturen aufzubauen und operative Massnahmen auf ein klares strategisches Ziel einzuzahlen. Diese Rolle können wir übernehmen.</w:t>
      </w:r>
    </w:p>
    <w:p>
      <w:pPr>
        <w:spacing w:before="240" w:after="80"/>
      </w:pPr>
      <w:r>
        <w:rPr>
          <w:rFonts w:ascii="Calibri" w:hAnsi="Calibri"/>
          <w:b/>
          <w:i w:val="0"/>
          <w:color w:val="1A1033"/>
          <w:sz w:val="24"/>
        </w:rPr>
        <w:t>Voraussetzungen</w:t>
      </w:r>
    </w:p>
    <w:p>
      <w:pPr>
        <w:pStyle w:val="ListBullet"/>
        <w:spacing w:after="60"/>
      </w:pPr>
      <w:r>
        <w:rPr>
          <w:rFonts w:ascii="Calibri" w:hAnsi="Calibri"/>
          <w:b w:val="0"/>
          <w:i w:val="0"/>
          <w:color w:val="333333"/>
          <w:sz w:val="21"/>
        </w:rPr>
        <w:t>Wer entscheidet strategische Fragen?</w:t>
      </w:r>
    </w:p>
    <w:p>
      <w:pPr>
        <w:pStyle w:val="ListBullet"/>
        <w:spacing w:after="60"/>
      </w:pPr>
      <w:r>
        <w:rPr>
          <w:rFonts w:ascii="Calibri" w:hAnsi="Calibri"/>
          <w:b w:val="0"/>
          <w:i w:val="0"/>
          <w:color w:val="333333"/>
          <w:sz w:val="21"/>
        </w:rPr>
        <w:t>Wer gibt Inhalte frei?</w:t>
      </w:r>
    </w:p>
    <w:p>
      <w:pPr>
        <w:pStyle w:val="ListBullet"/>
        <w:spacing w:after="60"/>
      </w:pPr>
      <w:r>
        <w:rPr>
          <w:rFonts w:ascii="Calibri" w:hAnsi="Calibri"/>
          <w:b w:val="0"/>
          <w:i w:val="0"/>
          <w:color w:val="333333"/>
          <w:sz w:val="21"/>
        </w:rPr>
        <w:t>Wer spricht für Chipiron / für beastly invested?</w:t>
      </w:r>
    </w:p>
    <w:p>
      <w:pPr>
        <w:pStyle w:val="ListBullet"/>
        <w:spacing w:after="60"/>
      </w:pPr>
      <w:r>
        <w:rPr>
          <w:rFonts w:ascii="Calibri" w:hAnsi="Calibri"/>
          <w:b w:val="0"/>
          <w:i w:val="0"/>
          <w:color w:val="333333"/>
          <w:sz w:val="21"/>
        </w:rPr>
        <w:t>Welche Informationen werden kommunikativ genutzt, welche bleiben intern?</w:t>
      </w:r>
    </w:p>
    <w:p>
      <w:pPr>
        <w:pStyle w:val="ListBullet"/>
        <w:spacing w:after="60"/>
      </w:pPr>
      <w:r>
        <w:rPr>
          <w:rFonts w:ascii="Calibri" w:hAnsi="Calibri"/>
          <w:b w:val="0"/>
          <w:i w:val="0"/>
          <w:color w:val="333333"/>
          <w:sz w:val="21"/>
        </w:rPr>
        <w:t>Wie schnell müssen Entscheidungen getroffen werden können?</w:t>
      </w:r>
    </w:p>
    <w:p>
      <w:pPr>
        <w:spacing w:after="140"/>
      </w:pPr>
      <w:r>
        <w:rPr>
          <w:rFonts w:ascii="Calibri" w:hAnsi="Calibri"/>
          <w:b w:val="0"/>
          <w:i/>
          <w:color w:val="1A1033"/>
          <w:sz w:val="21"/>
        </w:rPr>
        <w:t>Die Vision braucht Nähe zum Gründer. Die Umsetzung braucht klare Entscheidungswege.</w:t>
      </w:r>
    </w:p>
    <w:p>
      <w:pPr>
        <w:spacing w:before="120" w:after="120"/>
        <w:pBdr>
          <w:bottom w:val="single" w:sz="4" w:space="1" w:color="a176f4"/>
        </w:pBdr>
      </w:pPr>
    </w:p>
    <w:p>
      <w:pPr>
        <w:spacing w:before="360" w:after="120"/>
      </w:pPr>
      <w:r>
        <w:rPr>
          <w:rFonts w:ascii="Calibri" w:hAnsi="Calibri"/>
          <w:b/>
          <w:i w:val="0"/>
          <w:color w:val="4B319B"/>
          <w:sz w:val="32"/>
        </w:rPr>
        <w:t>9.  Mögliche Einstiege in die Umsetzung</w:t>
      </w:r>
    </w:p>
    <w:p>
      <w:pPr>
        <w:spacing w:after="140"/>
      </w:pPr>
      <w:r>
        <w:rPr>
          <w:rFonts w:ascii="Calibri" w:hAnsi="Calibri"/>
          <w:b w:val="0"/>
          <w:i w:val="0"/>
          <w:color w:val="333333"/>
          <w:sz w:val="21"/>
        </w:rPr>
        <w:t>Die Strategie ist definiert. Die zentrale Frage ist: Womit fangen wir an — und in welcher Logik? Drei Einstiegsszenarien, jedes mit anderen Prioritäten und Risiken.</w:t>
      </w:r>
    </w:p>
    <w:p>
      <w:pPr>
        <w:spacing w:before="240" w:after="80"/>
      </w:pPr>
      <w:r>
        <w:rPr>
          <w:rFonts w:ascii="Calibri" w:hAnsi="Calibri"/>
          <w:b/>
          <w:i w:val="0"/>
          <w:color w:val="1A1033"/>
          <w:sz w:val="24"/>
        </w:rPr>
        <w:t>Option A — Fundament zuerst</w:t>
      </w:r>
    </w:p>
    <w:p>
      <w:pPr>
        <w:spacing w:after="140"/>
      </w:pPr>
      <w:r>
        <w:rPr>
          <w:rFonts w:ascii="Calibri" w:hAnsi="Calibri"/>
          <w:b w:val="0"/>
          <w:i w:val="0"/>
          <w:color w:val="333333"/>
          <w:sz w:val="21"/>
        </w:rPr>
        <w:t>Markenarchitektur → Kernbotschaften → Fabios Mockup integrieren → Website → Viktor LinkedIn → Events / Ads.</w:t>
      </w:r>
    </w:p>
    <w:p>
      <w:pPr>
        <w:pStyle w:val="ListBullet"/>
        <w:spacing w:after="60"/>
      </w:pPr>
      <w:r>
        <w:rPr>
          <w:rFonts w:ascii="Calibri" w:hAnsi="Calibri"/>
          <w:b/>
          <w:i w:val="0"/>
          <w:color w:val="333333"/>
          <w:sz w:val="21"/>
        </w:rPr>
        <w:t xml:space="preserve">Stärke:  </w:t>
      </w:r>
      <w:r>
        <w:rPr>
          <w:rFonts w:ascii="Calibri" w:hAnsi="Calibri"/>
          <w:b w:val="0"/>
          <w:i w:val="0"/>
          <w:color w:val="333333"/>
          <w:sz w:val="21"/>
        </w:rPr>
        <w:t>Konsistenz von Anfang an. Alles baut auf sauberem Fundament.</w:t>
      </w:r>
    </w:p>
    <w:p>
      <w:pPr>
        <w:pStyle w:val="ListBullet"/>
        <w:spacing w:after="60"/>
      </w:pPr>
      <w:r>
        <w:rPr>
          <w:rFonts w:ascii="Calibri" w:hAnsi="Calibri"/>
          <w:b/>
          <w:i w:val="0"/>
          <w:color w:val="333333"/>
          <w:sz w:val="21"/>
        </w:rPr>
        <w:t xml:space="preserve">Risiko:  </w:t>
      </w:r>
      <w:r>
        <w:rPr>
          <w:rFonts w:ascii="Calibri" w:hAnsi="Calibri"/>
          <w:b w:val="0"/>
          <w:i w:val="0"/>
          <w:color w:val="333333"/>
          <w:sz w:val="21"/>
        </w:rPr>
        <w:t>Das September-Fenster kann zu eng werden, wenn das Fundament zu viel Zeit braucht.</w:t>
      </w:r>
    </w:p>
    <w:p>
      <w:pPr>
        <w:spacing w:before="240" w:after="80"/>
      </w:pPr>
      <w:r>
        <w:rPr>
          <w:rFonts w:ascii="Calibri" w:hAnsi="Calibri"/>
          <w:b/>
          <w:i w:val="0"/>
          <w:color w:val="1A1033"/>
          <w:sz w:val="24"/>
        </w:rPr>
        <w:t>Option B — Persönlichkeit zuerst</w:t>
      </w:r>
    </w:p>
    <w:p>
      <w:pPr>
        <w:spacing w:after="140"/>
      </w:pPr>
      <w:r>
        <w:rPr>
          <w:rFonts w:ascii="Calibri" w:hAnsi="Calibri"/>
          <w:b w:val="0"/>
          <w:i w:val="0"/>
          <w:color w:val="333333"/>
          <w:sz w:val="21"/>
        </w:rPr>
        <w:t>Viktor LinkedIn sofort aufsetzen und Content beginnen — auch bevor alle anderen Elemente fertig sind.</w:t>
      </w:r>
    </w:p>
    <w:p>
      <w:pPr>
        <w:pStyle w:val="ListBullet"/>
        <w:spacing w:after="60"/>
      </w:pPr>
      <w:r>
        <w:rPr>
          <w:rFonts w:ascii="Calibri" w:hAnsi="Calibri"/>
          <w:b/>
          <w:i w:val="0"/>
          <w:color w:val="333333"/>
          <w:sz w:val="21"/>
        </w:rPr>
        <w:t xml:space="preserve">Stärke:  </w:t>
      </w:r>
      <w:r>
        <w:rPr>
          <w:rFonts w:ascii="Calibri" w:hAnsi="Calibri"/>
          <w:b w:val="0"/>
          <w:i w:val="0"/>
          <w:color w:val="333333"/>
          <w:sz w:val="21"/>
        </w:rPr>
        <w:t>Höchste Wirkung bei geringstem initialem Aufwand. Viktor braucht keine Produktionsinfrastruktur.</w:t>
      </w:r>
    </w:p>
    <w:p>
      <w:pPr>
        <w:pStyle w:val="ListBullet"/>
        <w:spacing w:after="60"/>
      </w:pPr>
      <w:r>
        <w:rPr>
          <w:rFonts w:ascii="Calibri" w:hAnsi="Calibri"/>
          <w:b/>
          <w:i w:val="0"/>
          <w:color w:val="333333"/>
          <w:sz w:val="21"/>
        </w:rPr>
        <w:t xml:space="preserve">Risiko:  </w:t>
      </w:r>
      <w:r>
        <w:rPr>
          <w:rFonts w:ascii="Calibri" w:hAnsi="Calibri"/>
          <w:b w:val="0"/>
          <w:i w:val="0"/>
          <w:color w:val="333333"/>
          <w:sz w:val="21"/>
        </w:rPr>
        <w:t>Ohne klare Botschaften und Markenarchitektur kann der Auftritt inkonsistent werden.</w:t>
      </w:r>
    </w:p>
    <w:p>
      <w:pPr>
        <w:spacing w:before="240" w:after="80"/>
      </w:pPr>
      <w:r>
        <w:rPr>
          <w:rFonts w:ascii="Calibri" w:hAnsi="Calibri"/>
          <w:b/>
          <w:i w:val="0"/>
          <w:color w:val="1A1033"/>
          <w:sz w:val="24"/>
        </w:rPr>
        <w:t>Option C — Event als Ankerpunkt</w:t>
      </w:r>
    </w:p>
    <w:p>
      <w:pPr>
        <w:spacing w:after="140"/>
      </w:pPr>
      <w:r>
        <w:rPr>
          <w:rFonts w:ascii="Calibri" w:hAnsi="Calibri"/>
          <w:b w:val="0"/>
          <w:i w:val="0"/>
          <w:color w:val="333333"/>
          <w:sz w:val="21"/>
        </w:rPr>
        <w:t>Rückwärtsplanung vom September-Anlass: Was muss bis dahin stehen? Pitch Deck, Viktor LinkedIn, Website-Basics, klares Versprechen.</w:t>
      </w:r>
    </w:p>
    <w:p>
      <w:pPr>
        <w:pStyle w:val="ListBullet"/>
        <w:spacing w:after="60"/>
      </w:pPr>
      <w:r>
        <w:rPr>
          <w:rFonts w:ascii="Calibri" w:hAnsi="Calibri"/>
          <w:b/>
          <w:i w:val="0"/>
          <w:color w:val="333333"/>
          <w:sz w:val="21"/>
        </w:rPr>
        <w:t xml:space="preserve">Stärke:  </w:t>
      </w:r>
      <w:r>
        <w:rPr>
          <w:rFonts w:ascii="Calibri" w:hAnsi="Calibri"/>
          <w:b w:val="0"/>
          <w:i w:val="0"/>
          <w:color w:val="333333"/>
          <w:sz w:val="21"/>
        </w:rPr>
        <w:t>Konkretes Datum schafft Entscheidungsdruck und Fokus.</w:t>
      </w:r>
    </w:p>
    <w:p>
      <w:pPr>
        <w:pStyle w:val="ListBullet"/>
        <w:spacing w:after="60"/>
      </w:pPr>
      <w:r>
        <w:rPr>
          <w:rFonts w:ascii="Calibri" w:hAnsi="Calibri"/>
          <w:b/>
          <w:i w:val="0"/>
          <w:color w:val="333333"/>
          <w:sz w:val="21"/>
        </w:rPr>
        <w:t xml:space="preserve">Risiko:  </w:t>
      </w:r>
      <w:r>
        <w:rPr>
          <w:rFonts w:ascii="Calibri" w:hAnsi="Calibri"/>
          <w:b w:val="0"/>
          <w:i w:val="0"/>
          <w:color w:val="333333"/>
          <w:sz w:val="21"/>
        </w:rPr>
        <w:t>Hektik und Kompromisse, wenn zu viel gleichzeitig fertig werden muss.</w:t>
      </w:r>
    </w:p>
    <w:tbl>
      <w:tblPr>
        <w:tblStyle w:val="TableGrid"/>
        <w:tblW w:type="auto" w:w="0"/>
        <w:tblLook w:firstColumn="1" w:firstRow="1" w:lastColumn="0" w:lastRow="0" w:noHBand="0" w:noVBand="1" w:val="04A0"/>
      </w:tblPr>
      <w:tblGrid>
        <w:gridCol w:w="8612"/>
      </w:tblGrid>
      <w:tr>
        <w:tc>
          <w:tcPr>
            <w:tcW w:type="dxa" w:w="8612"/>
            <w:shd w:val="clear" w:color="auto" w:fill="FFF3EE"/>
            <w:tcMar>
              <w:top w:w="100" w:type="dxa"/>
              <w:bottom w:w="100" w:type="dxa"/>
              <w:left w:w="140" w:type="dxa"/>
              <w:right w:w="140" w:type="dxa"/>
            </w:tcMar>
          </w:tcPr>
          <w:p>
            <w:r>
              <w:rPr>
                <w:rFonts w:ascii="Calibri" w:hAnsi="Calibri"/>
                <w:b/>
                <w:i w:val="0"/>
                <w:color w:val="BD5435"/>
                <w:sz w:val="21"/>
              </w:rPr>
              <w:t xml:space="preserve">Empfehlung 1322:  </w:t>
            </w:r>
            <w:r>
              <w:rPr>
                <w:rFonts w:ascii="Calibri" w:hAnsi="Calibri"/>
                <w:b w:val="0"/>
                <w:i w:val="0"/>
                <w:color w:val="333333"/>
                <w:sz w:val="21"/>
              </w:rPr>
              <w:t>Option A oder C — abhängig von verfügbarer Kapazität und Dringlichkeit des September-Fensters. In jedem Fall: organisatorische Klärung und Markenarchitektur-Entscheid als absolute erste Priorität, bevor Sichtbarkeit aufgebaut wird.</w:t>
            </w:r>
          </w:p>
        </w:tc>
      </w:tr>
    </w:tbl>
    <w:p>
      <w:pPr>
        <w:spacing w:after="120"/>
      </w:pPr>
    </w:p>
    <w:p>
      <w:pPr>
        <w:spacing w:before="120" w:after="120"/>
        <w:pBdr>
          <w:bottom w:val="single" w:sz="4" w:space="1" w:color="a176f4"/>
        </w:pBdr>
      </w:pPr>
    </w:p>
    <w:p>
      <w:r>
        <w:br w:type="page"/>
      </w:r>
    </w:p>
    <w:p>
      <w:pPr>
        <w:spacing w:before="360" w:after="120"/>
      </w:pPr>
      <w:r>
        <w:rPr>
          <w:rFonts w:ascii="Calibri" w:hAnsi="Calibri"/>
          <w:b/>
          <w:i w:val="0"/>
          <w:color w:val="4B319B"/>
          <w:sz w:val="32"/>
        </w:rPr>
        <w:t>Anhang: PowerPoint-Snippets</w:t>
      </w:r>
    </w:p>
    <w:p>
      <w:pPr>
        <w:spacing w:after="140"/>
      </w:pPr>
      <w:r>
        <w:rPr>
          <w:rFonts w:ascii="Calibri" w:hAnsi="Calibri"/>
          <w:b w:val="0"/>
          <w:i/>
          <w:color w:val="333333"/>
          <w:sz w:val="21"/>
        </w:rPr>
        <w:t>Folgende Folien-Inhalte können direkt in ein Präsentations-Deck übertragen werden.</w:t>
      </w:r>
    </w:p>
    <w:p>
      <w:pPr>
        <w:spacing w:before="240" w:after="80"/>
      </w:pPr>
      <w:r>
        <w:rPr>
          <w:rFonts w:ascii="Calibri" w:hAnsi="Calibri"/>
          <w:b/>
          <w:i w:val="0"/>
          <w:color w:val="1A1033"/>
          <w:sz w:val="24"/>
        </w:rPr>
        <w:t>Folie 1 — Ausgangslage</w:t>
      </w:r>
    </w:p>
    <w:p>
      <w:pPr>
        <w:pStyle w:val="ListBullet"/>
        <w:spacing w:after="60"/>
      </w:pPr>
      <w:r>
        <w:rPr>
          <w:rFonts w:ascii="Calibri" w:hAnsi="Calibri"/>
          <w:b w:val="0"/>
          <w:i w:val="0"/>
          <w:color w:val="333333"/>
          <w:sz w:val="21"/>
        </w:rPr>
        <w:t>Beastly = erstes Produkt der Non-Profit Chipiron AG</w:t>
      </w:r>
    </w:p>
    <w:p>
      <w:pPr>
        <w:pStyle w:val="ListBullet"/>
        <w:spacing w:after="60"/>
      </w:pPr>
      <w:r>
        <w:rPr>
          <w:rFonts w:ascii="Calibri" w:hAnsi="Calibri"/>
          <w:b w:val="0"/>
          <w:i w:val="0"/>
          <w:color w:val="333333"/>
          <w:sz w:val="21"/>
        </w:rPr>
        <w:t>Gründer Viktor &amp; Lydia Ackermann — FourGive Tierklinik Ägypten als Ursprung</w:t>
      </w:r>
    </w:p>
    <w:p>
      <w:pPr>
        <w:pStyle w:val="ListBullet"/>
        <w:spacing w:after="60"/>
      </w:pPr>
      <w:r>
        <w:rPr>
          <w:rFonts w:ascii="Calibri" w:hAnsi="Calibri"/>
          <w:b w:val="0"/>
          <w:i w:val="0"/>
          <w:color w:val="333333"/>
          <w:sz w:val="21"/>
        </w:rPr>
        <w:t>Animal Cruelty Free Portfolio, KI-basierte Bewertung</w:t>
      </w:r>
    </w:p>
    <w:p>
      <w:pPr>
        <w:pStyle w:val="ListBullet"/>
        <w:spacing w:after="60"/>
      </w:pPr>
      <w:r>
        <w:rPr>
          <w:rFonts w:ascii="Calibri" w:hAnsi="Calibri"/>
          <w:b w:val="0"/>
          <w:i w:val="0"/>
          <w:color w:val="333333"/>
          <w:sz w:val="21"/>
        </w:rPr>
        <w:t>Drei Ebenen: Beastly (Emotion) · Chipiron (Vertrauen) · FourGive (Wirkung)</w:t>
      </w:r>
    </w:p>
    <w:p>
      <w:pPr>
        <w:spacing w:after="40"/>
      </w:pPr>
    </w:p>
    <w:p>
      <w:pPr>
        <w:spacing w:before="240" w:after="80"/>
      </w:pPr>
      <w:r>
        <w:rPr>
          <w:rFonts w:ascii="Calibri" w:hAnsi="Calibri"/>
          <w:b/>
          <w:i w:val="0"/>
          <w:color w:val="1A1033"/>
          <w:sz w:val="24"/>
        </w:rPr>
        <w:t>Folie 2 — Strategische Positionierung</w:t>
      </w:r>
    </w:p>
    <w:p>
      <w:pPr>
        <w:pStyle w:val="ListBullet"/>
        <w:spacing w:after="60"/>
      </w:pPr>
      <w:r>
        <w:rPr>
          <w:rFonts w:ascii="Calibri" w:hAnsi="Calibri"/>
          <w:b w:val="0"/>
          <w:i w:val="0"/>
          <w:color w:val="333333"/>
          <w:sz w:val="21"/>
        </w:rPr>
        <w:t>Beastly führt — Chipiron bleibt diskret</w:t>
      </w:r>
    </w:p>
    <w:p>
      <w:pPr>
        <w:pStyle w:val="ListBullet"/>
        <w:spacing w:after="60"/>
      </w:pPr>
      <w:r>
        <w:rPr>
          <w:rFonts w:ascii="Calibri" w:hAnsi="Calibri"/>
          <w:b w:val="0"/>
          <w:i w:val="0"/>
          <w:color w:val="333333"/>
          <w:sz w:val="21"/>
        </w:rPr>
        <w:t>Kernversprechen: Rendite · Wirkung · Keine Gewinnausschüttung</w:t>
      </w:r>
    </w:p>
    <w:p>
      <w:pPr>
        <w:pStyle w:val="ListBullet"/>
        <w:spacing w:after="60"/>
      </w:pPr>
      <w:r>
        <w:rPr>
          <w:rFonts w:ascii="Calibri" w:hAnsi="Calibri"/>
          <w:b w:val="0"/>
          <w:i w:val="0"/>
          <w:color w:val="333333"/>
          <w:sz w:val="21"/>
        </w:rPr>
        <w:t>Haltung ohne Aktivismus: konsequent, mutig, wertebasiert — nie belehrend</w:t>
      </w:r>
    </w:p>
    <w:p>
      <w:pPr>
        <w:pStyle w:val="ListBullet"/>
        <w:spacing w:after="60"/>
      </w:pPr>
      <w:r>
        <w:rPr>
          <w:rFonts w:ascii="Calibri" w:hAnsi="Calibri"/>
          <w:b w:val="0"/>
          <w:i w:val="0"/>
          <w:color w:val="333333"/>
          <w:sz w:val="21"/>
        </w:rPr>
        <w:t>Radikale Transparenz als Differenzierungshebel</w:t>
      </w:r>
    </w:p>
    <w:p>
      <w:pPr>
        <w:spacing w:after="40"/>
      </w:pPr>
    </w:p>
    <w:p>
      <w:pPr>
        <w:spacing w:before="240" w:after="80"/>
      </w:pPr>
      <w:r>
        <w:rPr>
          <w:rFonts w:ascii="Calibri" w:hAnsi="Calibri"/>
          <w:b/>
          <w:i w:val="0"/>
          <w:color w:val="1A1033"/>
          <w:sz w:val="24"/>
        </w:rPr>
        <w:t>Folie 3 — Zielgruppen</w:t>
      </w:r>
    </w:p>
    <w:p>
      <w:pPr>
        <w:pStyle w:val="ListBullet"/>
        <w:spacing w:after="60"/>
      </w:pPr>
      <w:r>
        <w:rPr>
          <w:rFonts w:ascii="Calibri" w:hAnsi="Calibri"/>
          <w:b w:val="0"/>
          <w:i w:val="0"/>
          <w:color w:val="333333"/>
          <w:sz w:val="21"/>
        </w:rPr>
        <w:t>Beide brauchen Herz — Institutionelle brauchen zusätzlich Beweisführung</w:t>
      </w:r>
    </w:p>
    <w:p>
      <w:pPr>
        <w:pStyle w:val="ListBullet"/>
        <w:spacing w:after="60"/>
      </w:pPr>
      <w:r>
        <w:rPr>
          <w:rFonts w:ascii="Calibri" w:hAnsi="Calibri"/>
          <w:b w:val="0"/>
          <w:i w:val="0"/>
          <w:color w:val="333333"/>
          <w:sz w:val="21"/>
        </w:rPr>
        <w:t>Retail: ab CHF 50, emotionaler Einstieg, niedrige Hürde</w:t>
      </w:r>
    </w:p>
    <w:p>
      <w:pPr>
        <w:pStyle w:val="ListBullet"/>
        <w:spacing w:after="60"/>
      </w:pPr>
      <w:r>
        <w:rPr>
          <w:rFonts w:ascii="Calibri" w:hAnsi="Calibri"/>
          <w:b w:val="0"/>
          <w:i w:val="0"/>
          <w:color w:val="333333"/>
          <w:sz w:val="21"/>
        </w:rPr>
        <w:t>Professionell: Struktur, Governance, Track Record, Risiko-Rendite</w:t>
      </w:r>
    </w:p>
    <w:p>
      <w:pPr>
        <w:pStyle w:val="ListBullet"/>
        <w:spacing w:after="60"/>
      </w:pPr>
      <w:r>
        <w:rPr>
          <w:rFonts w:ascii="Calibri" w:hAnsi="Calibri"/>
          <w:b w:val="0"/>
          <w:i w:val="0"/>
          <w:color w:val="333333"/>
          <w:sz w:val="21"/>
        </w:rPr>
        <w:t>Entscheidungslogik: Emotion → Vertrauen → Performance → Investment</w:t>
      </w:r>
    </w:p>
    <w:p>
      <w:pPr>
        <w:spacing w:after="40"/>
      </w:pPr>
    </w:p>
    <w:p>
      <w:pPr>
        <w:spacing w:before="240" w:after="80"/>
      </w:pPr>
      <w:r>
        <w:rPr>
          <w:rFonts w:ascii="Calibri" w:hAnsi="Calibri"/>
          <w:b/>
          <w:i w:val="0"/>
          <w:color w:val="1A1033"/>
          <w:sz w:val="24"/>
        </w:rPr>
        <w:t>Folie 4 — Kommunikationsfunnel</w:t>
      </w:r>
    </w:p>
    <w:p>
      <w:pPr>
        <w:pStyle w:val="ListBullet"/>
        <w:spacing w:after="60"/>
      </w:pPr>
      <w:r>
        <w:rPr>
          <w:rFonts w:ascii="Calibri" w:hAnsi="Calibri"/>
          <w:b w:val="0"/>
          <w:i w:val="0"/>
          <w:color w:val="333333"/>
          <w:sz w:val="21"/>
        </w:rPr>
        <w:t>Aufmerksamkeit: Viktor LinkedIn + Beastly Social + Awareness-Ads</w:t>
      </w:r>
    </w:p>
    <w:p>
      <w:pPr>
        <w:pStyle w:val="ListBullet"/>
        <w:spacing w:after="60"/>
      </w:pPr>
      <w:r>
        <w:rPr>
          <w:rFonts w:ascii="Calibri" w:hAnsi="Calibri"/>
          <w:b w:val="0"/>
          <w:i w:val="0"/>
          <w:color w:val="333333"/>
          <w:sz w:val="21"/>
        </w:rPr>
        <w:t>Neugier: Gründerstory, Dual-Bildwelt, Website-Einstieg</w:t>
      </w:r>
    </w:p>
    <w:p>
      <w:pPr>
        <w:pStyle w:val="ListBullet"/>
        <w:spacing w:after="60"/>
      </w:pPr>
      <w:r>
        <w:rPr>
          <w:rFonts w:ascii="Calibri" w:hAnsi="Calibri"/>
          <w:b w:val="0"/>
          <w:i w:val="0"/>
          <w:color w:val="333333"/>
          <w:sz w:val="21"/>
        </w:rPr>
        <w:t>Vertrauen: Transparenz, FourGive-Momente, Viktor &amp; Lydia als Menschen</w:t>
      </w:r>
    </w:p>
    <w:p>
      <w:pPr>
        <w:pStyle w:val="ListBullet"/>
        <w:spacing w:after="60"/>
      </w:pPr>
      <w:r>
        <w:rPr>
          <w:rFonts w:ascii="Calibri" w:hAnsi="Calibri"/>
          <w:b w:val="0"/>
          <w:i w:val="0"/>
          <w:color w:val="333333"/>
          <w:sz w:val="21"/>
        </w:rPr>
        <w:t>Erklärung: Pitch Deck + Direktgespräch + Website Deep Dive</w:t>
      </w:r>
    </w:p>
    <w:p>
      <w:pPr>
        <w:pStyle w:val="ListBullet"/>
        <w:spacing w:after="60"/>
      </w:pPr>
      <w:r>
        <w:rPr>
          <w:rFonts w:ascii="Calibri" w:hAnsi="Calibri"/>
          <w:b w:val="0"/>
          <w:i w:val="0"/>
          <w:color w:val="333333"/>
          <w:sz w:val="21"/>
        </w:rPr>
        <w:t>Entscheidung: Retail Bank/App ab CHF 50 · Professionell Direktabschluss</w:t>
      </w:r>
    </w:p>
    <w:p>
      <w:pPr>
        <w:spacing w:after="40"/>
      </w:pPr>
    </w:p>
    <w:p>
      <w:pPr>
        <w:spacing w:before="240" w:after="80"/>
      </w:pPr>
      <w:r>
        <w:rPr>
          <w:rFonts w:ascii="Calibri" w:hAnsi="Calibri"/>
          <w:b/>
          <w:i w:val="0"/>
          <w:color w:val="1A1033"/>
          <w:sz w:val="24"/>
        </w:rPr>
        <w:t>Folie 5 — Kanalstrategie</w:t>
      </w:r>
    </w:p>
    <w:p>
      <w:pPr>
        <w:pStyle w:val="ListBullet"/>
        <w:spacing w:after="60"/>
      </w:pPr>
      <w:r>
        <w:rPr>
          <w:rFonts w:ascii="Calibri" w:hAnsi="Calibri"/>
          <w:b w:val="0"/>
          <w:i w:val="0"/>
          <w:color w:val="333333"/>
          <w:sz w:val="21"/>
        </w:rPr>
        <w:t>LinkedIn: gesetzter Ausgangspunkt — immer (Viktor Profil + Beastly Marke)</w:t>
      </w:r>
    </w:p>
    <w:p>
      <w:pPr>
        <w:pStyle w:val="ListBullet"/>
        <w:spacing w:after="60"/>
      </w:pPr>
      <w:r>
        <w:rPr>
          <w:rFonts w:ascii="Calibri" w:hAnsi="Calibri"/>
          <w:b w:val="0"/>
          <w:i w:val="0"/>
          <w:color w:val="333333"/>
          <w:sz w:val="21"/>
        </w:rPr>
        <w:t>+ Instagram: visueller Tierwohl-Content, Meta-Ads-Synergie</w:t>
      </w:r>
    </w:p>
    <w:p>
      <w:pPr>
        <w:pStyle w:val="ListBullet"/>
        <w:spacing w:after="60"/>
      </w:pPr>
      <w:r>
        <w:rPr>
          <w:rFonts w:ascii="Calibri" w:hAnsi="Calibri"/>
          <w:b w:val="0"/>
          <w:i w:val="0"/>
          <w:color w:val="333333"/>
          <w:sz w:val="21"/>
        </w:rPr>
        <w:t>+ TikTok: Persönlichkeit, Gesichter, authentische Formate</w:t>
      </w:r>
    </w:p>
    <w:p>
      <w:pPr>
        <w:pStyle w:val="ListBullet"/>
        <w:spacing w:after="60"/>
      </w:pPr>
      <w:r>
        <w:rPr>
          <w:rFonts w:ascii="Calibri" w:hAnsi="Calibri"/>
          <w:b w:val="0"/>
          <w:i w:val="0"/>
          <w:color w:val="333333"/>
          <w:sz w:val="21"/>
        </w:rPr>
        <w:t>Kombination nach Ressourcen wählen — nicht alle Kanäle gleichzeitig</w:t>
      </w:r>
    </w:p>
    <w:p>
      <w:pPr>
        <w:spacing w:after="40"/>
      </w:pPr>
    </w:p>
    <w:p>
      <w:pPr>
        <w:spacing w:before="240" w:after="80"/>
      </w:pPr>
      <w:r>
        <w:rPr>
          <w:rFonts w:ascii="Calibri" w:hAnsi="Calibri"/>
          <w:b/>
          <w:i w:val="0"/>
          <w:color w:val="1A1033"/>
          <w:sz w:val="24"/>
        </w:rPr>
        <w:t>Folie 6 — Persönliche Einschätzung</w:t>
      </w:r>
    </w:p>
    <w:p>
      <w:pPr>
        <w:pStyle w:val="ListBullet"/>
        <w:spacing w:after="60"/>
      </w:pPr>
      <w:r>
        <w:rPr>
          <w:rFonts w:ascii="Calibri" w:hAnsi="Calibri"/>
          <w:b w:val="0"/>
          <w:i w:val="0"/>
          <w:color w:val="333333"/>
          <w:sz w:val="21"/>
        </w:rPr>
        <w:t>Solider Startpunkt: starke Gründerüberzeugung, relevante Nische</w:t>
      </w:r>
    </w:p>
    <w:p>
      <w:pPr>
        <w:pStyle w:val="ListBullet"/>
        <w:spacing w:after="60"/>
      </w:pPr>
      <w:r>
        <w:rPr>
          <w:rFonts w:ascii="Calibri" w:hAnsi="Calibri"/>
          <w:b w:val="0"/>
          <w:i w:val="0"/>
          <w:color w:val="333333"/>
          <w:sz w:val="21"/>
        </w:rPr>
        <w:t>Hohe Kommunikationskomplexität: 3 Ebenen, 2 Zielgruppen, 1 Missverständnis</w:t>
      </w:r>
    </w:p>
    <w:p>
      <w:pPr>
        <w:pStyle w:val="ListBullet"/>
        <w:spacing w:after="60"/>
      </w:pPr>
      <w:r>
        <w:rPr>
          <w:rFonts w:ascii="Calibri" w:hAnsi="Calibri"/>
          <w:b w:val="0"/>
          <w:i w:val="0"/>
          <w:color w:val="333333"/>
          <w:sz w:val="21"/>
        </w:rPr>
        <w:t>«Die Idee ist stark — die Herausforderung ist Dosierung, Führung, Übersetzung»</w:t>
      </w:r>
    </w:p>
    <w:p>
      <w:pPr>
        <w:pStyle w:val="ListBullet"/>
        <w:spacing w:after="60"/>
      </w:pPr>
      <w:r>
        <w:rPr>
          <w:rFonts w:ascii="Calibri" w:hAnsi="Calibri"/>
          <w:b w:val="0"/>
          <w:i w:val="0"/>
          <w:color w:val="333333"/>
          <w:sz w:val="21"/>
        </w:rPr>
        <w:t>Transparent sein, ohne zu überladen. Emotion wecken, ohne aktivistisch zu wirken.</w:t>
      </w:r>
    </w:p>
    <w:p>
      <w:pPr>
        <w:spacing w:after="40"/>
      </w:pPr>
    </w:p>
    <w:p>
      <w:pPr>
        <w:spacing w:before="240" w:after="80"/>
      </w:pPr>
      <w:r>
        <w:rPr>
          <w:rFonts w:ascii="Calibri" w:hAnsi="Calibri"/>
          <w:b/>
          <w:i w:val="0"/>
          <w:color w:val="1A1033"/>
          <w:sz w:val="24"/>
        </w:rPr>
        <w:t>Folie 7 — Empfehlung</w:t>
      </w:r>
    </w:p>
    <w:p>
      <w:pPr>
        <w:pStyle w:val="ListBullet"/>
        <w:spacing w:after="60"/>
      </w:pPr>
      <w:r>
        <w:rPr>
          <w:rFonts w:ascii="Calibri" w:hAnsi="Calibri"/>
          <w:b w:val="0"/>
          <w:i w:val="0"/>
          <w:color w:val="333333"/>
          <w:sz w:val="21"/>
        </w:rPr>
        <w:t>Externe CMO-Funktion: führen, challengen, übersetzen, entlasten</w:t>
      </w:r>
    </w:p>
    <w:p>
      <w:pPr>
        <w:pStyle w:val="ListBullet"/>
        <w:spacing w:after="60"/>
      </w:pPr>
      <w:r>
        <w:rPr>
          <w:rFonts w:ascii="Calibri" w:hAnsi="Calibri"/>
          <w:b w:val="0"/>
          <w:i w:val="0"/>
          <w:color w:val="333333"/>
          <w:sz w:val="21"/>
        </w:rPr>
        <w:t>Voraussetzung: Rollen, Entscheidungswege, Zuständigkeiten klären</w:t>
      </w:r>
    </w:p>
    <w:p>
      <w:pPr>
        <w:pStyle w:val="ListBullet"/>
        <w:spacing w:after="60"/>
      </w:pPr>
      <w:r>
        <w:rPr>
          <w:rFonts w:ascii="Calibri" w:hAnsi="Calibri"/>
          <w:b w:val="0"/>
          <w:i w:val="0"/>
          <w:color w:val="333333"/>
          <w:sz w:val="21"/>
        </w:rPr>
        <w:t>1322 ist grundsätzlich interessiert, diesen Weg zu begleiten</w:t>
      </w:r>
    </w:p>
    <w:p>
      <w:pPr>
        <w:pStyle w:val="ListBullet"/>
        <w:spacing w:after="60"/>
      </w:pPr>
      <w:r>
        <w:rPr>
          <w:rFonts w:ascii="Calibri" w:hAnsi="Calibri"/>
          <w:b w:val="0"/>
          <w:i w:val="0"/>
          <w:color w:val="333333"/>
          <w:sz w:val="21"/>
        </w:rPr>
        <w:t>Die Vision braucht Nähe zum Gründer. Die Umsetzung braucht klare Entscheidungswege.</w:t>
      </w:r>
    </w:p>
    <w:p>
      <w:pPr>
        <w:spacing w:after="40"/>
      </w:pPr>
    </w:p>
    <w:p>
      <w:pPr>
        <w:spacing w:before="240" w:after="80"/>
      </w:pPr>
      <w:r>
        <w:rPr>
          <w:rFonts w:ascii="Calibri" w:hAnsi="Calibri"/>
          <w:b/>
          <w:i w:val="0"/>
          <w:color w:val="1A1033"/>
          <w:sz w:val="24"/>
        </w:rPr>
        <w:t>Folie 8 — Mögliche Einstiege</w:t>
      </w:r>
    </w:p>
    <w:p>
      <w:pPr>
        <w:pStyle w:val="ListBullet"/>
        <w:spacing w:after="60"/>
      </w:pPr>
      <w:r>
        <w:rPr>
          <w:rFonts w:ascii="Calibri" w:hAnsi="Calibri"/>
          <w:b w:val="0"/>
          <w:i w:val="0"/>
          <w:color w:val="333333"/>
          <w:sz w:val="21"/>
        </w:rPr>
        <w:t>Option A: Fundament zuerst (Markenarchitektur → Botschaften → Visuals → Kanäle)</w:t>
      </w:r>
    </w:p>
    <w:p>
      <w:pPr>
        <w:pStyle w:val="ListBullet"/>
        <w:spacing w:after="60"/>
      </w:pPr>
      <w:r>
        <w:rPr>
          <w:rFonts w:ascii="Calibri" w:hAnsi="Calibri"/>
          <w:b w:val="0"/>
          <w:i w:val="0"/>
          <w:color w:val="333333"/>
          <w:sz w:val="21"/>
        </w:rPr>
        <w:t>Option B: Persönlichkeit zuerst (Viktor LinkedIn sofort starten)</w:t>
      </w:r>
    </w:p>
    <w:p>
      <w:pPr>
        <w:pStyle w:val="ListBullet"/>
        <w:spacing w:after="60"/>
      </w:pPr>
      <w:r>
        <w:rPr>
          <w:rFonts w:ascii="Calibri" w:hAnsi="Calibri"/>
          <w:b w:val="0"/>
          <w:i w:val="0"/>
          <w:color w:val="333333"/>
          <w:sz w:val="21"/>
        </w:rPr>
        <w:t>Option C: Event-orientiert (September-Anlass als Ankerpunkt)</w:t>
      </w:r>
    </w:p>
    <w:p>
      <w:pPr>
        <w:pStyle w:val="ListBullet"/>
        <w:spacing w:after="60"/>
      </w:pPr>
      <w:r>
        <w:rPr>
          <w:rFonts w:ascii="Calibri" w:hAnsi="Calibri"/>
          <w:b w:val="0"/>
          <w:i w:val="0"/>
          <w:color w:val="333333"/>
          <w:sz w:val="21"/>
        </w:rPr>
        <w:t>Voraussetzung für alle: Organisatorische Klärung als allererster Schritt</w:t>
      </w:r>
    </w:p>
    <w:p>
      <w:pPr>
        <w:spacing w:after="40"/>
      </w:pPr>
    </w:p>
    <w:sectPr w:rsidR="00FC693F" w:rsidRPr="0006063C" w:rsidSect="00034616">
      <w:pgSz w:w="12240" w:h="15840"/>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