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066"/>
      </w:tblGrid>
      <w:tr>
        <w:tc>
          <w:tcPr>
            <w:tcW w:type="dxa" w:w="9066"/>
            <w:shd w:val="clear" w:color="auto" w:fill="033d62"/>
          </w:tcPr>
          <w:p>
            <w:pPr>
              <w:spacing w:before="700"/>
            </w:pPr>
            <w:r>
              <w:rPr>
                <w:rFonts w:ascii="Calibri" w:hAnsi="Calibri"/>
                <w:b/>
                <w:color w:val="FFFFFF"/>
                <w:sz w:val="56"/>
              </w:rPr>
              <w:br/>
              <w:t xml:space="preserve">  Belle Immo AG</w:t>
              <w:br/>
            </w:r>
          </w:p>
          <w:p>
            <w:r>
              <w:rPr>
                <w:rFonts w:ascii="Calibri" w:hAnsi="Calibri"/>
                <w:color w:val="BBD8EE"/>
                <w:sz w:val="27"/>
              </w:rPr>
              <w:t xml:space="preserve">  Die erste Adresse für Immobilienfragen in der Region</w:t>
              <w:br/>
            </w:r>
          </w:p>
          <w:p>
            <w:pPr>
              <w:spacing w:after="700"/>
            </w:pPr>
            <w:r>
              <w:rPr>
                <w:rFonts w:ascii="Calibri" w:hAnsi="Calibri"/>
                <w:i/>
                <w:color w:val="88AACC"/>
                <w:sz w:val="22"/>
              </w:rPr>
              <w:t xml:space="preserve">  Kommunikationsstrategie 2026</w:t>
              <w:br/>
              <w:t xml:space="preserve"> </w:t>
            </w:r>
          </w:p>
        </w:tc>
      </w:tr>
    </w:tbl>
    <w:p>
      <w:pPr>
        <w:spacing w:before="240"/>
      </w:pPr>
      <w:r>
        <w:rPr>
          <w:rFonts w:ascii="Calibri" w:hAnsi="Calibri"/>
          <w:b/>
          <w:color w:val="055A8D"/>
          <w:sz w:val="20"/>
        </w:rPr>
        <w:t xml:space="preserve">Erstellt:  </w:t>
      </w:r>
      <w:r>
        <w:rPr>
          <w:rFonts w:ascii="Calibri" w:hAnsi="Calibri"/>
          <w:sz w:val="20"/>
        </w:rPr>
        <w:t xml:space="preserve">25. Juni 2026     </w:t>
      </w:r>
      <w:r>
        <w:rPr>
          <w:rFonts w:ascii="Calibri" w:hAnsi="Calibri"/>
          <w:b/>
          <w:color w:val="055A8D"/>
          <w:sz w:val="20"/>
        </w:rPr>
        <w:t xml:space="preserve">Erstellt von:  </w:t>
      </w:r>
      <w:r>
        <w:rPr>
          <w:rFonts w:ascii="Calibri" w:hAnsi="Calibri"/>
          <w:sz w:val="20"/>
        </w:rPr>
        <w:t xml:space="preserve">Mournival GmbH / DungeonMasterAlex     </w:t>
      </w:r>
      <w:r>
        <w:rPr>
          <w:rFonts w:ascii="Calibri" w:hAnsi="Calibri"/>
          <w:b/>
          <w:color w:val="055A8D"/>
          <w:sz w:val="20"/>
        </w:rPr>
        <w:t xml:space="preserve">Basis:  </w:t>
      </w:r>
      <w:r>
        <w:rPr>
          <w:rFonts w:ascii="Calibri" w:hAnsi="Calibri"/>
          <w:sz w:val="20"/>
        </w:rPr>
        <w:t xml:space="preserve">LinkedIn Report Q2 2026 (März–Juni 2026)     </w:t>
      </w:r>
      <w:r>
        <w:rPr>
          <w:rFonts w:ascii="Calibri" w:hAnsi="Calibri"/>
          <w:b/>
          <w:color w:val="055A8D"/>
          <w:sz w:val="20"/>
        </w:rPr>
        <w:t xml:space="preserve">Status:  </w:t>
      </w:r>
      <w:r>
        <w:rPr>
          <w:rFonts w:ascii="Calibri" w:hAnsi="Calibri"/>
          <w:sz w:val="20"/>
        </w:rPr>
        <w:t xml:space="preserve">Entwurf     </w:t>
      </w:r>
    </w:p>
    <w:p>
      <w:r>
        <w:br w:type="page"/>
      </w:r>
    </w:p>
    <w:p>
      <w:pPr>
        <w:spacing w:before="400" w:after="80"/>
      </w:pPr>
      <w:r>
        <w:rPr>
          <w:rFonts w:ascii="Calibri" w:hAnsi="Calibri"/>
          <w:b/>
          <w:color w:val="055A8D"/>
          <w:sz w:val="34"/>
        </w:rPr>
        <w:t>Die Philosophie hinter dieser Strategie</w:t>
      </w:r>
    </w:p>
    <w:p>
      <w:pPr>
        <w:pBdr>
          <w:bottom w:val="single" w:sz="6" w:space="1" w:color="055a8d"/>
        </w:pBdr>
        <w:spacing w:before="80" w:after="120"/>
      </w:pPr>
    </w:p>
    <w:tbl>
      <w:tblPr>
        <w:tblStyle w:val="TableGrid"/>
        <w:tblW w:type="auto" w:w="0"/>
        <w:tblLook w:firstColumn="1" w:firstRow="1" w:lastColumn="0" w:lastRow="0" w:noHBand="0" w:noVBand="1" w:val="04A0"/>
      </w:tblPr>
      <w:tblGrid>
        <w:gridCol w:w="9066"/>
      </w:tblGrid>
      <w:tr>
        <w:tc>
          <w:tcPr>
            <w:tcW w:type="dxa" w:w="9066"/>
            <w:shd w:val="clear" w:color="auto" w:fill="033d62"/>
            <w:tcBorders>
              <w:top w:val="single" w:sz="8" w:space="0" w:color="E8A820"/>
              <w:left w:val="single" w:sz="8" w:space="0" w:color="E8A820"/>
              <w:bottom w:val="single" w:sz="8" w:space="0" w:color="E8A820"/>
              <w:right w:val="single" w:sz="8" w:space="0" w:color="E8A820"/>
            </w:tcBorders>
          </w:tcPr>
          <w:p>
            <w:pPr>
              <w:spacing w:before="200" w:after="200"/>
              <w:jc w:val="center"/>
            </w:pPr>
            <w:r>
              <w:rPr>
                <w:rFonts w:ascii="Calibri" w:hAnsi="Calibri"/>
                <w:b w:val="0"/>
                <w:i/>
                <w:color w:val="DDEEF8"/>
                <w:sz w:val="23"/>
              </w:rPr>
              <w:t>«Immobilienentscheidungen entstehen selten spontan. Niemand verkauft nächste Woche sein Haus. Niemand kauft morgen Bauland. Niemand sucht heute einen Investor. Aber wenn dieser Moment kommt — dann soll Belle Immo bereits bekannt, vertraut und die selbstverständliche erste Adresse sein.</w:t>
              <w:br/>
              <w:br/>
              <w:t>Deshalb bauen wir kein Marketing. Wir bauen Vertrauen vor dem Kauf.»</w:t>
            </w:r>
          </w:p>
        </w:tc>
      </w:tr>
    </w:tbl>
    <w:p>
      <w:pPr>
        <w:spacing w:after="120"/>
      </w:pPr>
    </w:p>
    <w:p>
      <w:pPr>
        <w:spacing w:before="40" w:after="120" w:line="290" w:lineRule="exact"/>
      </w:pPr>
      <w:r>
        <w:rPr>
          <w:rFonts w:ascii="Calibri" w:hAnsi="Calibri"/>
          <w:i w:val="0"/>
          <w:sz w:val="21"/>
        </w:rPr>
        <w:t>Das ist der eigentliche Unterschied zu klassischer Social-Media-Arbeit oder kurzfristigen Kampagnen: Wir erzeugen keine Aufmerksamkeit für den Moment. Wir verankern Belle Immo langfristig in den Köpfen der Menschen in der Region — sodass im entscheidenden Moment automatisch ein Name kommt: Belle Immo.</w:t>
      </w:r>
    </w:p>
    <w:p>
      <w:pPr>
        <w:spacing w:before="40" w:after="120" w:line="290" w:lineRule="exact"/>
      </w:pPr>
      <w:r>
        <w:rPr>
          <w:rFonts w:ascii="Calibri" w:hAnsi="Calibri"/>
          <w:i w:val="0"/>
          <w:sz w:val="21"/>
        </w:rPr>
        <w:t>Wer über Monate oder Jahre regelmässig wertvolle Inhalte von Belle Immo sieht, verbindet das Unternehmen im entscheidenden Moment automatisch mit Kompetenz und Vertrauen. Das ist die eigentliche Philosophie hinter der gesamten Strategie.</w:t>
      </w:r>
    </w:p>
    <w:p>
      <w:pPr>
        <w:spacing w:before="400" w:after="80"/>
      </w:pPr>
      <w:r>
        <w:rPr>
          <w:rFonts w:ascii="Calibri" w:hAnsi="Calibri"/>
          <w:b/>
          <w:color w:val="055A8D"/>
          <w:sz w:val="34"/>
        </w:rPr>
        <w:t>1. Ausgangslage</w:t>
      </w:r>
    </w:p>
    <w:p>
      <w:pPr>
        <w:pBdr>
          <w:bottom w:val="single" w:sz="6" w:space="1" w:color="055a8d"/>
        </w:pBdr>
        <w:spacing w:before="80" w:after="120"/>
      </w:pPr>
    </w:p>
    <w:p>
      <w:pPr>
        <w:spacing w:before="40" w:after="120" w:line="290" w:lineRule="exact"/>
      </w:pPr>
      <w:r>
        <w:rPr>
          <w:rFonts w:ascii="Calibri" w:hAnsi="Calibri"/>
          <w:i w:val="0"/>
          <w:sz w:val="21"/>
        </w:rPr>
        <w:t>Mournival GmbH begleitet Belle Immo AG seit Beginn beim Aufbau einer digitalen Marketing-Präsenz. Gemeinsam haben wir die LinkedIn-Unternehmensseite von Grund auf aufgebaut, einen regelmässigen Content-Rhythmus etabliert und mit Roger Brand das Gesicht der Firma auf Social Media positioniert. Erste Kampagnen wurden gefahren und liefern bereits konkrete Ergebnisse — darunter ein Interessent für die Investor-Kampagne (ab CHF 200'000.-), was zeigt, dass der Ansatz grundsätzlich funktioniert.</w:t>
      </w:r>
    </w:p>
    <w:p>
      <w:pPr>
        <w:spacing w:before="40" w:after="120" w:line="290" w:lineRule="exact"/>
      </w:pPr>
      <w:r>
        <w:rPr>
          <w:rFonts w:ascii="Calibri" w:hAnsi="Calibri"/>
          <w:i w:val="0"/>
          <w:sz w:val="21"/>
        </w:rPr>
        <w:t>Das Personal Branding von Roger Brand, das in den letzten Monaten pausiert war, läuft nun wieder an. Dieser Neustart ist der Auslöser für die vorliegende Strategie: Wir wollen nicht einfach dort weitermachen, wo wir aufgehört haben — wir wollen den Ansatz von «einfach posten» auf das nächste Level bringen und ein verzahntes Kommunikationssystem aufbauen.</w:t>
      </w:r>
    </w:p>
    <w:tbl>
      <w:tblPr>
        <w:tblStyle w:val="TableGrid"/>
        <w:tblW w:type="auto" w:w="0"/>
        <w:tblLook w:firstColumn="1" w:firstRow="1" w:lastColumn="0" w:lastRow="0" w:noHBand="0" w:noVBand="1" w:val="04A0"/>
      </w:tblPr>
      <w:tblGrid>
        <w:gridCol w:w="9066"/>
      </w:tblGrid>
      <w:tr>
        <w:tc>
          <w:tcPr>
            <w:tcW w:type="dxa" w:w="9066"/>
            <w:shd w:val="clear" w:color="auto" w:fill="EBF4FA"/>
            <w:tcBorders>
              <w:top w:val="single" w:sz="4" w:space="0" w:color="055a8d"/>
              <w:left w:val="single" w:sz="14" w:space="0" w:color="055a8d"/>
              <w:bottom w:val="single" w:sz="4" w:space="0" w:color="055a8d"/>
              <w:right w:val="none" w:sz="0" w:space="0" w:color="auto"/>
            </w:tcBorders>
          </w:tcPr>
          <w:p>
            <w:pPr>
              <w:spacing w:before="100" w:after="100"/>
            </w:pPr>
            <w:r>
              <w:rPr>
                <w:rFonts w:ascii="Calibri" w:hAnsi="Calibri"/>
                <w:i/>
                <w:color w:val="055A8D"/>
                <w:sz w:val="20"/>
              </w:rPr>
              <w:t>Q2-Befund: Content-Qualität stimmt (ER 31–45%), aber Wachstum stagniert (+7 Follower/90 Tage). 3 von 4 strategischen Zielen kaum bespielt — Land finden: 0 Posts, Investoren: 1 Post. Community Management praktisch inexistent: 6 Kommentare in 90 Tagen.</w:t>
            </w:r>
          </w:p>
        </w:tc>
      </w:tr>
    </w:tbl>
    <w:p>
      <w:pPr>
        <w:spacing w:after="80"/>
      </w:pPr>
    </w:p>
    <w:p>
      <w:pPr>
        <w:spacing w:before="400" w:after="80"/>
      </w:pPr>
      <w:r>
        <w:rPr>
          <w:rFonts w:ascii="Calibri" w:hAnsi="Calibri"/>
          <w:b/>
          <w:color w:val="055A8D"/>
          <w:sz w:val="34"/>
        </w:rPr>
        <w:t>2. Das Ziel</w:t>
      </w:r>
    </w:p>
    <w:p>
      <w:pPr>
        <w:pBdr>
          <w:bottom w:val="single" w:sz="6" w:space="1" w:color="055a8d"/>
        </w:pBdr>
        <w:spacing w:before="80" w:after="120"/>
      </w:pPr>
    </w:p>
    <w:p>
      <w:pPr>
        <w:spacing w:before="40" w:after="120" w:line="290" w:lineRule="exact"/>
      </w:pPr>
      <w:r>
        <w:rPr>
          <w:rFonts w:ascii="Calibri" w:hAnsi="Calibri"/>
          <w:i w:val="0"/>
          <w:sz w:val="21"/>
        </w:rPr>
        <w:t>Das übergeordnete Ziel: Belle Immo wird die erste Adresse für Immobilienfragen in der Region — im Umkreis von 10–20 km, für alle relevanten Entscheidungen: Landkauf, Immobilienverkauf, Immobilienentwicklung, Nachfolgeregelungen, Erbschaften und Potenzialentwicklungen. Wenn jemand in der Region vor einer Immobilienentscheidung steht, kommt ein Name: Belle Immo.</w:t>
      </w:r>
    </w:p>
    <w:p>
      <w:pPr>
        <w:spacing w:before="180" w:after="40"/>
      </w:pPr>
      <w:r>
        <w:rPr>
          <w:rFonts w:ascii="Calibri" w:hAnsi="Calibri"/>
          <w:b/>
          <w:color w:val="222222"/>
          <w:sz w:val="21"/>
        </w:rPr>
        <w:t>Messbare Ziele für die nächsten 6–12 Monate:</w:t>
      </w:r>
    </w:p>
    <w:p>
      <w:pPr>
        <w:pStyle w:val="ListBullet"/>
        <w:spacing w:before="20" w:after="80"/>
        <w:ind w:left="283"/>
      </w:pPr>
      <w:r>
        <w:rPr>
          <w:rFonts w:ascii="Calibri" w:hAnsi="Calibri"/>
          <w:sz w:val="21"/>
        </w:rPr>
        <w:t>Personal Branding reaktivieren: Roger Brand schrittweise als Fachstimme aufbauen — mit System statt spontanen Posts.</w:t>
      </w:r>
    </w:p>
    <w:p>
      <w:pPr>
        <w:pStyle w:val="ListBullet"/>
        <w:spacing w:before="20" w:after="80"/>
        <w:ind w:left="283"/>
      </w:pPr>
      <w:r>
        <w:rPr>
          <w:rFonts w:ascii="Calibri" w:hAnsi="Calibri"/>
          <w:sz w:val="21"/>
        </w:rPr>
        <w:t>Community Management starten: Roger beginnt mit 1 qualifiziertem Kommentar pro Woche, mit dem Ziel, den Rhythmus schrittweise auf mehrere Interaktionen pro Woche auszubauen. Alex übernimmt das aktive Einladen von Rogers Kontakten zur Belle Immo Seite.</w:t>
      </w:r>
    </w:p>
    <w:p>
      <w:pPr>
        <w:pStyle w:val="ListBullet"/>
        <w:spacing w:before="20" w:after="80"/>
        <w:ind w:left="283"/>
      </w:pPr>
      <w:r>
        <w:rPr>
          <w:rFonts w:ascii="Calibri" w:hAnsi="Calibri"/>
          <w:sz w:val="21"/>
        </w:rPr>
        <w:t>Content-Balance korrigieren: ~6 Posts/Monat nach definiertem Mix — alle 4 strategischen Ziele bespielt, nicht nur «Vertrauen».</w:t>
      </w:r>
    </w:p>
    <w:p>
      <w:pPr>
        <w:pStyle w:val="ListBullet"/>
        <w:spacing w:before="20" w:after="80"/>
        <w:ind w:left="283"/>
      </w:pPr>
      <w:r>
        <w:rPr>
          <w:rFonts w:ascii="Calibri" w:hAnsi="Calibri"/>
          <w:sz w:val="21"/>
        </w:rPr>
        <w:t>Newsletter-Community aufbauen: Eigener Kanal, der Belle Immo unabhängig von Algorithmen macht.</w:t>
      </w:r>
    </w:p>
    <w:p>
      <w:pPr>
        <w:pStyle w:val="ListBullet"/>
        <w:spacing w:before="20" w:after="80"/>
        <w:ind w:left="283"/>
      </w:pPr>
      <w:r>
        <w:rPr>
          <w:rFonts w:ascii="Calibri" w:hAnsi="Calibri"/>
          <w:sz w:val="21"/>
        </w:rPr>
        <w:t>Mindestens eine Kampagne dauerhaft aktiv: auf langfristige Bindung optimiert.</w:t>
      </w:r>
    </w:p>
    <w:p>
      <w:pPr>
        <w:pStyle w:val="ListBullet"/>
        <w:spacing w:before="20" w:after="80"/>
        <w:ind w:left="283"/>
      </w:pPr>
      <w:r>
        <w:rPr>
          <w:rFonts w:ascii="Calibri" w:hAnsi="Calibri"/>
          <w:sz w:val="21"/>
        </w:rPr>
        <w:t>Fachstimme in regionalen Medien: regelmässige Fachartikel in Glattaler, IMMOBILIEN Business, NZZ Residence.</w:t>
      </w:r>
    </w:p>
    <w:p>
      <w:pPr>
        <w:spacing w:before="400" w:after="80"/>
      </w:pPr>
      <w:r>
        <w:rPr>
          <w:rFonts w:ascii="Calibri" w:hAnsi="Calibri"/>
          <w:b/>
          <w:color w:val="055A8D"/>
          <w:sz w:val="34"/>
        </w:rPr>
        <w:t>3. Die Zielgruppe</w:t>
      </w:r>
    </w:p>
    <w:p>
      <w:pPr>
        <w:pBdr>
          <w:bottom w:val="single" w:sz="6" w:space="1" w:color="055a8d"/>
        </w:pBdr>
        <w:spacing w:before="80" w:after="120"/>
      </w:pPr>
    </w:p>
    <w:p>
      <w:pPr>
        <w:spacing w:before="280" w:after="60"/>
      </w:pPr>
      <w:r>
        <w:rPr>
          <w:rFonts w:ascii="Calibri" w:hAnsi="Calibri"/>
          <w:b/>
          <w:color w:val="055A8D"/>
          <w:sz w:val="25"/>
        </w:rPr>
        <w:t>Investoren / Kapitalgeber</w:t>
      </w:r>
    </w:p>
    <w:p>
      <w:pPr>
        <w:spacing w:before="40" w:after="120" w:line="290" w:lineRule="exact"/>
      </w:pPr>
      <w:r>
        <w:rPr>
          <w:rFonts w:ascii="Calibri" w:hAnsi="Calibri"/>
          <w:i w:val="0"/>
          <w:sz w:val="21"/>
        </w:rPr>
        <w:t>Nicht primär institutionelle Investoren, sondern Unternehmer mit Privatvermögen — die 68 Inhaber im Follower-Kreis sind grösstenteils KMU-Eigner und damit das realistischere Potenzial. Ergänzend Family Offices und vermögende Privatpersonen aus dem Grossraum Zürich (80% der Audience). Motivation: solide Rendite, regionaler Bezug, persönliches Vertrauen. Ansprache: Sie, formell, mit Zahlen und Substanz.</w:t>
      </w:r>
    </w:p>
    <w:p>
      <w:pPr>
        <w:spacing w:before="280" w:after="60"/>
      </w:pPr>
      <w:r>
        <w:rPr>
          <w:rFonts w:ascii="Calibri" w:hAnsi="Calibri"/>
          <w:b/>
          <w:color w:val="055A8D"/>
          <w:sz w:val="25"/>
        </w:rPr>
        <w:t>Landeigentümer / Erbengemeinschaften / Landwirte</w:t>
      </w:r>
    </w:p>
    <w:p>
      <w:pPr>
        <w:spacing w:before="40" w:after="120" w:line="290" w:lineRule="exact"/>
      </w:pPr>
      <w:r>
        <w:rPr>
          <w:rFonts w:ascii="Calibri" w:hAnsi="Calibri"/>
          <w:i w:val="0"/>
          <w:sz w:val="21"/>
        </w:rPr>
        <w:t>Bislang komplett unbespielt auf Social Media. Entscheidet selten spontan — Belle Immo muss als diskrete, regional verankerte Adresse präsent sein, wenn der Moment kommt (Nachfolge, Erbschaft, Verkaufsentscheid). Besonders wichtig: offline und über Multiplikatoren erreichbar.</w:t>
      </w:r>
    </w:p>
    <w:p>
      <w:pPr>
        <w:spacing w:before="280" w:after="60"/>
      </w:pPr>
      <w:r>
        <w:rPr>
          <w:rFonts w:ascii="Calibri" w:hAnsi="Calibri"/>
          <w:b/>
          <w:color w:val="055A8D"/>
          <w:sz w:val="25"/>
        </w:rPr>
        <w:t>Multiplikatoren — Treuhänder und Notare</w:t>
      </w:r>
    </w:p>
    <w:p>
      <w:pPr>
        <w:spacing w:before="40" w:after="120" w:line="290" w:lineRule="exact"/>
      </w:pPr>
      <w:r>
        <w:rPr>
          <w:rFonts w:ascii="Calibri" w:hAnsi="Calibri"/>
          <w:i w:val="0"/>
          <w:sz w:val="21"/>
        </w:rPr>
        <w:t>Stehen oft am Anfang einer Immobilienentscheidung und empfehlen weiter. Wenn Roger als regionale Adresse sichtbar ist, kommt Belle Immo über diese Brücke ins Spiel.</w:t>
      </w:r>
    </w:p>
    <w:p>
      <w:pPr>
        <w:spacing w:before="280" w:after="60"/>
      </w:pPr>
      <w:r>
        <w:rPr>
          <w:rFonts w:ascii="Calibri" w:hAnsi="Calibri"/>
          <w:b/>
          <w:color w:val="055A8D"/>
          <w:sz w:val="25"/>
        </w:rPr>
        <w:t>Käufer von Wohneigentum</w:t>
      </w:r>
    </w:p>
    <w:p>
      <w:pPr>
        <w:spacing w:before="40" w:after="120" w:line="290" w:lineRule="exact"/>
      </w:pPr>
      <w:r>
        <w:rPr>
          <w:rFonts w:ascii="Calibri" w:hAnsi="Calibri"/>
          <w:i w:val="0"/>
          <w:sz w:val="21"/>
        </w:rPr>
        <w:t>Zielgruppe für konkrete Projekte (Velara, Affinity, Wangenpark). Motivation: emotional («Wohntraum») plus rationale Fakten. Ansprache: nahbar, Du-Form.</w:t>
      </w:r>
    </w:p>
    <w:p>
      <w:pPr>
        <w:spacing w:before="400" w:after="80"/>
      </w:pPr>
      <w:r>
        <w:rPr>
          <w:rFonts w:ascii="Calibri" w:hAnsi="Calibri"/>
          <w:b/>
          <w:color w:val="055A8D"/>
          <w:sz w:val="34"/>
        </w:rPr>
        <w:t>4. Das Ökosystem — nicht fünf Massnahmen, ein System</w:t>
      </w:r>
    </w:p>
    <w:p>
      <w:pPr>
        <w:pBdr>
          <w:bottom w:val="single" w:sz="6" w:space="1" w:color="055a8d"/>
        </w:pBdr>
        <w:spacing w:before="80" w:after="120"/>
      </w:pPr>
    </w:p>
    <w:p>
      <w:pPr>
        <w:spacing w:before="40" w:after="120" w:line="290" w:lineRule="exact"/>
      </w:pPr>
      <w:r>
        <w:rPr>
          <w:rFonts w:ascii="Calibri" w:hAnsi="Calibri"/>
          <w:i w:val="0"/>
          <w:sz w:val="21"/>
        </w:rPr>
        <w:t>Der strategische Kern lautet: Wir bauen kein Content-Programm, sondern ein verzahntes Kommunikationssystem. Jeder Kanal erfüllt eine spezifische Aufgabe — und alle Kanäle verstärken sich gegenseitig. Das ist der eigentliche Mehrwert gegenüber klassischer Social-Media-Arbeit, die Kanäle als separate Massnahmen behandelt.</w:t>
      </w:r>
    </w:p>
    <w:p>
      <w:pPr>
        <w:spacing w:before="40" w:after="120" w:line="290" w:lineRule="exact"/>
      </w:pPr>
      <w:r>
        <w:rPr>
          <w:rFonts w:ascii="Calibri" w:hAnsi="Calibri"/>
          <w:i/>
          <w:color w:val="555555"/>
          <w:sz w:val="21"/>
        </w:rPr>
        <w:t>Wie die Kanäle ineinandergreifen:</w:t>
      </w:r>
    </w:p>
    <w:tbl>
      <w:tblPr>
        <w:tblStyle w:val="TableGrid"/>
        <w:tblW w:type="auto" w:w="0"/>
        <w:tblLook w:firstColumn="1" w:firstRow="1" w:lastColumn="0" w:lastRow="0" w:noHBand="0" w:noVBand="1" w:val="04A0"/>
      </w:tblPr>
      <w:tblGrid>
        <w:gridCol w:w="1813"/>
        <w:gridCol w:w="1813"/>
        <w:gridCol w:w="1813"/>
        <w:gridCol w:w="1813"/>
        <w:gridCol w:w="1813"/>
      </w:tblGrid>
      <w:tr>
        <w:tc>
          <w:tcPr>
            <w:tcW w:type="dxa" w:w="1814"/>
            <w:shd w:val="clear" w:color="auto" w:fill="EBF4FA"/>
          </w:tcPr>
          <w:p>
            <w:pPr>
              <w:spacing w:before="100" w:after="100"/>
              <w:jc w:val="center"/>
            </w:pPr>
            <w:r>
              <w:rPr>
                <w:rFonts w:ascii="Calibri" w:hAnsi="Calibri"/>
                <w:b/>
                <w:color w:val="055A8D"/>
                <w:sz w:val="19"/>
              </w:rPr>
              <w:t>Print</w:t>
              <w:br/>
              <w:t>(Fachartikel)</w:t>
            </w:r>
          </w:p>
        </w:tc>
        <w:tc>
          <w:tcPr>
            <w:tcW w:type="dxa" w:w="1814"/>
            <w:shd w:val="clear" w:color="auto" w:fill="F5F5F5"/>
          </w:tcPr>
          <w:p>
            <w:pPr>
              <w:spacing w:before="100" w:after="100"/>
              <w:jc w:val="center"/>
            </w:pPr>
            <w:r>
              <w:rPr>
                <w:rFonts w:ascii="Calibri" w:hAnsi="Calibri"/>
                <w:b/>
                <w:color w:val="055A8D"/>
                <w:sz w:val="28"/>
              </w:rPr>
              <w:t>→</w:t>
            </w:r>
          </w:p>
        </w:tc>
        <w:tc>
          <w:tcPr>
            <w:tcW w:type="dxa" w:w="1814"/>
            <w:shd w:val="clear" w:color="auto" w:fill="EBF4FA"/>
          </w:tcPr>
          <w:p>
            <w:pPr>
              <w:spacing w:before="100" w:after="100"/>
              <w:jc w:val="center"/>
            </w:pPr>
            <w:r>
              <w:rPr>
                <w:rFonts w:ascii="Calibri" w:hAnsi="Calibri"/>
                <w:b/>
                <w:color w:val="055A8D"/>
                <w:sz w:val="19"/>
              </w:rPr>
              <w:t>LinkedIn</w:t>
              <w:br/>
              <w:t>(Expertise)</w:t>
            </w:r>
          </w:p>
        </w:tc>
        <w:tc>
          <w:tcPr>
            <w:tcW w:type="dxa" w:w="1814"/>
            <w:shd w:val="clear" w:color="auto" w:fill="F5F5F5"/>
          </w:tcPr>
          <w:p>
            <w:pPr>
              <w:spacing w:before="100" w:after="100"/>
              <w:jc w:val="center"/>
            </w:pPr>
            <w:r>
              <w:rPr>
                <w:rFonts w:ascii="Calibri" w:hAnsi="Calibri"/>
                <w:b/>
                <w:color w:val="055A8D"/>
                <w:sz w:val="28"/>
              </w:rPr>
              <w:t>→</w:t>
            </w:r>
          </w:p>
        </w:tc>
        <w:tc>
          <w:tcPr>
            <w:tcW w:type="dxa" w:w="1814"/>
            <w:shd w:val="clear" w:color="auto" w:fill="EBF4FA"/>
          </w:tcPr>
          <w:p>
            <w:pPr>
              <w:spacing w:before="100" w:after="100"/>
              <w:jc w:val="center"/>
            </w:pPr>
            <w:r>
              <w:rPr>
                <w:rFonts w:ascii="Calibri" w:hAnsi="Calibri"/>
                <w:b/>
                <w:color w:val="055A8D"/>
                <w:sz w:val="19"/>
              </w:rPr>
              <w:t>Newsletter</w:t>
              <w:br/>
              <w:t>(Bindung)</w:t>
            </w:r>
          </w:p>
        </w:tc>
      </w:tr>
      <w:tr>
        <w:tc>
          <w:tcPr>
            <w:tcW w:type="dxa" w:w="1814"/>
            <w:shd w:val="clear" w:color="auto" w:fill="FFFFFF"/>
          </w:tcPr>
          <w:p>
            <w:pPr>
              <w:spacing w:before="100" w:after="100"/>
              <w:jc w:val="center"/>
            </w:pPr>
            <w:r>
              <w:rPr>
                <w:rFonts w:ascii="Calibri" w:hAnsi="Calibri"/>
                <w:sz w:val="12"/>
              </w:rPr>
            </w:r>
          </w:p>
        </w:tc>
        <w:tc>
          <w:tcPr>
            <w:tcW w:type="dxa" w:w="1814"/>
            <w:shd w:val="clear" w:color="auto" w:fill="FFFFFF"/>
          </w:tcPr>
          <w:p>
            <w:pPr>
              <w:spacing w:before="100" w:after="100"/>
              <w:jc w:val="center"/>
            </w:pPr>
            <w:r>
              <w:rPr>
                <w:rFonts w:ascii="Calibri" w:hAnsi="Calibri"/>
                <w:sz w:val="12"/>
              </w:rPr>
              <w:t xml:space="preserve">  </w:t>
            </w:r>
          </w:p>
        </w:tc>
        <w:tc>
          <w:tcPr>
            <w:tcW w:type="dxa" w:w="1814"/>
            <w:shd w:val="clear" w:color="auto" w:fill="FFFFFF"/>
          </w:tcPr>
          <w:p>
            <w:pPr>
              <w:spacing w:before="100" w:after="100"/>
              <w:jc w:val="center"/>
            </w:pPr>
            <w:r>
              <w:rPr>
                <w:rFonts w:ascii="Calibri" w:hAnsi="Calibri"/>
                <w:sz w:val="12"/>
              </w:rPr>
            </w:r>
          </w:p>
        </w:tc>
        <w:tc>
          <w:tcPr>
            <w:tcW w:type="dxa" w:w="1814"/>
            <w:shd w:val="clear" w:color="auto" w:fill="FFFFFF"/>
          </w:tcPr>
          <w:p>
            <w:pPr>
              <w:spacing w:before="100" w:after="100"/>
              <w:jc w:val="center"/>
            </w:pPr>
            <w:r>
              <w:rPr>
                <w:rFonts w:ascii="Calibri" w:hAnsi="Calibri"/>
                <w:sz w:val="12"/>
              </w:rPr>
              <w:t xml:space="preserve">  </w:t>
            </w:r>
          </w:p>
        </w:tc>
        <w:tc>
          <w:tcPr>
            <w:tcW w:type="dxa" w:w="1814"/>
            <w:shd w:val="clear" w:color="auto" w:fill="FFFFFF"/>
          </w:tcPr>
          <w:p>
            <w:pPr>
              <w:spacing w:before="100" w:after="100"/>
              <w:jc w:val="center"/>
            </w:pPr>
            <w:r>
              <w:rPr>
                <w:rFonts w:ascii="Calibri" w:hAnsi="Calibri"/>
                <w:sz w:val="12"/>
              </w:rPr>
            </w:r>
          </w:p>
        </w:tc>
      </w:tr>
      <w:tr>
        <w:tc>
          <w:tcPr>
            <w:tcW w:type="dxa" w:w="1814"/>
            <w:shd w:val="clear" w:color="auto" w:fill="EBF4FA"/>
          </w:tcPr>
          <w:p>
            <w:pPr>
              <w:spacing w:before="100" w:after="100"/>
              <w:jc w:val="center"/>
            </w:pPr>
            <w:r>
              <w:rPr>
                <w:rFonts w:ascii="Calibri" w:hAnsi="Calibri"/>
                <w:b/>
                <w:color w:val="055A8D"/>
                <w:sz w:val="19"/>
              </w:rPr>
              <w:t>Instagram</w:t>
              <w:br/>
              <w:t>(Schaufenster)</w:t>
            </w:r>
          </w:p>
        </w:tc>
        <w:tc>
          <w:tcPr>
            <w:tcW w:type="dxa" w:w="1814"/>
            <w:shd w:val="clear" w:color="auto" w:fill="F5F5F5"/>
          </w:tcPr>
          <w:p>
            <w:pPr>
              <w:spacing w:before="100" w:after="100"/>
              <w:jc w:val="center"/>
            </w:pPr>
            <w:r>
              <w:rPr>
                <w:rFonts w:ascii="Calibri" w:hAnsi="Calibri"/>
                <w:b/>
                <w:color w:val="055A8D"/>
                <w:sz w:val="28"/>
              </w:rPr>
              <w:t>→</w:t>
            </w:r>
          </w:p>
        </w:tc>
        <w:tc>
          <w:tcPr>
            <w:tcW w:type="dxa" w:w="1814"/>
            <w:shd w:val="clear" w:color="auto" w:fill="EBF4FA"/>
          </w:tcPr>
          <w:p>
            <w:pPr>
              <w:spacing w:before="100" w:after="100"/>
              <w:jc w:val="center"/>
            </w:pPr>
            <w:r>
              <w:rPr>
                <w:rFonts w:ascii="Calibri" w:hAnsi="Calibri"/>
                <w:b/>
                <w:color w:val="055A8D"/>
                <w:sz w:val="19"/>
              </w:rPr>
              <w:t>Kampagnen</w:t>
              <w:br/>
              <w:t>(Funnel)</w:t>
            </w:r>
          </w:p>
        </w:tc>
        <w:tc>
          <w:tcPr>
            <w:tcW w:type="dxa" w:w="1814"/>
            <w:shd w:val="clear" w:color="auto" w:fill="F5F5F5"/>
          </w:tcPr>
          <w:p>
            <w:pPr>
              <w:spacing w:before="100" w:after="100"/>
              <w:jc w:val="center"/>
            </w:pPr>
            <w:r>
              <w:rPr>
                <w:rFonts w:ascii="Calibri" w:hAnsi="Calibri"/>
                <w:b/>
                <w:color w:val="055A8D"/>
                <w:sz w:val="28"/>
              </w:rPr>
              <w:t>→</w:t>
            </w:r>
          </w:p>
        </w:tc>
        <w:tc>
          <w:tcPr>
            <w:tcW w:type="dxa" w:w="1814"/>
            <w:shd w:val="clear" w:color="auto" w:fill="EBF4FA"/>
          </w:tcPr>
          <w:p>
            <w:pPr>
              <w:spacing w:before="100" w:after="100"/>
              <w:jc w:val="center"/>
            </w:pPr>
            <w:r>
              <w:rPr>
                <w:rFonts w:ascii="Calibri" w:hAnsi="Calibri"/>
                <w:b/>
                <w:color w:val="055A8D"/>
                <w:sz w:val="19"/>
              </w:rPr>
              <w:t>Website</w:t>
              <w:br/>
              <w:t>(Konversion)</w:t>
            </w:r>
          </w:p>
        </w:tc>
      </w:tr>
    </w:tbl>
    <w:p>
      <w:pPr>
        <w:spacing w:after="80"/>
      </w:pPr>
    </w:p>
    <w:p>
      <w:pPr>
        <w:spacing w:before="40" w:after="120" w:line="290" w:lineRule="exact"/>
      </w:pPr>
      <w:r>
        <w:rPr>
          <w:rFonts w:ascii="Calibri" w:hAnsi="Calibri"/>
          <w:i w:val="0"/>
          <w:sz w:val="21"/>
        </w:rPr>
        <w:t>Konkret: Ein Fachartikel im Glattaler wird als LinkedIn-Post aufgegriffen, fliesst als Newsletter-Inhalt weiter und stärkt so Roger Brand als Fachstimme über drei Kanäle gleichzeitig — mit einem einzigen Stück Content. Instagram zeigt parallel die realisierten Projekte und unterstützt die emotionale Vertrauensbildung. Kampagnen füllen den Funnel mit neuen Kontakten, die über den Newsletter langfristig gebunden werden.</w:t>
      </w:r>
    </w:p>
    <w:p>
      <w:pPr>
        <w:spacing w:before="180" w:after="40"/>
      </w:pPr>
      <w:r>
        <w:rPr>
          <w:rFonts w:ascii="Calibri" w:hAnsi="Calibri"/>
          <w:b/>
          <w:color w:val="222222"/>
          <w:sz w:val="21"/>
        </w:rPr>
        <w:t>Drei tragende Prinzipien:</w:t>
      </w:r>
    </w:p>
    <w:p>
      <w:pPr>
        <w:pStyle w:val="ListBullet"/>
        <w:spacing w:before="20" w:after="80"/>
        <w:ind w:left="283"/>
      </w:pPr>
      <w:r>
        <w:rPr>
          <w:rFonts w:ascii="Calibri" w:hAnsi="Calibri"/>
          <w:b/>
          <w:color w:val="055A8D"/>
          <w:sz w:val="21"/>
        </w:rPr>
        <w:t xml:space="preserve">Sichtbarkeit durch Interaktion, nicht nur durch Posting. </w:t>
      </w:r>
      <w:r>
        <w:rPr>
          <w:rFonts w:ascii="Calibri" w:hAnsi="Calibri"/>
          <w:sz w:val="21"/>
        </w:rPr>
        <w:t>Bei 394 Followern ist Reichweite über eigene Posts gedeckelt. Der grösste Hebel ist die aktive Teilnahme an Gesprächen im Netzwerk.</w:t>
      </w:r>
    </w:p>
    <w:p>
      <w:pPr>
        <w:pStyle w:val="ListBullet"/>
        <w:spacing w:before="20" w:after="80"/>
        <w:ind w:left="283"/>
      </w:pPr>
      <w:r>
        <w:rPr>
          <w:rFonts w:ascii="Calibri" w:hAnsi="Calibri"/>
          <w:b/>
          <w:color w:val="055A8D"/>
          <w:sz w:val="21"/>
        </w:rPr>
        <w:t xml:space="preserve">Jeder Kanal hat eine klar definierte Aufgabe im System. </w:t>
      </w:r>
      <w:r>
        <w:rPr>
          <w:rFonts w:ascii="Calibri" w:hAnsi="Calibri"/>
          <w:sz w:val="21"/>
        </w:rPr>
        <w:t>LinkedIn = Expertenpositionierung &amp; Personal Branding. Instagram = digitales Schaufenster. Newsletter = Owned Asset &amp; Bindeglied. Print = offline Verankerung. Kampagnen = konstanter Funnel-Eingang.</w:t>
      </w:r>
    </w:p>
    <w:p>
      <w:pPr>
        <w:pStyle w:val="ListBullet"/>
        <w:spacing w:before="20" w:after="80"/>
        <w:ind w:left="283"/>
      </w:pPr>
      <w:r>
        <w:rPr>
          <w:rFonts w:ascii="Calibri" w:hAnsi="Calibri"/>
          <w:b/>
          <w:color w:val="055A8D"/>
          <w:sz w:val="21"/>
        </w:rPr>
        <w:t xml:space="preserve">Immobilien-Marketing ist Beziehungsaufbau, kein Auto-Verkauf. </w:t>
      </w:r>
      <w:r>
        <w:rPr>
          <w:rFonts w:ascii="Calibri" w:hAnsi="Calibri"/>
          <w:sz w:val="21"/>
        </w:rPr>
        <w:t>Kein Modell mit kurzen Conversion-Zyklen. Der erste Investor-Lead aus der laufenden Kampagne bestätigt: das Modell funktioniert — es braucht Zeit und Konsequenz.</w:t>
      </w:r>
    </w:p>
    <w:p>
      <w:pPr>
        <w:spacing w:before="40" w:after="120" w:line="290" w:lineRule="exact"/>
      </w:pPr>
      <w:r>
        <w:rPr>
          <w:rFonts w:ascii="Calibri" w:hAnsi="Calibri"/>
          <w:i w:val="0"/>
          <w:sz w:val="21"/>
        </w:rPr>
        <w:t>Mournival entwickelt und orchestriert dieses System. Pam bleibt die zentrale Ansprechpartnerin auf Kundenseite und stellt sicher, dass alle Aktivitäten eng mit der Unternehmensstrategie abgestimmt bleiben. Mournival erweitert diese Rolle durch strategische Planung, operative Umsetzung und kontinuierliche Optimierung. Roger bleibt das Gesicht.</w:t>
      </w:r>
    </w:p>
    <w:p>
      <w:pPr>
        <w:spacing w:before="400" w:after="80"/>
      </w:pPr>
      <w:r>
        <w:rPr>
          <w:rFonts w:ascii="Calibri" w:hAnsi="Calibri"/>
          <w:b/>
          <w:color w:val="055A8D"/>
          <w:sz w:val="34"/>
        </w:rPr>
        <w:t>5. Der Funnel</w:t>
      </w:r>
    </w:p>
    <w:p>
      <w:pPr>
        <w:pBdr>
          <w:bottom w:val="single" w:sz="6" w:space="1" w:color="055a8d"/>
        </w:pBdr>
        <w:spacing w:before="80" w:after="120"/>
      </w:pPr>
    </w:p>
    <w:p>
      <w:pPr>
        <w:spacing w:before="40" w:after="120" w:line="290" w:lineRule="exact"/>
      </w:pPr>
      <w:r>
        <w:rPr>
          <w:rFonts w:ascii="Calibri" w:hAnsi="Calibri"/>
          <w:i w:val="0"/>
          <w:sz w:val="21"/>
        </w:rPr>
        <w:t>Wir führen die Zielgruppen über vier Stufen — in einem langen, beziehungsorientierten Funnel, nicht in einem schnellen Sales-Prozess:</w:t>
      </w:r>
    </w:p>
    <w:p>
      <w:pPr>
        <w:spacing w:before="280" w:after="60"/>
      </w:pPr>
      <w:r>
        <w:rPr>
          <w:rFonts w:ascii="Calibri" w:hAnsi="Calibri"/>
          <w:b/>
          <w:color w:val="055A8D"/>
          <w:sz w:val="25"/>
        </w:rPr>
        <w:t>Awareness — gesehen werden</w:t>
      </w:r>
    </w:p>
    <w:p>
      <w:pPr>
        <w:spacing w:before="40" w:after="120" w:line="290" w:lineRule="exact"/>
      </w:pPr>
      <w:r>
        <w:rPr>
          <w:rFonts w:ascii="Calibri" w:hAnsi="Calibri"/>
          <w:i w:val="0"/>
          <w:sz w:val="21"/>
        </w:rPr>
        <w:t>Roger und Belle Immo werden durch wöchentliches Community Management, reichweitenstarke Posts, gezielte Einladungen von Rogers Kontakten durch Alex sowie Kampagnen präsent. Instagram-Ästhetik und regionale Fachartikel zahlen ebenfalls hier ein.</w:t>
      </w:r>
    </w:p>
    <w:p>
      <w:pPr>
        <w:spacing w:before="280" w:after="60"/>
      </w:pPr>
      <w:r>
        <w:rPr>
          <w:rFonts w:ascii="Calibri" w:hAnsi="Calibri"/>
          <w:b/>
          <w:color w:val="055A8D"/>
          <w:sz w:val="25"/>
        </w:rPr>
        <w:t>Interesse — als Experte überzeugen</w:t>
      </w:r>
    </w:p>
    <w:p>
      <w:pPr>
        <w:spacing w:before="40" w:after="120" w:line="290" w:lineRule="exact"/>
      </w:pPr>
      <w:r>
        <w:rPr>
          <w:rFonts w:ascii="Calibri" w:hAnsi="Calibri"/>
          <w:i w:val="0"/>
          <w:sz w:val="21"/>
        </w:rPr>
        <w:t>Mehrwert-Content (Wohnpolitik, Marktwissen), konkrete Objekte mit Zahlen und Roger als nahbares Gesicht bauen Vertrauen und Kompetenz auf. Instagram beweist Qualität.</w:t>
      </w:r>
    </w:p>
    <w:p>
      <w:pPr>
        <w:spacing w:before="280" w:after="60"/>
      </w:pPr>
      <w:r>
        <w:rPr>
          <w:rFonts w:ascii="Calibri" w:hAnsi="Calibri"/>
          <w:b/>
          <w:color w:val="055A8D"/>
          <w:sz w:val="25"/>
        </w:rPr>
        <w:t>Bindung — in der Community bleiben</w:t>
      </w:r>
    </w:p>
    <w:p>
      <w:pPr>
        <w:spacing w:before="40" w:after="120" w:line="290" w:lineRule="exact"/>
      </w:pPr>
      <w:r>
        <w:rPr>
          <w:rFonts w:ascii="Calibri" w:hAnsi="Calibri"/>
          <w:i w:val="0"/>
          <w:sz w:val="21"/>
        </w:rPr>
        <w:t>Der Newsletter überbrückt die langen Entscheidungszyklen der Immobilienwelt. Wer noch nicht kaufen oder investieren will, abonniert und bleibt im Kontakt. Investor-Direktansprache mit CTA führt jene weiter, die bereit sind.</w:t>
      </w:r>
    </w:p>
    <w:p>
      <w:pPr>
        <w:spacing w:before="280" w:after="60"/>
      </w:pPr>
      <w:r>
        <w:rPr>
          <w:rFonts w:ascii="Calibri" w:hAnsi="Calibri"/>
          <w:b/>
          <w:color w:val="055A8D"/>
          <w:sz w:val="25"/>
        </w:rPr>
        <w:t>Empfehlung / Weiterleitung</w:t>
      </w:r>
    </w:p>
    <w:p>
      <w:pPr>
        <w:spacing w:before="40" w:after="120" w:line="290" w:lineRule="exact"/>
      </w:pPr>
      <w:r>
        <w:rPr>
          <w:rFonts w:ascii="Calibri" w:hAnsi="Calibri"/>
          <w:i w:val="0"/>
          <w:sz w:val="21"/>
        </w:rPr>
        <w:t>Treuhänder und Notare empfehlen Belle Immo weiter, weil Roger als regionale Adresse sichtbar und glaubwürdig ist. Dieser Kreislauf speist wieder die Awareness-Stufe.</w:t>
      </w:r>
    </w:p>
    <w:tbl>
      <w:tblPr>
        <w:tblStyle w:val="TableGrid"/>
        <w:tblW w:type="auto" w:w="0"/>
        <w:tblLook w:firstColumn="1" w:firstRow="1" w:lastColumn="0" w:lastRow="0" w:noHBand="0" w:noVBand="1" w:val="04A0"/>
      </w:tblPr>
      <w:tblGrid>
        <w:gridCol w:w="9066"/>
      </w:tblGrid>
      <w:tr>
        <w:tc>
          <w:tcPr>
            <w:tcW w:type="dxa" w:w="9066"/>
            <w:shd w:val="clear" w:color="auto" w:fill="EBF4FA"/>
            <w:tcBorders>
              <w:top w:val="single" w:sz="4" w:space="0" w:color="055a8d"/>
              <w:left w:val="single" w:sz="14" w:space="0" w:color="055a8d"/>
              <w:bottom w:val="single" w:sz="4" w:space="0" w:color="055a8d"/>
              <w:right w:val="none" w:sz="0" w:space="0" w:color="auto"/>
            </w:tcBorders>
          </w:tcPr>
          <w:p>
            <w:pPr>
              <w:spacing w:before="100" w:after="100"/>
            </w:pPr>
            <w:r>
              <w:rPr>
                <w:rFonts w:ascii="Calibri" w:hAnsi="Calibri"/>
                <w:i/>
                <w:color w:val="055A8D"/>
                <w:sz w:val="20"/>
              </w:rPr>
              <w:t>Niemand wird «gedrückt». Menschen folgen Belle Immo wegen spannender Projekte und wertvoller Einblicke — und wenn die Immobilienentscheidung ansteht, ist Belle Immo bereits Top-of-Mind.</w:t>
            </w:r>
          </w:p>
        </w:tc>
      </w:tr>
    </w:tbl>
    <w:p>
      <w:pPr>
        <w:spacing w:after="80"/>
      </w:pPr>
    </w:p>
    <w:p>
      <w:pPr>
        <w:spacing w:before="400" w:after="80"/>
      </w:pPr>
      <w:r>
        <w:rPr>
          <w:rFonts w:ascii="Calibri" w:hAnsi="Calibri"/>
          <w:b/>
          <w:color w:val="055A8D"/>
          <w:sz w:val="34"/>
        </w:rPr>
        <w:t>6. Die einzelnen Elemente / Kanäle / Ansätze</w:t>
      </w:r>
    </w:p>
    <w:p>
      <w:pPr>
        <w:pBdr>
          <w:bottom w:val="single" w:sz="6" w:space="1" w:color="055a8d"/>
        </w:pBdr>
        <w:spacing w:before="80" w:after="120"/>
      </w:pPr>
    </w:p>
    <w:p>
      <w:pPr>
        <w:spacing w:before="280" w:after="60"/>
      </w:pPr>
      <w:r>
        <w:rPr>
          <w:rFonts w:ascii="Calibri" w:hAnsi="Calibri"/>
          <w:b/>
          <w:color w:val="055A8D"/>
          <w:sz w:val="25"/>
        </w:rPr>
        <w:t>LinkedIn — Social Media Posting</w:t>
      </w:r>
    </w:p>
    <w:p>
      <w:pPr>
        <w:spacing w:before="40" w:after="120" w:line="290" w:lineRule="exact"/>
      </w:pPr>
      <w:r>
        <w:rPr>
          <w:rFonts w:ascii="Calibri" w:hAnsi="Calibri"/>
          <w:i/>
          <w:color w:val="555555"/>
          <w:sz w:val="19"/>
        </w:rPr>
        <w:t>Status: besteht, wird ausgebaut</w:t>
      </w:r>
    </w:p>
    <w:p>
      <w:pPr>
        <w:spacing w:before="40" w:after="120" w:line="290" w:lineRule="exact"/>
      </w:pPr>
      <w:r>
        <w:rPr>
          <w:rFonts w:ascii="Calibri" w:hAnsi="Calibri"/>
          <w:i w:val="0"/>
          <w:sz w:val="21"/>
        </w:rPr>
        <w:t>Neu: 2 Unternehmensbeiträge pro Woche nach definiertem Content-Mix (~6/Monat): 2× Persönlichkeit/Team mit Roger als Gesicht, 1–2× konkretes Objekt mit Zahlen, 1× Investor-Direktansprache mit CTA, 1× Mehrwert (Wohnpolitik/Markt), 1× Land-Akquise (neu einführen). Damit bespielen wir alle vier strategischen Ziele. Neutrale Partnership-Posts ohne eigene Haltung werden gestrichen (Ø 6% ER vs. Ø 28% ER bei substanziellem Content).</w:t>
      </w:r>
    </w:p>
    <w:p>
      <w:pPr>
        <w:spacing w:before="280" w:after="60"/>
      </w:pPr>
      <w:r>
        <w:rPr>
          <w:rFonts w:ascii="Calibri" w:hAnsi="Calibri"/>
          <w:b/>
          <w:color w:val="055A8D"/>
          <w:sz w:val="25"/>
        </w:rPr>
        <w:t>LinkedIn — Personal Branding Roger</w:t>
      </w:r>
    </w:p>
    <w:p>
      <w:pPr>
        <w:spacing w:before="40" w:after="120" w:line="290" w:lineRule="exact"/>
      </w:pPr>
      <w:r>
        <w:rPr>
          <w:rFonts w:ascii="Calibri" w:hAnsi="Calibri"/>
          <w:i/>
          <w:color w:val="555555"/>
          <w:sz w:val="19"/>
        </w:rPr>
        <w:t>Status: reaktiviert</w:t>
      </w:r>
    </w:p>
    <w:p>
      <w:pPr>
        <w:spacing w:before="40" w:after="120" w:line="290" w:lineRule="exact"/>
      </w:pPr>
      <w:r>
        <w:rPr>
          <w:rFonts w:ascii="Calibri" w:hAnsi="Calibri"/>
          <w:i w:val="0"/>
          <w:sz w:val="21"/>
        </w:rPr>
        <w:t>1–2 Personal-Branding-Posts/Woche von Roger, schrittweise aufgebaut. Roger ist nachweislich der stärkste Reichweiten-Treiber (Day-in-Life: 455 Impressions). Positionierung als regionale Fachstimme und nahbares Gesicht — die Brücke zu Multiplikatoren und Landeigentümern.</w:t>
      </w:r>
    </w:p>
    <w:p>
      <w:pPr>
        <w:spacing w:before="280" w:after="60"/>
      </w:pPr>
      <w:r>
        <w:rPr>
          <w:rFonts w:ascii="Calibri" w:hAnsi="Calibri"/>
          <w:b/>
          <w:color w:val="055A8D"/>
          <w:sz w:val="25"/>
        </w:rPr>
        <w:t>Community Management — der Gamechanger</w:t>
      </w:r>
    </w:p>
    <w:p>
      <w:pPr>
        <w:spacing w:before="40" w:after="120" w:line="290" w:lineRule="exact"/>
      </w:pPr>
      <w:r>
        <w:rPr>
          <w:rFonts w:ascii="Calibri" w:hAnsi="Calibri"/>
          <w:i/>
          <w:color w:val="555555"/>
          <w:sz w:val="19"/>
        </w:rPr>
        <w:t>Status: neu — aktiviert</w:t>
      </w:r>
    </w:p>
    <w:tbl>
      <w:tblPr>
        <w:tblStyle w:val="TableGrid"/>
        <w:tblW w:type="auto" w:w="0"/>
        <w:tblLook w:firstColumn="1" w:firstRow="1" w:lastColumn="0" w:lastRow="0" w:noHBand="0" w:noVBand="1" w:val="04A0"/>
      </w:tblPr>
      <w:tblGrid>
        <w:gridCol w:w="9066"/>
      </w:tblGrid>
      <w:tr>
        <w:tc>
          <w:tcPr>
            <w:tcW w:type="dxa" w:w="9066"/>
            <w:shd w:val="clear" w:color="auto" w:fill="FFF8E6"/>
            <w:tcBorders>
              <w:top w:val="single" w:sz="4" w:space="0" w:color="E8A820"/>
              <w:left w:val="single" w:sz="14" w:space="0" w:color="E8A820"/>
              <w:bottom w:val="single" w:sz="4" w:space="0" w:color="E8A820"/>
              <w:right w:val="single" w:sz="4" w:space="0" w:color="E8A820"/>
            </w:tcBorders>
          </w:tcPr>
          <w:p>
            <w:pPr>
              <w:spacing w:before="100" w:after="100"/>
            </w:pPr>
            <w:r>
              <w:rPr>
                <w:rFonts w:ascii="Calibri" w:hAnsi="Calibri"/>
                <w:b/>
                <w:color w:val="B07A00"/>
                <w:sz w:val="21"/>
              </w:rPr>
              <w:t xml:space="preserve">Kernaussage:  </w:t>
            </w:r>
            <w:r>
              <w:rPr>
                <w:rFonts w:ascii="Calibri" w:hAnsi="Calibri"/>
                <w:sz w:val="21"/>
              </w:rPr>
              <w:t>Community Management ist nicht ein Hebel unter vielen — es ist DER Hebel. Belle Immo nimmt aktiv an Gesprächen teil. Nicht Posting, nicht KI: sondern Präsenz im Netzwerk. Das ist der grösste ungenutzte Wachstumstreiber.</w:t>
            </w:r>
          </w:p>
        </w:tc>
      </w:tr>
    </w:tbl>
    <w:p>
      <w:pPr>
        <w:spacing w:after="80"/>
      </w:pPr>
    </w:p>
    <w:p>
      <w:pPr>
        <w:spacing w:before="40" w:after="120" w:line="290" w:lineRule="exact"/>
      </w:pPr>
      <w:r>
        <w:rPr>
          <w:rFonts w:ascii="Calibri" w:hAnsi="Calibri"/>
          <w:i w:val="0"/>
          <w:sz w:val="21"/>
        </w:rPr>
        <w:t>Roger kommentiert gezielt auf relevanten Beiträgen im Netzwerk — bei Inhabern und VPs aus dem Follower-Kreis, Bauträgern, Architekten und Wohnpolitik-Diskussionen. Substanziell, nicht oberflächlich. Start: 1 qualifizierter Kommentar pro Woche, mit dem Ziel, den Rhythmus schrittweise auf mehrere Interaktionen pro Woche auszubauen.</w:t>
      </w:r>
    </w:p>
    <w:p>
      <w:pPr>
        <w:spacing w:before="40" w:after="120" w:line="290" w:lineRule="exact"/>
      </w:pPr>
      <w:r>
        <w:rPr>
          <w:rFonts w:ascii="Calibri" w:hAnsi="Calibri"/>
          <w:i w:val="0"/>
          <w:sz w:val="21"/>
        </w:rPr>
        <w:t>Mournival entwickelt dafür einen Workflow, der es ermöglicht, mit minimalem Zeitaufwand konstant sichtbar zu bleiben. Wie das intern funktioniert, ist Mournivalsache — Roger sieht fertige Vorschläge und gibt sie mit einem Klick frei.</w:t>
      </w:r>
    </w:p>
    <w:p>
      <w:pPr>
        <w:spacing w:before="40" w:after="120" w:line="290" w:lineRule="exact"/>
      </w:pPr>
      <w:r>
        <w:rPr>
          <w:rFonts w:ascii="Calibri" w:hAnsi="Calibri"/>
          <w:i w:val="0"/>
          <w:sz w:val="21"/>
        </w:rPr>
        <w:t>Parallel dazu übernimmt Alex das aktive Einladen von Rogers LinkedIn-Kontakten zur Belle Immo Unternehmensseite, um Rogers bestehendes Netzwerk direkt für die Seite nutzbar zu machen.</w:t>
      </w:r>
    </w:p>
    <w:tbl>
      <w:tblPr>
        <w:tblStyle w:val="TableGrid"/>
        <w:tblW w:type="auto" w:w="0"/>
        <w:tblLook w:firstColumn="1" w:firstRow="1" w:lastColumn="0" w:lastRow="0" w:noHBand="0" w:noVBand="1" w:val="04A0"/>
      </w:tblPr>
      <w:tblGrid>
        <w:gridCol w:w="9066"/>
      </w:tblGrid>
      <w:tr>
        <w:tc>
          <w:tcPr>
            <w:tcW w:type="dxa" w:w="9066"/>
            <w:shd w:val="clear" w:color="auto" w:fill="EBF4FA"/>
            <w:tcBorders>
              <w:top w:val="single" w:sz="4" w:space="0" w:color="055a8d"/>
              <w:left w:val="single" w:sz="14" w:space="0" w:color="055a8d"/>
              <w:bottom w:val="single" w:sz="4" w:space="0" w:color="055a8d"/>
              <w:right w:val="none" w:sz="0" w:space="0" w:color="auto"/>
            </w:tcBorders>
          </w:tcPr>
          <w:p>
            <w:pPr>
              <w:spacing w:before="100" w:after="100"/>
            </w:pPr>
            <w:r>
              <w:rPr>
                <w:rFonts w:ascii="Calibri" w:hAnsi="Calibri"/>
                <w:i/>
                <w:color w:val="055A8D"/>
                <w:sz w:val="20"/>
              </w:rPr>
              <w:t>LinkedIn belohnt Kommentare und externe Interaktion massiv stärker als Likes. Wenig Gespräche → wenig Reichweite → wenig neue Follower. Wer nicht in fremden Kommentarspalten auftaucht, wird nicht entdeckt.</w:t>
            </w:r>
          </w:p>
        </w:tc>
      </w:tr>
    </w:tbl>
    <w:p>
      <w:pPr>
        <w:spacing w:after="80"/>
      </w:pPr>
    </w:p>
    <w:p>
      <w:pPr>
        <w:spacing w:before="280" w:after="60"/>
      </w:pPr>
      <w:r>
        <w:rPr>
          <w:rFonts w:ascii="Calibri" w:hAnsi="Calibri"/>
          <w:b/>
          <w:color w:val="055A8D"/>
          <w:sz w:val="25"/>
        </w:rPr>
        <w:t>Instagram — das digitale Schaufenster</w:t>
      </w:r>
    </w:p>
    <w:p>
      <w:pPr>
        <w:spacing w:before="40" w:after="120" w:line="290" w:lineRule="exact"/>
      </w:pPr>
      <w:r>
        <w:rPr>
          <w:rFonts w:ascii="Calibri" w:hAnsi="Calibri"/>
          <w:i/>
          <w:color w:val="555555"/>
          <w:sz w:val="19"/>
        </w:rPr>
        <w:t>Status: besteht, wird neu ausgerichtet</w:t>
      </w:r>
    </w:p>
    <w:p>
      <w:pPr>
        <w:spacing w:before="40" w:after="120" w:line="290" w:lineRule="exact"/>
      </w:pPr>
      <w:r>
        <w:rPr>
          <w:rFonts w:ascii="Calibri" w:hAnsi="Calibri"/>
          <w:i w:val="0"/>
          <w:sz w:val="21"/>
        </w:rPr>
        <w:t>Instagram ist kein Reichweitenkanal — es ist das digitale Schaufenster von Belle Immo. Hochwertiger, ästhetischer Feed mit realisierten Projekten, Tipps rund um Verkauf/Kauf/Landentwicklung/Bauen sowie dauerhaft zugängliche Podcast-Folgen über Story-Highlights. Instagram beweist Qualität und schafft Vertrauen — es bedient die emotionale Käuferseite des Funnels.</w:t>
      </w:r>
    </w:p>
    <w:p>
      <w:pPr>
        <w:spacing w:before="280" w:after="60"/>
      </w:pPr>
      <w:r>
        <w:rPr>
          <w:rFonts w:ascii="Calibri" w:hAnsi="Calibri"/>
          <w:b/>
          <w:color w:val="055A8D"/>
          <w:sz w:val="25"/>
        </w:rPr>
        <w:t>Social Media Ads / Kampagnen</w:t>
      </w:r>
    </w:p>
    <w:p>
      <w:pPr>
        <w:spacing w:before="40" w:after="120" w:line="290" w:lineRule="exact"/>
      </w:pPr>
      <w:r>
        <w:rPr>
          <w:rFonts w:ascii="Calibri" w:hAnsi="Calibri"/>
          <w:i/>
          <w:color w:val="555555"/>
          <w:sz w:val="19"/>
        </w:rPr>
        <w:t>Status: besteht, wird optimiert</w:t>
      </w:r>
    </w:p>
    <w:p>
      <w:pPr>
        <w:spacing w:before="40" w:after="120" w:line="290" w:lineRule="exact"/>
      </w:pPr>
      <w:r>
        <w:rPr>
          <w:rFonts w:ascii="Calibri" w:hAnsi="Calibri"/>
          <w:i w:val="0"/>
          <w:sz w:val="21"/>
        </w:rPr>
        <w:t>Mindestens eine Kampagne dauerhaft aktiv mit drei möglichen Zielen: Lead-Generierung, Sichtbarkeit/Reichweite und Newsletter-Community-Aufbau. Die laufende Investor-Kampagne (ab CHF 200'000.-) hat bereits eine erste Conversion erzielt — ein konkreter Interessent. Die frühen Kennzahlen aus Woche 1 sind nicht repräsentativ für die Gesamtkampagne. Kein Modell mit kurzem Conversion-Zyklus: langfristige Bindung über den Newsletter als Zwischenschritt.</w:t>
      </w:r>
    </w:p>
    <w:p>
      <w:pPr>
        <w:spacing w:before="280" w:after="60"/>
      </w:pPr>
      <w:r>
        <w:rPr>
          <w:rFonts w:ascii="Calibri" w:hAnsi="Calibri"/>
          <w:b/>
          <w:color w:val="055A8D"/>
          <w:sz w:val="25"/>
        </w:rPr>
        <w:t>Newsletter — das einzige Asset, das Belle Immo gehört</w:t>
      </w:r>
    </w:p>
    <w:p>
      <w:pPr>
        <w:spacing w:before="40" w:after="120" w:line="290" w:lineRule="exact"/>
      </w:pPr>
      <w:r>
        <w:rPr>
          <w:rFonts w:ascii="Calibri" w:hAnsi="Calibri"/>
          <w:i/>
          <w:color w:val="555555"/>
          <w:sz w:val="19"/>
        </w:rPr>
        <w:t>Status: neu — das wichtigste Asset</w:t>
      </w:r>
    </w:p>
    <w:tbl>
      <w:tblPr>
        <w:tblStyle w:val="TableGrid"/>
        <w:tblW w:type="auto" w:w="0"/>
        <w:tblLook w:firstColumn="1" w:firstRow="1" w:lastColumn="0" w:lastRow="0" w:noHBand="0" w:noVBand="1" w:val="04A0"/>
      </w:tblPr>
      <w:tblGrid>
        <w:gridCol w:w="9066"/>
      </w:tblGrid>
      <w:tr>
        <w:tc>
          <w:tcPr>
            <w:tcW w:type="dxa" w:w="9066"/>
            <w:shd w:val="clear" w:color="auto" w:fill="FFF8E6"/>
            <w:tcBorders>
              <w:top w:val="single" w:sz="4" w:space="0" w:color="E8A820"/>
              <w:left w:val="single" w:sz="14" w:space="0" w:color="E8A820"/>
              <w:bottom w:val="single" w:sz="4" w:space="0" w:color="E8A820"/>
              <w:right w:val="single" w:sz="4" w:space="0" w:color="E8A820"/>
            </w:tcBorders>
          </w:tcPr>
          <w:p>
            <w:pPr>
              <w:spacing w:before="100" w:after="100"/>
            </w:pPr>
            <w:r>
              <w:rPr>
                <w:rFonts w:ascii="Calibri" w:hAnsi="Calibri"/>
                <w:b/>
                <w:color w:val="B07A00"/>
                <w:sz w:val="21"/>
              </w:rPr>
              <w:t xml:space="preserve">Kernaussage:  </w:t>
            </w:r>
            <w:r>
              <w:rPr>
                <w:rFonts w:ascii="Calibri" w:hAnsi="Calibri"/>
                <w:sz w:val="21"/>
              </w:rPr>
              <w:t>Social Media gehört Meta. LinkedIn gehört Microsoft. Der Newsletter gehört Belle Immo. Ziel ist es, langfristig eine eigene Community aufzubauen, die Belle Immo unabhängig von Algorithmen regelmässig erreicht. Das ist strategisch der wertvollste Kanal, den wir aufbauen.</w:t>
            </w:r>
          </w:p>
        </w:tc>
      </w:tr>
    </w:tbl>
    <w:p>
      <w:pPr>
        <w:spacing w:after="80"/>
      </w:pPr>
    </w:p>
    <w:p>
      <w:pPr>
        <w:spacing w:before="40" w:after="120" w:line="290" w:lineRule="exact"/>
      </w:pPr>
      <w:r>
        <w:rPr>
          <w:rFonts w:ascii="Calibri" w:hAnsi="Calibri"/>
          <w:i w:val="0"/>
          <w:sz w:val="21"/>
        </w:rPr>
        <w:t>Inhalte werden mehrfach verwertet: Newsletter → LinkedIn → Print. So multipliziert jeder produzierte Inhalt seine Wirkung über alle Kanäle. Strategisch ist der Newsletter der entscheidende Zwischenschritt zwischen Reichweite und Anfrage — er hält Interessenten über die langen Immobilien-Entscheidungszyklen gebunden. Kampagnen können gezielt auf Newsletter-Abonnenten optimiert werden, was langfristig die Abhängigkeit von bezahlter Reichweite reduziert.</w:t>
      </w:r>
    </w:p>
    <w:p>
      <w:pPr>
        <w:spacing w:before="280" w:after="60"/>
      </w:pPr>
      <w:r>
        <w:rPr>
          <w:rFonts w:ascii="Calibri" w:hAnsi="Calibri"/>
          <w:b/>
          <w:color w:val="055A8D"/>
          <w:sz w:val="25"/>
        </w:rPr>
        <w:t>Offline Medien — Fachartikel</w:t>
      </w:r>
    </w:p>
    <w:p>
      <w:pPr>
        <w:spacing w:before="40" w:after="120" w:line="290" w:lineRule="exact"/>
      </w:pPr>
      <w:r>
        <w:rPr>
          <w:rFonts w:ascii="Calibri" w:hAnsi="Calibri"/>
          <w:i/>
          <w:color w:val="555555"/>
          <w:sz w:val="19"/>
        </w:rPr>
        <w:t>Status: neu</w:t>
      </w:r>
    </w:p>
    <w:p>
      <w:pPr>
        <w:spacing w:before="40" w:after="120" w:line="290" w:lineRule="exact"/>
      </w:pPr>
      <w:r>
        <w:rPr>
          <w:rFonts w:ascii="Calibri" w:hAnsi="Calibri"/>
          <w:i w:val="0"/>
          <w:sz w:val="21"/>
        </w:rPr>
        <w:t>Regelmässige Fachartikel in regionalen Zeitungen und Fachpublikationen verankern die Expertenpositionierung offline und langfristig — und erreichen Zielgruppen, die nicht primär digital sind: ältere Landeigentümer, Erbengemeinschaften, institutionelle Entscheider, Treuhänder und Notare.</w:t>
      </w:r>
    </w:p>
    <w:p>
      <w:pPr>
        <w:spacing w:before="180" w:after="40"/>
      </w:pPr>
      <w:r>
        <w:rPr>
          <w:rFonts w:ascii="Calibri" w:hAnsi="Calibri"/>
          <w:b/>
          <w:color w:val="222222"/>
          <w:sz w:val="21"/>
        </w:rPr>
        <w:t>Empfohlene Publikationen:</w:t>
      </w:r>
    </w:p>
    <w:tbl>
      <w:tblPr>
        <w:tblStyle w:val="TableGrid"/>
        <w:tblW w:type="auto" w:w="0"/>
        <w:tblLook w:firstColumn="1" w:firstRow="1" w:lastColumn="0" w:lastRow="0" w:noHBand="0" w:noVBand="1" w:val="04A0"/>
      </w:tblPr>
      <w:tblGrid>
        <w:gridCol w:w="1813"/>
        <w:gridCol w:w="1813"/>
        <w:gridCol w:w="1813"/>
        <w:gridCol w:w="1813"/>
        <w:gridCol w:w="1813"/>
      </w:tblGrid>
      <w:tr>
        <w:tc>
          <w:tcPr>
            <w:tcW w:type="dxa" w:w="624"/>
            <w:shd w:val="clear" w:color="auto" w:fill="033d62"/>
          </w:tcPr>
          <w:p>
            <w:pPr>
              <w:spacing w:before="60" w:after="60"/>
            </w:pPr>
            <w:r>
              <w:rPr>
                <w:rFonts w:ascii="Calibri" w:hAnsi="Calibri"/>
                <w:b/>
                <w:color w:val="FFFFFF"/>
                <w:sz w:val="18"/>
              </w:rPr>
              <w:t>Tier</w:t>
            </w:r>
          </w:p>
        </w:tc>
        <w:tc>
          <w:tcPr>
            <w:tcW w:type="dxa" w:w="2268"/>
            <w:shd w:val="clear" w:color="auto" w:fill="033d62"/>
          </w:tcPr>
          <w:p>
            <w:pPr>
              <w:spacing w:before="60" w:after="60"/>
            </w:pPr>
            <w:r>
              <w:rPr>
                <w:rFonts w:ascii="Calibri" w:hAnsi="Calibri"/>
                <w:b/>
                <w:color w:val="FFFFFF"/>
                <w:sz w:val="18"/>
              </w:rPr>
              <w:t>Publikation</w:t>
            </w:r>
          </w:p>
        </w:tc>
        <w:tc>
          <w:tcPr>
            <w:tcW w:type="dxa" w:w="3402"/>
            <w:shd w:val="clear" w:color="auto" w:fill="033d62"/>
          </w:tcPr>
          <w:p>
            <w:pPr>
              <w:spacing w:before="60" w:after="60"/>
            </w:pPr>
            <w:r>
              <w:rPr>
                <w:rFonts w:ascii="Calibri" w:hAnsi="Calibri"/>
                <w:b/>
                <w:color w:val="FFFFFF"/>
                <w:sz w:val="18"/>
              </w:rPr>
              <w:t>Fokus / Audience</w:t>
            </w:r>
          </w:p>
        </w:tc>
        <w:tc>
          <w:tcPr>
            <w:tcW w:type="dxa" w:w="1587"/>
            <w:shd w:val="clear" w:color="auto" w:fill="033d62"/>
          </w:tcPr>
          <w:p>
            <w:pPr>
              <w:spacing w:before="60" w:after="60"/>
            </w:pPr>
            <w:r>
              <w:rPr>
                <w:rFonts w:ascii="Calibri" w:hAnsi="Calibri"/>
                <w:b/>
                <w:color w:val="FFFFFF"/>
                <w:sz w:val="18"/>
              </w:rPr>
              <w:t>Erscheinung</w:t>
            </w:r>
          </w:p>
        </w:tc>
        <w:tc>
          <w:tcPr>
            <w:tcW w:type="dxa" w:w="2041"/>
            <w:shd w:val="clear" w:color="auto" w:fill="033d62"/>
          </w:tcPr>
          <w:p>
            <w:pPr>
              <w:spacing w:before="60" w:after="60"/>
            </w:pPr>
            <w:r>
              <w:rPr>
                <w:rFonts w:ascii="Calibri" w:hAnsi="Calibri"/>
                <w:b/>
                <w:color w:val="FFFFFF"/>
                <w:sz w:val="18"/>
              </w:rPr>
              <w:t>Website</w:t>
            </w:r>
          </w:p>
        </w:tc>
      </w:tr>
      <w:tr>
        <w:tc>
          <w:tcPr>
            <w:tcW w:type="dxa" w:w="624"/>
            <w:shd w:val="clear" w:color="auto" w:fill="E8F4FB"/>
          </w:tcPr>
          <w:p>
            <w:pPr>
              <w:spacing w:before="60" w:after="60"/>
            </w:pPr>
            <w:r>
              <w:rPr>
                <w:rFonts w:ascii="Calibri" w:hAnsi="Calibri"/>
                <w:b/>
                <w:color w:val="055A8D"/>
                <w:sz w:val="18"/>
              </w:rPr>
              <w:t>1</w:t>
            </w:r>
          </w:p>
        </w:tc>
        <w:tc>
          <w:tcPr>
            <w:tcW w:type="dxa" w:w="2268"/>
            <w:shd w:val="clear" w:color="auto" w:fill="E8F4FB"/>
          </w:tcPr>
          <w:p>
            <w:pPr>
              <w:spacing w:before="60" w:after="60"/>
            </w:pPr>
            <w:r>
              <w:rPr>
                <w:rFonts w:ascii="Calibri" w:hAnsi="Calibri"/>
                <w:sz w:val="18"/>
              </w:rPr>
              <w:t>Glattaler</w:t>
            </w:r>
          </w:p>
        </w:tc>
        <w:tc>
          <w:tcPr>
            <w:tcW w:type="dxa" w:w="3402"/>
            <w:shd w:val="clear" w:color="auto" w:fill="E8F4FB"/>
          </w:tcPr>
          <w:p>
            <w:pPr>
              <w:spacing w:before="60" w:after="60"/>
            </w:pPr>
            <w:r>
              <w:rPr>
                <w:rFonts w:ascii="Calibri" w:hAnsi="Calibri"/>
                <w:sz w:val="18"/>
              </w:rPr>
              <w:t>Dübendorf/Schwerzenbach/Fällanden — 28'000 Haushalte kostenlos</w:t>
            </w:r>
          </w:p>
        </w:tc>
        <w:tc>
          <w:tcPr>
            <w:tcW w:type="dxa" w:w="1587"/>
            <w:shd w:val="clear" w:color="auto" w:fill="E8F4FB"/>
          </w:tcPr>
          <w:p>
            <w:pPr>
              <w:spacing w:before="60" w:after="60"/>
            </w:pPr>
            <w:r>
              <w:rPr>
                <w:rFonts w:ascii="Calibri" w:hAnsi="Calibri"/>
                <w:sz w:val="18"/>
              </w:rPr>
              <w:t>Wöchentlich (Fr.)</w:t>
            </w:r>
          </w:p>
        </w:tc>
        <w:tc>
          <w:tcPr>
            <w:tcW w:type="dxa" w:w="2041"/>
            <w:shd w:val="clear" w:color="auto" w:fill="E8F4FB"/>
          </w:tcPr>
          <w:p>
            <w:pPr>
              <w:spacing w:before="60" w:after="60"/>
            </w:pPr>
            <w:r>
              <w:rPr>
                <w:rFonts w:ascii="Calibri" w:hAnsi="Calibri"/>
                <w:sz w:val="18"/>
              </w:rPr>
              <w:t>zo-medien.ch</w:t>
            </w:r>
          </w:p>
        </w:tc>
      </w:tr>
      <w:tr>
        <w:tc>
          <w:tcPr>
            <w:tcW w:type="dxa" w:w="624"/>
            <w:shd w:val="clear" w:color="auto" w:fill="E8F4FB"/>
          </w:tcPr>
          <w:p>
            <w:pPr>
              <w:spacing w:before="60" w:after="60"/>
            </w:pPr>
            <w:r>
              <w:rPr>
                <w:rFonts w:ascii="Calibri" w:hAnsi="Calibri"/>
                <w:b/>
                <w:color w:val="055A8D"/>
                <w:sz w:val="18"/>
              </w:rPr>
              <w:t>1</w:t>
            </w:r>
          </w:p>
        </w:tc>
        <w:tc>
          <w:tcPr>
            <w:tcW w:type="dxa" w:w="2268"/>
            <w:shd w:val="clear" w:color="auto" w:fill="E8F4FB"/>
          </w:tcPr>
          <w:p>
            <w:pPr>
              <w:spacing w:before="60" w:after="60"/>
            </w:pPr>
            <w:r>
              <w:rPr>
                <w:rFonts w:ascii="Calibri" w:hAnsi="Calibri"/>
                <w:sz w:val="18"/>
              </w:rPr>
              <w:t>IMMOBILIEN Business</w:t>
            </w:r>
          </w:p>
        </w:tc>
        <w:tc>
          <w:tcPr>
            <w:tcW w:type="dxa" w:w="3402"/>
            <w:shd w:val="clear" w:color="auto" w:fill="E8F4FB"/>
          </w:tcPr>
          <w:p>
            <w:pPr>
              <w:spacing w:before="60" w:after="60"/>
            </w:pPr>
            <w:r>
              <w:rPr>
                <w:rFonts w:ascii="Calibri" w:hAnsi="Calibri"/>
                <w:sz w:val="18"/>
              </w:rPr>
              <w:t>Immobilienprofis, Investoren, Entwickler — 15'000 Aufl.</w:t>
            </w:r>
          </w:p>
        </w:tc>
        <w:tc>
          <w:tcPr>
            <w:tcW w:type="dxa" w:w="1587"/>
            <w:shd w:val="clear" w:color="auto" w:fill="E8F4FB"/>
          </w:tcPr>
          <w:p>
            <w:pPr>
              <w:spacing w:before="60" w:after="60"/>
            </w:pPr>
            <w:r>
              <w:rPr>
                <w:rFonts w:ascii="Calibri" w:hAnsi="Calibri"/>
                <w:sz w:val="18"/>
              </w:rPr>
              <w:t>11× pro Jahr</w:t>
            </w:r>
          </w:p>
        </w:tc>
        <w:tc>
          <w:tcPr>
            <w:tcW w:type="dxa" w:w="2041"/>
            <w:shd w:val="clear" w:color="auto" w:fill="E8F4FB"/>
          </w:tcPr>
          <w:p>
            <w:pPr>
              <w:spacing w:before="60" w:after="60"/>
            </w:pPr>
            <w:r>
              <w:rPr>
                <w:rFonts w:ascii="Calibri" w:hAnsi="Calibri"/>
                <w:sz w:val="18"/>
              </w:rPr>
              <w:t>immobilienbusiness.ch</w:t>
            </w:r>
          </w:p>
        </w:tc>
      </w:tr>
      <w:tr>
        <w:tc>
          <w:tcPr>
            <w:tcW w:type="dxa" w:w="624"/>
            <w:shd w:val="clear" w:color="auto" w:fill="E8F4FB"/>
          </w:tcPr>
          <w:p>
            <w:pPr>
              <w:spacing w:before="60" w:after="60"/>
            </w:pPr>
            <w:r>
              <w:rPr>
                <w:rFonts w:ascii="Calibri" w:hAnsi="Calibri"/>
                <w:b/>
                <w:color w:val="055A8D"/>
                <w:sz w:val="18"/>
              </w:rPr>
              <w:t>1</w:t>
            </w:r>
          </w:p>
        </w:tc>
        <w:tc>
          <w:tcPr>
            <w:tcW w:type="dxa" w:w="2268"/>
            <w:shd w:val="clear" w:color="auto" w:fill="E8F4FB"/>
          </w:tcPr>
          <w:p>
            <w:pPr>
              <w:spacing w:before="60" w:after="60"/>
            </w:pPr>
            <w:r>
              <w:rPr>
                <w:rFonts w:ascii="Calibri" w:hAnsi="Calibri"/>
                <w:sz w:val="18"/>
              </w:rPr>
              <w:t>NZZ Residence</w:t>
            </w:r>
          </w:p>
        </w:tc>
        <w:tc>
          <w:tcPr>
            <w:tcW w:type="dxa" w:w="3402"/>
            <w:shd w:val="clear" w:color="auto" w:fill="E8F4FB"/>
          </w:tcPr>
          <w:p>
            <w:pPr>
              <w:spacing w:before="60" w:after="60"/>
            </w:pPr>
            <w:r>
              <w:rPr>
                <w:rFonts w:ascii="Calibri" w:hAnsi="Calibri"/>
                <w:sz w:val="18"/>
              </w:rPr>
              <w:t>Premiumsegment, Investoren, Architekten — 97'000 Aufl.</w:t>
            </w:r>
          </w:p>
        </w:tc>
        <w:tc>
          <w:tcPr>
            <w:tcW w:type="dxa" w:w="1587"/>
            <w:shd w:val="clear" w:color="auto" w:fill="E8F4FB"/>
          </w:tcPr>
          <w:p>
            <w:pPr>
              <w:spacing w:before="60" w:after="60"/>
            </w:pPr>
            <w:r>
              <w:rPr>
                <w:rFonts w:ascii="Calibri" w:hAnsi="Calibri"/>
                <w:sz w:val="18"/>
              </w:rPr>
              <w:t>4–5× pro Jahr</w:t>
            </w:r>
          </w:p>
        </w:tc>
        <w:tc>
          <w:tcPr>
            <w:tcW w:type="dxa" w:w="2041"/>
            <w:shd w:val="clear" w:color="auto" w:fill="E8F4FB"/>
          </w:tcPr>
          <w:p>
            <w:pPr>
              <w:spacing w:before="60" w:after="60"/>
            </w:pPr>
            <w:r>
              <w:rPr>
                <w:rFonts w:ascii="Calibri" w:hAnsi="Calibri"/>
                <w:sz w:val="18"/>
              </w:rPr>
              <w:t>residence.nzz.ch</w:t>
            </w:r>
          </w:p>
        </w:tc>
      </w:tr>
      <w:tr>
        <w:tc>
          <w:tcPr>
            <w:tcW w:type="dxa" w:w="624"/>
            <w:shd w:val="clear" w:color="auto" w:fill="F5F5F5"/>
          </w:tcPr>
          <w:p>
            <w:pPr>
              <w:spacing w:before="60" w:after="60"/>
            </w:pPr>
            <w:r>
              <w:rPr>
                <w:rFonts w:ascii="Calibri" w:hAnsi="Calibri"/>
                <w:sz w:val="18"/>
              </w:rPr>
              <w:t>2</w:t>
            </w:r>
          </w:p>
        </w:tc>
        <w:tc>
          <w:tcPr>
            <w:tcW w:type="dxa" w:w="2268"/>
            <w:shd w:val="clear" w:color="auto" w:fill="F5F5F5"/>
          </w:tcPr>
          <w:p>
            <w:pPr>
              <w:spacing w:before="60" w:after="60"/>
            </w:pPr>
            <w:r>
              <w:rPr>
                <w:rFonts w:ascii="Calibri" w:hAnsi="Calibri"/>
                <w:sz w:val="18"/>
              </w:rPr>
              <w:t>Zürcher Oberländer</w:t>
            </w:r>
          </w:p>
        </w:tc>
        <w:tc>
          <w:tcPr>
            <w:tcW w:type="dxa" w:w="3402"/>
            <w:shd w:val="clear" w:color="auto" w:fill="F5F5F5"/>
          </w:tcPr>
          <w:p>
            <w:pPr>
              <w:spacing w:before="60" w:after="60"/>
            </w:pPr>
            <w:r>
              <w:rPr>
                <w:rFonts w:ascii="Calibri" w:hAnsi="Calibri"/>
                <w:sz w:val="18"/>
              </w:rPr>
              <w:t>Überregionale Tageszeitung, ~40'000 Leser täglich</w:t>
            </w:r>
          </w:p>
        </w:tc>
        <w:tc>
          <w:tcPr>
            <w:tcW w:type="dxa" w:w="1587"/>
            <w:shd w:val="clear" w:color="auto" w:fill="F5F5F5"/>
          </w:tcPr>
          <w:p>
            <w:pPr>
              <w:spacing w:before="60" w:after="60"/>
            </w:pPr>
            <w:r>
              <w:rPr>
                <w:rFonts w:ascii="Calibri" w:hAnsi="Calibri"/>
                <w:sz w:val="18"/>
              </w:rPr>
              <w:t>Täglich</w:t>
            </w:r>
          </w:p>
        </w:tc>
        <w:tc>
          <w:tcPr>
            <w:tcW w:type="dxa" w:w="2041"/>
            <w:shd w:val="clear" w:color="auto" w:fill="F5F5F5"/>
          </w:tcPr>
          <w:p>
            <w:pPr>
              <w:spacing w:before="60" w:after="60"/>
            </w:pPr>
            <w:r>
              <w:rPr>
                <w:rFonts w:ascii="Calibri" w:hAnsi="Calibri"/>
                <w:sz w:val="18"/>
              </w:rPr>
              <w:t>zo-online.ch</w:t>
            </w:r>
          </w:p>
        </w:tc>
      </w:tr>
      <w:tr>
        <w:tc>
          <w:tcPr>
            <w:tcW w:type="dxa" w:w="624"/>
            <w:shd w:val="clear" w:color="auto" w:fill="F5F5F5"/>
          </w:tcPr>
          <w:p>
            <w:pPr>
              <w:spacing w:before="60" w:after="60"/>
            </w:pPr>
            <w:r>
              <w:rPr>
                <w:rFonts w:ascii="Calibri" w:hAnsi="Calibri"/>
                <w:sz w:val="18"/>
              </w:rPr>
              <w:t>2</w:t>
            </w:r>
          </w:p>
        </w:tc>
        <w:tc>
          <w:tcPr>
            <w:tcW w:type="dxa" w:w="2268"/>
            <w:shd w:val="clear" w:color="auto" w:fill="F5F5F5"/>
          </w:tcPr>
          <w:p>
            <w:pPr>
              <w:spacing w:before="60" w:after="60"/>
            </w:pPr>
            <w:r>
              <w:rPr>
                <w:rFonts w:ascii="Calibri" w:hAnsi="Calibri"/>
                <w:sz w:val="18"/>
              </w:rPr>
              <w:t>Immobilia (SVIT)</w:t>
            </w:r>
          </w:p>
        </w:tc>
        <w:tc>
          <w:tcPr>
            <w:tcW w:type="dxa" w:w="3402"/>
            <w:shd w:val="clear" w:color="auto" w:fill="F5F5F5"/>
          </w:tcPr>
          <w:p>
            <w:pPr>
              <w:spacing w:before="60" w:after="60"/>
            </w:pPr>
            <w:r>
              <w:rPr>
                <w:rFonts w:ascii="Calibri" w:hAnsi="Calibri"/>
                <w:sz w:val="18"/>
              </w:rPr>
              <w:t>Fachverband CH — Netzwerkeffekt unter Profis</w:t>
            </w:r>
          </w:p>
        </w:tc>
        <w:tc>
          <w:tcPr>
            <w:tcW w:type="dxa" w:w="1587"/>
            <w:shd w:val="clear" w:color="auto" w:fill="F5F5F5"/>
          </w:tcPr>
          <w:p>
            <w:pPr>
              <w:spacing w:before="60" w:after="60"/>
            </w:pPr>
            <w:r>
              <w:rPr>
                <w:rFonts w:ascii="Calibri" w:hAnsi="Calibri"/>
                <w:sz w:val="18"/>
              </w:rPr>
              <w:t>Monatlich</w:t>
            </w:r>
          </w:p>
        </w:tc>
        <w:tc>
          <w:tcPr>
            <w:tcW w:type="dxa" w:w="2041"/>
            <w:shd w:val="clear" w:color="auto" w:fill="F5F5F5"/>
          </w:tcPr>
          <w:p>
            <w:pPr>
              <w:spacing w:before="60" w:after="60"/>
            </w:pPr>
            <w:r>
              <w:rPr>
                <w:rFonts w:ascii="Calibri" w:hAnsi="Calibri"/>
                <w:sz w:val="18"/>
              </w:rPr>
              <w:t>svit.ch/immobilia</w:t>
            </w:r>
          </w:p>
        </w:tc>
      </w:tr>
      <w:tr>
        <w:tc>
          <w:tcPr>
            <w:tcW w:type="dxa" w:w="624"/>
            <w:shd w:val="clear" w:color="auto" w:fill="F5F5F5"/>
          </w:tcPr>
          <w:p>
            <w:pPr>
              <w:spacing w:before="60" w:after="60"/>
            </w:pPr>
            <w:r>
              <w:rPr>
                <w:rFonts w:ascii="Calibri" w:hAnsi="Calibri"/>
                <w:sz w:val="18"/>
              </w:rPr>
              <w:t>2</w:t>
            </w:r>
          </w:p>
        </w:tc>
        <w:tc>
          <w:tcPr>
            <w:tcW w:type="dxa" w:w="2268"/>
            <w:shd w:val="clear" w:color="auto" w:fill="F5F5F5"/>
          </w:tcPr>
          <w:p>
            <w:pPr>
              <w:spacing w:before="60" w:after="60"/>
            </w:pPr>
            <w:r>
              <w:rPr>
                <w:rFonts w:ascii="Calibri" w:hAnsi="Calibri"/>
                <w:sz w:val="18"/>
              </w:rPr>
              <w:t>Handelszeitung</w:t>
            </w:r>
          </w:p>
        </w:tc>
        <w:tc>
          <w:tcPr>
            <w:tcW w:type="dxa" w:w="3402"/>
            <w:shd w:val="clear" w:color="auto" w:fill="F5F5F5"/>
          </w:tcPr>
          <w:p>
            <w:pPr>
              <w:spacing w:before="60" w:after="60"/>
            </w:pPr>
            <w:r>
              <w:rPr>
                <w:rFonts w:ascii="Calibri" w:hAnsi="Calibri"/>
                <w:sz w:val="18"/>
              </w:rPr>
              <w:t>Entscheider &amp; Investoren, Rubrik Immobilienwirtschaft</w:t>
            </w:r>
          </w:p>
        </w:tc>
        <w:tc>
          <w:tcPr>
            <w:tcW w:type="dxa" w:w="1587"/>
            <w:shd w:val="clear" w:color="auto" w:fill="F5F5F5"/>
          </w:tcPr>
          <w:p>
            <w:pPr>
              <w:spacing w:before="60" w:after="60"/>
            </w:pPr>
            <w:r>
              <w:rPr>
                <w:rFonts w:ascii="Calibri" w:hAnsi="Calibri"/>
                <w:sz w:val="18"/>
              </w:rPr>
              <w:t>Wöchentlich</w:t>
            </w:r>
          </w:p>
        </w:tc>
        <w:tc>
          <w:tcPr>
            <w:tcW w:type="dxa" w:w="2041"/>
            <w:shd w:val="clear" w:color="auto" w:fill="F5F5F5"/>
          </w:tcPr>
          <w:p>
            <w:pPr>
              <w:spacing w:before="60" w:after="60"/>
            </w:pPr>
            <w:r>
              <w:rPr>
                <w:rFonts w:ascii="Calibri" w:hAnsi="Calibri"/>
                <w:sz w:val="18"/>
              </w:rPr>
              <w:t>handelszeitung.ch</w:t>
            </w:r>
          </w:p>
        </w:tc>
      </w:tr>
      <w:tr>
        <w:tc>
          <w:tcPr>
            <w:tcW w:type="dxa" w:w="624"/>
          </w:tcPr>
          <w:p>
            <w:pPr>
              <w:spacing w:before="60" w:after="60"/>
            </w:pPr>
            <w:r>
              <w:rPr>
                <w:rFonts w:ascii="Calibri" w:hAnsi="Calibri"/>
                <w:sz w:val="18"/>
              </w:rPr>
              <w:t>3</w:t>
            </w:r>
          </w:p>
        </w:tc>
        <w:tc>
          <w:tcPr>
            <w:tcW w:type="dxa" w:w="2268"/>
          </w:tcPr>
          <w:p>
            <w:pPr>
              <w:spacing w:before="60" w:after="60"/>
            </w:pPr>
            <w:r>
              <w:rPr>
                <w:rFonts w:ascii="Calibri" w:hAnsi="Calibri"/>
                <w:sz w:val="18"/>
              </w:rPr>
              <w:t>NZZ Domizil</w:t>
            </w:r>
          </w:p>
        </w:tc>
        <w:tc>
          <w:tcPr>
            <w:tcW w:type="dxa" w:w="3402"/>
          </w:tcPr>
          <w:p>
            <w:pPr>
              <w:spacing w:before="60" w:after="60"/>
            </w:pPr>
            <w:r>
              <w:rPr>
                <w:rFonts w:ascii="Calibri" w:hAnsi="Calibri"/>
                <w:sz w:val="18"/>
              </w:rPr>
              <w:t>Käufer &amp; Investoren, Portal + Print</w:t>
            </w:r>
          </w:p>
        </w:tc>
        <w:tc>
          <w:tcPr>
            <w:tcW w:type="dxa" w:w="1587"/>
          </w:tcPr>
          <w:p>
            <w:pPr>
              <w:spacing w:before="60" w:after="60"/>
            </w:pPr>
            <w:r>
              <w:rPr>
                <w:rFonts w:ascii="Calibri" w:hAnsi="Calibri"/>
                <w:sz w:val="18"/>
              </w:rPr>
              <w:t>Freitags</w:t>
            </w:r>
          </w:p>
        </w:tc>
        <w:tc>
          <w:tcPr>
            <w:tcW w:type="dxa" w:w="2041"/>
          </w:tcPr>
          <w:p>
            <w:pPr>
              <w:spacing w:before="60" w:after="60"/>
            </w:pPr>
            <w:r>
              <w:rPr>
                <w:rFonts w:ascii="Calibri" w:hAnsi="Calibri"/>
                <w:sz w:val="18"/>
              </w:rPr>
              <w:t>nzzdomizil.ch</w:t>
            </w:r>
          </w:p>
        </w:tc>
      </w:tr>
      <w:tr>
        <w:tc>
          <w:tcPr>
            <w:tcW w:type="dxa" w:w="624"/>
          </w:tcPr>
          <w:p>
            <w:pPr>
              <w:spacing w:before="60" w:after="60"/>
            </w:pPr>
            <w:r>
              <w:rPr>
                <w:rFonts w:ascii="Calibri" w:hAnsi="Calibri"/>
                <w:sz w:val="18"/>
              </w:rPr>
              <w:t>3</w:t>
            </w:r>
          </w:p>
        </w:tc>
        <w:tc>
          <w:tcPr>
            <w:tcW w:type="dxa" w:w="2268"/>
          </w:tcPr>
          <w:p>
            <w:pPr>
              <w:spacing w:before="60" w:after="60"/>
            </w:pPr>
            <w:r>
              <w:rPr>
                <w:rFonts w:ascii="Calibri" w:hAnsi="Calibri"/>
                <w:sz w:val="18"/>
              </w:rPr>
              <w:t>Swiss Real Estate Journal</w:t>
            </w:r>
          </w:p>
        </w:tc>
        <w:tc>
          <w:tcPr>
            <w:tcW w:type="dxa" w:w="3402"/>
          </w:tcPr>
          <w:p>
            <w:pPr>
              <w:spacing w:before="60" w:after="60"/>
            </w:pPr>
            <w:r>
              <w:rPr>
                <w:rFonts w:ascii="Calibri" w:hAnsi="Calibri"/>
                <w:sz w:val="18"/>
              </w:rPr>
              <w:t>Fachleute, grundsätzliche Marktartikel</w:t>
            </w:r>
          </w:p>
        </w:tc>
        <w:tc>
          <w:tcPr>
            <w:tcW w:type="dxa" w:w="1587"/>
          </w:tcPr>
          <w:p>
            <w:pPr>
              <w:spacing w:before="60" w:after="60"/>
            </w:pPr>
            <w:r>
              <w:rPr>
                <w:rFonts w:ascii="Calibri" w:hAnsi="Calibri"/>
                <w:sz w:val="18"/>
              </w:rPr>
              <w:t>Quartalsweise</w:t>
            </w:r>
          </w:p>
        </w:tc>
        <w:tc>
          <w:tcPr>
            <w:tcW w:type="dxa" w:w="2041"/>
          </w:tcPr>
          <w:p>
            <w:pPr>
              <w:spacing w:before="60" w:after="60"/>
            </w:pPr>
            <w:r>
              <w:rPr>
                <w:rFonts w:ascii="Calibri" w:hAnsi="Calibri"/>
                <w:sz w:val="18"/>
              </w:rPr>
              <w:t>svit.ch</w:t>
            </w:r>
          </w:p>
        </w:tc>
      </w:tr>
    </w:tbl>
    <w:p/>
    <w:p>
      <w:pPr>
        <w:spacing w:before="400" w:after="80"/>
      </w:pPr>
      <w:r>
        <w:rPr>
          <w:rFonts w:ascii="Calibri" w:hAnsi="Calibri"/>
          <w:b/>
          <w:color w:val="055A8D"/>
          <w:sz w:val="34"/>
        </w:rPr>
        <w:t>7. Fazit — Zusammenspiel, offene Fragen, Entscheidungen</w:t>
      </w:r>
    </w:p>
    <w:p>
      <w:pPr>
        <w:pBdr>
          <w:bottom w:val="single" w:sz="6" w:space="1" w:color="055a8d"/>
        </w:pBdr>
        <w:spacing w:before="80" w:after="120"/>
      </w:pPr>
    </w:p>
    <w:p>
      <w:pPr>
        <w:spacing w:before="40" w:after="120" w:line="290" w:lineRule="exact"/>
      </w:pPr>
      <w:r>
        <w:rPr>
          <w:rFonts w:ascii="Calibri" w:hAnsi="Calibri"/>
          <w:i w:val="0"/>
          <w:sz w:val="21"/>
        </w:rPr>
        <w:t>Die Elemente greifen ineinander zu einer selbsttragenden Sichtbarkeits-Maschine: Community Management und Personal Branding erzeugen Awareness, der Content-Mix und Instagram bauen Vertrauen und Expertise auf, der Newsletter bindet über lange Zyklen, Kampagnen füllen konstant den Funnel, Fachartikel verankern die Position offline. Roger bleibt das Gesicht — Mournival baut und orchestriert das System.</w:t>
      </w:r>
    </w:p>
    <w:p>
      <w:pPr>
        <w:spacing w:before="180" w:after="40"/>
      </w:pPr>
      <w:r>
        <w:rPr>
          <w:rFonts w:ascii="Calibri" w:hAnsi="Calibri"/>
          <w:b/>
          <w:color w:val="222222"/>
          <w:sz w:val="21"/>
        </w:rPr>
        <w:t>Offene Fragen und zu treffende Entscheidungen:</w:t>
      </w:r>
    </w:p>
    <w:p>
      <w:pPr>
        <w:pStyle w:val="ListBullet"/>
        <w:spacing w:before="20" w:after="80"/>
        <w:ind w:left="283"/>
      </w:pPr>
      <w:r>
        <w:rPr>
          <w:rFonts w:ascii="Calibri" w:hAnsi="Calibri"/>
          <w:sz w:val="21"/>
        </w:rPr>
        <w:t>Investor-Kampagne weiterentwickeln: Targeting verfeinern, Learnings integrieren, Budget-Allokation überprüfen.</w:t>
      </w:r>
    </w:p>
    <w:p>
      <w:pPr>
        <w:pStyle w:val="ListBullet"/>
        <w:spacing w:before="20" w:after="80"/>
        <w:ind w:left="283"/>
      </w:pPr>
      <w:r>
        <w:rPr>
          <w:rFonts w:ascii="Calibri" w:hAnsi="Calibri"/>
          <w:sz w:val="21"/>
        </w:rPr>
        <w:t>Newsletter-Aufsatz: Tooling, Rhythmus und Lead-Magnet für den Aufbau der Abonnenten-Basis bestimmen.</w:t>
      </w:r>
    </w:p>
    <w:p>
      <w:pPr>
        <w:pStyle w:val="ListBullet"/>
        <w:spacing w:before="20" w:after="80"/>
        <w:ind w:left="283"/>
      </w:pPr>
      <w:r>
        <w:rPr>
          <w:rFonts w:ascii="Calibri" w:hAnsi="Calibri"/>
          <w:sz w:val="21"/>
        </w:rPr>
        <w:t>Print-Schiene: Einstieg mit Glattaler (lokale Reichweite) oder IMMOBILIEN Business (Fachpublikum)?</w:t>
      </w:r>
    </w:p>
    <w:p>
      <w:pPr>
        <w:pStyle w:val="ListBullet"/>
        <w:spacing w:before="20" w:after="80"/>
        <w:ind w:left="283"/>
      </w:pPr>
      <w:r>
        <w:rPr>
          <w:rFonts w:ascii="Calibri" w:hAnsi="Calibri"/>
          <w:sz w:val="21"/>
        </w:rPr>
        <w:t>Ressourcen Roger: Community Management und Personal Branding-Posts verbindlich im Alltag verankern.</w:t>
      </w:r>
    </w:p>
    <w:p>
      <w:pPr>
        <w:spacing w:before="400" w:after="80"/>
      </w:pPr>
      <w:r>
        <w:rPr>
          <w:rFonts w:ascii="Calibri" w:hAnsi="Calibri"/>
          <w:b/>
          <w:color w:val="055A8D"/>
          <w:sz w:val="34"/>
        </w:rPr>
        <w:t>8. Nächste Schritte</w:t>
      </w:r>
    </w:p>
    <w:p>
      <w:pPr>
        <w:pBdr>
          <w:bottom w:val="single" w:sz="6" w:space="1" w:color="055a8d"/>
        </w:pBdr>
        <w:spacing w:before="80" w:after="120"/>
      </w:pPr>
    </w:p>
    <w:p>
      <w:pPr>
        <w:spacing w:before="40" w:after="120" w:line="290" w:lineRule="exact"/>
      </w:pPr>
      <w:r>
        <w:rPr>
          <w:rFonts w:ascii="Calibri" w:hAnsi="Calibri"/>
          <w:i/>
          <w:color w:val="555555"/>
          <w:sz w:val="21"/>
        </w:rPr>
        <w:t>*(Die Offerte wird separat erstellt — hier nur die Massnahmen.)*</w:t>
      </w:r>
    </w:p>
    <w:p>
      <w:pPr>
        <w:spacing w:before="60" w:after="100"/>
      </w:pPr>
      <w:r>
        <w:rPr>
          <w:rFonts w:ascii="Calibri" w:hAnsi="Calibri"/>
          <w:b/>
          <w:color w:val="055A8D"/>
          <w:sz w:val="23"/>
        </w:rPr>
        <w:t xml:space="preserve">1.  </w:t>
      </w:r>
      <w:r>
        <w:rPr>
          <w:rFonts w:ascii="Calibri" w:hAnsi="Calibri"/>
          <w:b/>
          <w:sz w:val="21"/>
        </w:rPr>
        <w:t xml:space="preserve">Community Management starten — </w:t>
      </w:r>
      <w:r>
        <w:rPr>
          <w:rFonts w:ascii="Calibri" w:hAnsi="Calibri"/>
          <w:sz w:val="21"/>
        </w:rPr>
        <w:t>Roger: 1× Woche substanzieller Kommentar, schrittweise auf mehrere/Woche ausbauen. Alex: Kontakte zur Belle Immo Seite einladen.</w:t>
      </w:r>
    </w:p>
    <w:p>
      <w:pPr>
        <w:spacing w:before="60" w:after="100"/>
      </w:pPr>
      <w:r>
        <w:rPr>
          <w:rFonts w:ascii="Calibri" w:hAnsi="Calibri"/>
          <w:b/>
          <w:color w:val="055A8D"/>
          <w:sz w:val="23"/>
        </w:rPr>
        <w:t xml:space="preserve">2.  </w:t>
      </w:r>
      <w:r>
        <w:rPr>
          <w:rFonts w:ascii="Calibri" w:hAnsi="Calibri"/>
          <w:b/>
          <w:sz w:val="21"/>
        </w:rPr>
        <w:t xml:space="preserve">Workflow aufsetzen — </w:t>
      </w:r>
      <w:r>
        <w:rPr>
          <w:rFonts w:ascii="Calibri" w:hAnsi="Calibri"/>
          <w:sz w:val="21"/>
        </w:rPr>
        <w:t>Mournival entwickelt den Prozess, der Roger mit minimalem Aufwand konstant sichtbar hält — fertige Vorschläge, ein Klick zur Freigabe.</w:t>
      </w:r>
    </w:p>
    <w:p>
      <w:pPr>
        <w:spacing w:before="60" w:after="100"/>
      </w:pPr>
      <w:r>
        <w:rPr>
          <w:rFonts w:ascii="Calibri" w:hAnsi="Calibri"/>
          <w:b/>
          <w:color w:val="055A8D"/>
          <w:sz w:val="23"/>
        </w:rPr>
        <w:t xml:space="preserve">3.  </w:t>
      </w:r>
      <w:r>
        <w:rPr>
          <w:rFonts w:ascii="Calibri" w:hAnsi="Calibri"/>
          <w:b/>
          <w:sz w:val="21"/>
        </w:rPr>
        <w:t xml:space="preserve">Content-Mix Q3 umsetzen — </w:t>
      </w:r>
      <w:r>
        <w:rPr>
          <w:rFonts w:ascii="Calibri" w:hAnsi="Calibri"/>
          <w:sz w:val="21"/>
        </w:rPr>
        <w:t>LinkedIn ~6 Posts/Monat, neuer Mix mit Land-Akquise und Investor-CTA. Neutrale Partnership-Posts streichen.</w:t>
      </w:r>
    </w:p>
    <w:p>
      <w:pPr>
        <w:spacing w:before="60" w:after="100"/>
      </w:pPr>
      <w:r>
        <w:rPr>
          <w:rFonts w:ascii="Calibri" w:hAnsi="Calibri"/>
          <w:b/>
          <w:color w:val="055A8D"/>
          <w:sz w:val="23"/>
        </w:rPr>
        <w:t xml:space="preserve">4.  </w:t>
      </w:r>
      <w:r>
        <w:rPr>
          <w:rFonts w:ascii="Calibri" w:hAnsi="Calibri"/>
          <w:b/>
          <w:sz w:val="21"/>
        </w:rPr>
        <w:t xml:space="preserve">Investor-Kampagne reviewen — </w:t>
      </w:r>
      <w:r>
        <w:rPr>
          <w:rFonts w:ascii="Calibri" w:hAnsi="Calibri"/>
          <w:sz w:val="21"/>
        </w:rPr>
        <w:t>Targeting und Budget auf Basis der ersten Conversion optimieren.</w:t>
      </w:r>
    </w:p>
    <w:p>
      <w:pPr>
        <w:spacing w:before="60" w:after="100"/>
      </w:pPr>
      <w:r>
        <w:rPr>
          <w:rFonts w:ascii="Calibri" w:hAnsi="Calibri"/>
          <w:b/>
          <w:color w:val="055A8D"/>
          <w:sz w:val="23"/>
        </w:rPr>
        <w:t xml:space="preserve">5.  </w:t>
      </w:r>
      <w:r>
        <w:rPr>
          <w:rFonts w:ascii="Calibri" w:hAnsi="Calibri"/>
          <w:b/>
          <w:sz w:val="21"/>
        </w:rPr>
        <w:t xml:space="preserve">Newsletter konzipieren — </w:t>
      </w:r>
      <w:r>
        <w:rPr>
          <w:rFonts w:ascii="Calibri" w:hAnsi="Calibri"/>
          <w:sz w:val="21"/>
        </w:rPr>
        <w:t>Lead-Magnet, Tooling, erster Versand planen. Der Aufbau der eigenen Community beginnt hier.</w:t>
      </w:r>
    </w:p>
    <w:p>
      <w:pPr>
        <w:spacing w:before="60" w:after="100"/>
      </w:pPr>
      <w:r>
        <w:rPr>
          <w:rFonts w:ascii="Calibri" w:hAnsi="Calibri"/>
          <w:b/>
          <w:color w:val="055A8D"/>
          <w:sz w:val="23"/>
        </w:rPr>
        <w:t xml:space="preserve">6.  </w:t>
      </w:r>
      <w:r>
        <w:rPr>
          <w:rFonts w:ascii="Calibri" w:hAnsi="Calibri"/>
          <w:b/>
          <w:sz w:val="21"/>
        </w:rPr>
        <w:t xml:space="preserve">Instagram als Schaufenster kuratieren — </w:t>
      </w:r>
      <w:r>
        <w:rPr>
          <w:rFonts w:ascii="Calibri" w:hAnsi="Calibri"/>
          <w:sz w:val="21"/>
        </w:rPr>
        <w:t>Ästhetischer Feed, Projekt-Highlights, Podcast-Integration über Story-Highlights.</w:t>
      </w:r>
    </w:p>
    <w:p>
      <w:pPr>
        <w:spacing w:before="60" w:after="100"/>
      </w:pPr>
      <w:r>
        <w:rPr>
          <w:rFonts w:ascii="Calibri" w:hAnsi="Calibri"/>
          <w:b/>
          <w:color w:val="055A8D"/>
          <w:sz w:val="23"/>
        </w:rPr>
        <w:t xml:space="preserve">7.  </w:t>
      </w:r>
      <w:r>
        <w:rPr>
          <w:rFonts w:ascii="Calibri" w:hAnsi="Calibri"/>
          <w:b/>
          <w:sz w:val="21"/>
        </w:rPr>
        <w:t xml:space="preserve">Fachartikel-Schiene starten — </w:t>
      </w:r>
      <w:r>
        <w:rPr>
          <w:rFonts w:ascii="Calibri" w:hAnsi="Calibri"/>
          <w:sz w:val="21"/>
        </w:rPr>
        <w:t>Erstgespräch mit Glattaler / ZO; erstes Thema definieren.</w:t>
      </w:r>
    </w:p>
    <w:p>
      <w:pPr>
        <w:spacing w:before="60" w:after="100"/>
      </w:pPr>
      <w:r>
        <w:rPr>
          <w:rFonts w:ascii="Calibri" w:hAnsi="Calibri"/>
          <w:b/>
          <w:color w:val="055A8D"/>
          <w:sz w:val="23"/>
        </w:rPr>
        <w:t xml:space="preserve">8.  </w:t>
      </w:r>
      <w:r>
        <w:rPr>
          <w:rFonts w:ascii="Calibri" w:hAnsi="Calibri"/>
          <w:b/>
          <w:sz w:val="21"/>
        </w:rPr>
        <w:t xml:space="preserve">Personal Branding Roger hochfahren — </w:t>
      </w:r>
      <w:r>
        <w:rPr>
          <w:rFonts w:ascii="Calibri" w:hAnsi="Calibri"/>
          <w:sz w:val="21"/>
        </w:rPr>
        <w:t>Schrittweise auf 1–2 Posts/Woche, Fokus regionale Fachstimme.</w:t>
      </w:r>
    </w:p>
    <w:p>
      <w:r>
        <w:br w:type="page"/>
      </w:r>
    </w:p>
    <w:p>
      <w:pPr>
        <w:spacing w:before="400" w:after="80"/>
      </w:pPr>
      <w:r>
        <w:rPr>
          <w:rFonts w:ascii="Calibri" w:hAnsi="Calibri"/>
          <w:b/>
          <w:color w:val="055A8D"/>
          <w:sz w:val="34"/>
        </w:rPr>
        <w:t>PowerPoint-Snippets</w:t>
      </w:r>
    </w:p>
    <w:p>
      <w:pPr>
        <w:pBdr>
          <w:bottom w:val="single" w:sz="6" w:space="1" w:color="055a8d"/>
        </w:pBdr>
        <w:spacing w:before="80" w:after="120"/>
      </w:pPr>
    </w:p>
    <w:p>
      <w:pPr>
        <w:spacing w:before="40" w:after="120" w:line="290" w:lineRule="exact"/>
      </w:pPr>
      <w:r>
        <w:rPr>
          <w:rFonts w:ascii="Calibri" w:hAnsi="Calibri"/>
          <w:i/>
          <w:color w:val="555555"/>
          <w:sz w:val="21"/>
        </w:rPr>
        <w:t>Folientaugliche Kurzversionen — bereit für die Präsentation bei Belle Immo AG.</w:t>
      </w:r>
    </w:p>
    <w:p/>
    <w:tbl>
      <w:tblPr>
        <w:tblStyle w:val="TableGrid"/>
        <w:tblW w:type="auto" w:w="0"/>
        <w:tblLook w:firstColumn="1" w:firstRow="1" w:lastColumn="0" w:lastRow="0" w:noHBand="0" w:noVBand="1" w:val="04A0"/>
      </w:tblPr>
      <w:tblGrid>
        <w:gridCol w:w="9066"/>
      </w:tblGrid>
      <w:tr>
        <w:tc>
          <w:tcPr>
            <w:tcW w:type="dxa" w:w="9066"/>
            <w:shd w:val="clear" w:color="auto" w:fill="055a8d"/>
          </w:tcPr>
          <w:p>
            <w:pPr>
              <w:spacing w:before="120" w:after="120"/>
            </w:pPr>
            <w:r>
              <w:rPr>
                <w:rFonts w:ascii="Calibri" w:hAnsi="Calibri"/>
                <w:b/>
                <w:color w:val="99BBDD"/>
                <w:sz w:val="22"/>
              </w:rPr>
              <w:t xml:space="preserve">  01  </w:t>
            </w:r>
            <w:r>
              <w:rPr>
                <w:rFonts w:ascii="Calibri" w:hAnsi="Calibri"/>
                <w:b/>
                <w:color w:val="FFFFFF"/>
                <w:sz w:val="25"/>
              </w:rPr>
              <w:t>Die Philosophie: Vertrauen vor dem Kauf</w:t>
            </w:r>
          </w:p>
        </w:tc>
      </w:tr>
    </w:tbl>
    <w:tbl>
      <w:tblPr>
        <w:tblStyle w:val="TableGrid"/>
        <w:tblW w:type="auto" w:w="0"/>
        <w:tblLook w:firstColumn="1" w:firstRow="1" w:lastColumn="0" w:lastRow="0" w:noHBand="0" w:noVBand="1" w:val="04A0"/>
      </w:tblPr>
      <w:tblGrid>
        <w:gridCol w:w="9066"/>
      </w:tblGrid>
      <w:tr>
        <w:tc>
          <w:tcPr>
            <w:tcW w:type="dxa" w:w="9066"/>
            <w:shd w:val="clear" w:color="auto" w:fill="F5FAFD"/>
            <w:tcBorders>
              <w:top w:val="none" w:sz="4" w:space="0" w:color="auto"/>
              <w:left w:val="single" w:sz="4" w:space="0" w:color="055a8d"/>
              <w:bottom w:val="single" w:sz="4" w:space="0" w:color="CCDDEE"/>
              <w:right w:val="single" w:sz="4" w:space="0" w:color="CCDDEE"/>
            </w:tcBorders>
          </w:tcPr>
          <w:p/>
          <w:p>
            <w:pPr>
              <w:spacing w:after="60"/>
            </w:pPr>
            <w:r>
              <w:rPr>
                <w:rFonts w:ascii="Calibri" w:hAnsi="Calibri"/>
                <w:b/>
                <w:color w:val="055A8D"/>
                <w:sz w:val="20"/>
              </w:rPr>
              <w:t xml:space="preserve">  →  </w:t>
            </w:r>
            <w:r>
              <w:rPr>
                <w:rFonts w:ascii="Calibri" w:hAnsi="Calibri"/>
                <w:sz w:val="20"/>
              </w:rPr>
              <w:t>Niemand verkauft nächste Woche sein Haus — niemand sucht heute einen Investor</w:t>
            </w:r>
          </w:p>
          <w:p>
            <w:pPr>
              <w:spacing w:before="40" w:after="60"/>
            </w:pPr>
            <w:r>
              <w:rPr>
                <w:rFonts w:ascii="Calibri" w:hAnsi="Calibri"/>
                <w:b/>
                <w:color w:val="055A8D"/>
                <w:sz w:val="20"/>
              </w:rPr>
              <w:t xml:space="preserve">  →  </w:t>
            </w:r>
            <w:r>
              <w:rPr>
                <w:rFonts w:ascii="Calibri" w:hAnsi="Calibri"/>
                <w:sz w:val="20"/>
              </w:rPr>
              <w:t>Aber wenn dieser Moment kommt: Belle Immo soll bereits bekannt und vertraut sein</w:t>
            </w:r>
          </w:p>
          <w:p>
            <w:pPr>
              <w:spacing w:before="40" w:after="60"/>
            </w:pPr>
            <w:r>
              <w:rPr>
                <w:rFonts w:ascii="Calibri" w:hAnsi="Calibri"/>
                <w:b/>
                <w:color w:val="055A8D"/>
                <w:sz w:val="20"/>
              </w:rPr>
              <w:t xml:space="preserve">  →  </w:t>
            </w:r>
            <w:r>
              <w:rPr>
                <w:rFonts w:ascii="Calibri" w:hAnsi="Calibri"/>
                <w:sz w:val="20"/>
              </w:rPr>
              <w:t>Wir bauen kein Marketing — wir bauen Vertrauen vor dem Kauf</w:t>
            </w:r>
          </w:p>
          <w:p>
            <w:pPr>
              <w:spacing w:before="40" w:after="60"/>
            </w:pPr>
            <w:r>
              <w:rPr>
                <w:rFonts w:ascii="Calibri" w:hAnsi="Calibri"/>
                <w:b/>
                <w:color w:val="055A8D"/>
                <w:sz w:val="20"/>
              </w:rPr>
              <w:t xml:space="preserve">  →  </w:t>
            </w:r>
            <w:r>
              <w:rPr>
                <w:rFonts w:ascii="Calibri" w:hAnsi="Calibri"/>
                <w:sz w:val="20"/>
              </w:rPr>
              <w:t>Das ist der Unterschied zu klassischer Social-Media-Arbeit</w:t>
            </w:r>
          </w:p>
          <w:p>
            <w:pPr>
              <w:spacing w:before="40" w:after="60"/>
            </w:pPr>
            <w:r>
              <w:rPr>
                <w:rFonts w:ascii="Calibri" w:hAnsi="Calibri"/>
                <w:b/>
                <w:color w:val="055A8D"/>
                <w:sz w:val="20"/>
              </w:rPr>
              <w:t xml:space="preserve">  →  </w:t>
            </w:r>
            <w:r>
              <w:rPr>
                <w:rFonts w:ascii="Calibri" w:hAnsi="Calibri"/>
                <w:sz w:val="20"/>
              </w:rPr>
              <w:t>Langfristige Markenverankerung statt kurzfristige Aufmerksamkeit</w:t>
            </w:r>
          </w:p>
        </w:tc>
      </w:tr>
    </w:tbl>
    <w:p>
      <w:pPr>
        <w:spacing w:after="120"/>
      </w:pPr>
    </w:p>
    <w:tbl>
      <w:tblPr>
        <w:tblStyle w:val="TableGrid"/>
        <w:tblW w:type="auto" w:w="0"/>
        <w:tblLook w:firstColumn="1" w:firstRow="1" w:lastColumn="0" w:lastRow="0" w:noHBand="0" w:noVBand="1" w:val="04A0"/>
      </w:tblPr>
      <w:tblGrid>
        <w:gridCol w:w="9066"/>
      </w:tblGrid>
      <w:tr>
        <w:tc>
          <w:tcPr>
            <w:tcW w:type="dxa" w:w="9066"/>
            <w:shd w:val="clear" w:color="auto" w:fill="055a8d"/>
          </w:tcPr>
          <w:p>
            <w:pPr>
              <w:spacing w:before="120" w:after="120"/>
            </w:pPr>
            <w:r>
              <w:rPr>
                <w:rFonts w:ascii="Calibri" w:hAnsi="Calibri"/>
                <w:b/>
                <w:color w:val="99BBDD"/>
                <w:sz w:val="22"/>
              </w:rPr>
              <w:t xml:space="preserve">  02  </w:t>
            </w:r>
            <w:r>
              <w:rPr>
                <w:rFonts w:ascii="Calibri" w:hAnsi="Calibri"/>
                <w:b/>
                <w:color w:val="FFFFFF"/>
                <w:sz w:val="25"/>
              </w:rPr>
              <w:t>Ausgangslage</w:t>
            </w:r>
          </w:p>
        </w:tc>
      </w:tr>
    </w:tbl>
    <w:tbl>
      <w:tblPr>
        <w:tblStyle w:val="TableGrid"/>
        <w:tblW w:type="auto" w:w="0"/>
        <w:tblLook w:firstColumn="1" w:firstRow="1" w:lastColumn="0" w:lastRow="0" w:noHBand="0" w:noVBand="1" w:val="04A0"/>
      </w:tblPr>
      <w:tblGrid>
        <w:gridCol w:w="9066"/>
      </w:tblGrid>
      <w:tr>
        <w:tc>
          <w:tcPr>
            <w:tcW w:type="dxa" w:w="9066"/>
            <w:shd w:val="clear" w:color="auto" w:fill="F5FAFD"/>
            <w:tcBorders>
              <w:top w:val="none" w:sz="4" w:space="0" w:color="auto"/>
              <w:left w:val="single" w:sz="4" w:space="0" w:color="055a8d"/>
              <w:bottom w:val="single" w:sz="4" w:space="0" w:color="CCDDEE"/>
              <w:right w:val="single" w:sz="4" w:space="0" w:color="CCDDEE"/>
            </w:tcBorders>
          </w:tcPr>
          <w:p/>
          <w:p>
            <w:pPr>
              <w:spacing w:after="60"/>
            </w:pPr>
            <w:r>
              <w:rPr>
                <w:rFonts w:ascii="Calibri" w:hAnsi="Calibri"/>
                <w:b/>
                <w:color w:val="055A8D"/>
                <w:sz w:val="20"/>
              </w:rPr>
              <w:t xml:space="preserve">  →  </w:t>
            </w:r>
            <w:r>
              <w:rPr>
                <w:rFonts w:ascii="Calibri" w:hAnsi="Calibri"/>
                <w:sz w:val="20"/>
              </w:rPr>
              <w:t>Gemeinsam aufgebaut: LinkedIn-Präsenz, Content-Rhythmus, erste Kampagnen</w:t>
            </w:r>
          </w:p>
          <w:p>
            <w:pPr>
              <w:spacing w:before="40" w:after="60"/>
            </w:pPr>
            <w:r>
              <w:rPr>
                <w:rFonts w:ascii="Calibri" w:hAnsi="Calibri"/>
                <w:b/>
                <w:color w:val="055A8D"/>
                <w:sz w:val="20"/>
              </w:rPr>
              <w:t xml:space="preserve">  →  </w:t>
            </w:r>
            <w:r>
              <w:rPr>
                <w:rFonts w:ascii="Calibri" w:hAnsi="Calibri"/>
                <w:sz w:val="20"/>
              </w:rPr>
              <w:t>Personal Branding paused — läuft jetzt wieder an: Upgrade, kein Neustart</w:t>
            </w:r>
          </w:p>
          <w:p>
            <w:pPr>
              <w:spacing w:before="40" w:after="60"/>
            </w:pPr>
            <w:r>
              <w:rPr>
                <w:rFonts w:ascii="Calibri" w:hAnsi="Calibri"/>
                <w:b/>
                <w:color w:val="055A8D"/>
                <w:sz w:val="20"/>
              </w:rPr>
              <w:t xml:space="preserve">  →  </w:t>
            </w:r>
            <w:r>
              <w:rPr>
                <w:rFonts w:ascii="Calibri" w:hAnsi="Calibri"/>
                <w:sz w:val="20"/>
              </w:rPr>
              <w:t>Content-Qualität top (ER 31–45%), aber Wachstum stagniert</w:t>
            </w:r>
          </w:p>
          <w:p>
            <w:pPr>
              <w:spacing w:before="40" w:after="60"/>
            </w:pPr>
            <w:r>
              <w:rPr>
                <w:rFonts w:ascii="Calibri" w:hAnsi="Calibri"/>
                <w:b/>
                <w:color w:val="055A8D"/>
                <w:sz w:val="20"/>
              </w:rPr>
              <w:t xml:space="preserve">  →  </w:t>
            </w:r>
            <w:r>
              <w:rPr>
                <w:rFonts w:ascii="Calibri" w:hAnsi="Calibri"/>
                <w:sz w:val="20"/>
              </w:rPr>
              <w:t>3 von 4 strategischen Zielen kaum bespielt (Land: 0 Posts)</w:t>
            </w:r>
          </w:p>
          <w:p>
            <w:pPr>
              <w:spacing w:before="40" w:after="60"/>
            </w:pPr>
            <w:r>
              <w:rPr>
                <w:rFonts w:ascii="Calibri" w:hAnsi="Calibri"/>
                <w:b/>
                <w:color w:val="055A8D"/>
                <w:sz w:val="20"/>
              </w:rPr>
              <w:t xml:space="preserve">  →  </w:t>
            </w:r>
            <w:r>
              <w:rPr>
                <w:rFonts w:ascii="Calibri" w:hAnsi="Calibri"/>
                <w:sz w:val="20"/>
              </w:rPr>
              <w:t>Von «einfach posten» → verzahntes Kommunikationssystem</w:t>
            </w:r>
          </w:p>
        </w:tc>
      </w:tr>
    </w:tbl>
    <w:p>
      <w:pPr>
        <w:spacing w:after="120"/>
      </w:pPr>
    </w:p>
    <w:tbl>
      <w:tblPr>
        <w:tblStyle w:val="TableGrid"/>
        <w:tblW w:type="auto" w:w="0"/>
        <w:tblLook w:firstColumn="1" w:firstRow="1" w:lastColumn="0" w:lastRow="0" w:noHBand="0" w:noVBand="1" w:val="04A0"/>
      </w:tblPr>
      <w:tblGrid>
        <w:gridCol w:w="9066"/>
      </w:tblGrid>
      <w:tr>
        <w:tc>
          <w:tcPr>
            <w:tcW w:type="dxa" w:w="9066"/>
            <w:shd w:val="clear" w:color="auto" w:fill="055a8d"/>
          </w:tcPr>
          <w:p>
            <w:pPr>
              <w:spacing w:before="120" w:after="120"/>
            </w:pPr>
            <w:r>
              <w:rPr>
                <w:rFonts w:ascii="Calibri" w:hAnsi="Calibri"/>
                <w:b/>
                <w:color w:val="99BBDD"/>
                <w:sz w:val="22"/>
              </w:rPr>
              <w:t xml:space="preserve">  03  </w:t>
            </w:r>
            <w:r>
              <w:rPr>
                <w:rFonts w:ascii="Calibri" w:hAnsi="Calibri"/>
                <w:b/>
                <w:color w:val="FFFFFF"/>
                <w:sz w:val="25"/>
              </w:rPr>
              <w:t>Das Ziel: Die erste Adresse der Region</w:t>
            </w:r>
          </w:p>
        </w:tc>
      </w:tr>
    </w:tbl>
    <w:tbl>
      <w:tblPr>
        <w:tblStyle w:val="TableGrid"/>
        <w:tblW w:type="auto" w:w="0"/>
        <w:tblLook w:firstColumn="1" w:firstRow="1" w:lastColumn="0" w:lastRow="0" w:noHBand="0" w:noVBand="1" w:val="04A0"/>
      </w:tblPr>
      <w:tblGrid>
        <w:gridCol w:w="9066"/>
      </w:tblGrid>
      <w:tr>
        <w:tc>
          <w:tcPr>
            <w:tcW w:type="dxa" w:w="9066"/>
            <w:shd w:val="clear" w:color="auto" w:fill="F5FAFD"/>
            <w:tcBorders>
              <w:top w:val="none" w:sz="4" w:space="0" w:color="auto"/>
              <w:left w:val="single" w:sz="4" w:space="0" w:color="055a8d"/>
              <w:bottom w:val="single" w:sz="4" w:space="0" w:color="CCDDEE"/>
              <w:right w:val="single" w:sz="4" w:space="0" w:color="CCDDEE"/>
            </w:tcBorders>
          </w:tcPr>
          <w:p/>
          <w:p>
            <w:pPr>
              <w:spacing w:after="60"/>
            </w:pPr>
            <w:r>
              <w:rPr>
                <w:rFonts w:ascii="Calibri" w:hAnsi="Calibri"/>
                <w:b/>
                <w:color w:val="055A8D"/>
                <w:sz w:val="20"/>
              </w:rPr>
              <w:t xml:space="preserve">  →  </w:t>
            </w:r>
            <w:r>
              <w:rPr>
                <w:rFonts w:ascii="Calibri" w:hAnsi="Calibri"/>
                <w:sz w:val="20"/>
              </w:rPr>
              <w:t>Belle Immo wird die erste Adresse für Immobilienfragen im Umkreis 10–20 km</w:t>
            </w:r>
          </w:p>
          <w:p>
            <w:pPr>
              <w:spacing w:before="40" w:after="60"/>
            </w:pPr>
            <w:r>
              <w:rPr>
                <w:rFonts w:ascii="Calibri" w:hAnsi="Calibri"/>
                <w:b/>
                <w:color w:val="055A8D"/>
                <w:sz w:val="20"/>
              </w:rPr>
              <w:t xml:space="preserve">  →  </w:t>
            </w:r>
            <w:r>
              <w:rPr>
                <w:rFonts w:ascii="Calibri" w:hAnsi="Calibri"/>
                <w:sz w:val="20"/>
              </w:rPr>
              <w:t>Personal Branding Roger reaktivieren — mit System, nicht spontan</w:t>
            </w:r>
          </w:p>
          <w:p>
            <w:pPr>
              <w:spacing w:before="40" w:after="60"/>
            </w:pPr>
            <w:r>
              <w:rPr>
                <w:rFonts w:ascii="Calibri" w:hAnsi="Calibri"/>
                <w:b/>
                <w:color w:val="055A8D"/>
                <w:sz w:val="20"/>
              </w:rPr>
              <w:t xml:space="preserve">  →  </w:t>
            </w:r>
            <w:r>
              <w:rPr>
                <w:rFonts w:ascii="Calibri" w:hAnsi="Calibri"/>
                <w:sz w:val="20"/>
              </w:rPr>
              <w:t>Community Management: Roger 1×/Woche start, Ziel mehrere/Woche</w:t>
            </w:r>
          </w:p>
          <w:p>
            <w:pPr>
              <w:spacing w:before="40" w:after="60"/>
            </w:pPr>
            <w:r>
              <w:rPr>
                <w:rFonts w:ascii="Calibri" w:hAnsi="Calibri"/>
                <w:b/>
                <w:color w:val="055A8D"/>
                <w:sz w:val="20"/>
              </w:rPr>
              <w:t xml:space="preserve">  →  </w:t>
            </w:r>
            <w:r>
              <w:rPr>
                <w:rFonts w:ascii="Calibri" w:hAnsi="Calibri"/>
                <w:sz w:val="20"/>
              </w:rPr>
              <w:t>Newsletter als eigener, algorithmenunabhängiger Kanal</w:t>
            </w:r>
          </w:p>
          <w:p>
            <w:pPr>
              <w:spacing w:before="40" w:after="60"/>
            </w:pPr>
            <w:r>
              <w:rPr>
                <w:rFonts w:ascii="Calibri" w:hAnsi="Calibri"/>
                <w:b/>
                <w:color w:val="055A8D"/>
                <w:sz w:val="20"/>
              </w:rPr>
              <w:t xml:space="preserve">  →  </w:t>
            </w:r>
            <w:r>
              <w:rPr>
                <w:rFonts w:ascii="Calibri" w:hAnsi="Calibri"/>
                <w:sz w:val="20"/>
              </w:rPr>
              <w:t>Top-of-Mind über Jahre — nicht schnelle Conversions</w:t>
            </w:r>
          </w:p>
        </w:tc>
      </w:tr>
    </w:tbl>
    <w:p>
      <w:pPr>
        <w:spacing w:after="120"/>
      </w:pPr>
    </w:p>
    <w:tbl>
      <w:tblPr>
        <w:tblStyle w:val="TableGrid"/>
        <w:tblW w:type="auto" w:w="0"/>
        <w:tblLook w:firstColumn="1" w:firstRow="1" w:lastColumn="0" w:lastRow="0" w:noHBand="0" w:noVBand="1" w:val="04A0"/>
      </w:tblPr>
      <w:tblGrid>
        <w:gridCol w:w="9066"/>
      </w:tblGrid>
      <w:tr>
        <w:tc>
          <w:tcPr>
            <w:tcW w:type="dxa" w:w="9066"/>
            <w:shd w:val="clear" w:color="auto" w:fill="055a8d"/>
          </w:tcPr>
          <w:p>
            <w:pPr>
              <w:spacing w:before="120" w:after="120"/>
            </w:pPr>
            <w:r>
              <w:rPr>
                <w:rFonts w:ascii="Calibri" w:hAnsi="Calibri"/>
                <w:b/>
                <w:color w:val="99BBDD"/>
                <w:sz w:val="22"/>
              </w:rPr>
              <w:t xml:space="preserve">  04  </w:t>
            </w:r>
            <w:r>
              <w:rPr>
                <w:rFonts w:ascii="Calibri" w:hAnsi="Calibri"/>
                <w:b/>
                <w:color w:val="FFFFFF"/>
                <w:sz w:val="25"/>
              </w:rPr>
              <w:t>Das Ökosystem — ein System, nicht fünf Massnahmen</w:t>
            </w:r>
          </w:p>
        </w:tc>
      </w:tr>
    </w:tbl>
    <w:tbl>
      <w:tblPr>
        <w:tblStyle w:val="TableGrid"/>
        <w:tblW w:type="auto" w:w="0"/>
        <w:tblLook w:firstColumn="1" w:firstRow="1" w:lastColumn="0" w:lastRow="0" w:noHBand="0" w:noVBand="1" w:val="04A0"/>
      </w:tblPr>
      <w:tblGrid>
        <w:gridCol w:w="9066"/>
      </w:tblGrid>
      <w:tr>
        <w:tc>
          <w:tcPr>
            <w:tcW w:type="dxa" w:w="9066"/>
            <w:shd w:val="clear" w:color="auto" w:fill="F5FAFD"/>
            <w:tcBorders>
              <w:top w:val="none" w:sz="4" w:space="0" w:color="auto"/>
              <w:left w:val="single" w:sz="4" w:space="0" w:color="055a8d"/>
              <w:bottom w:val="single" w:sz="4" w:space="0" w:color="CCDDEE"/>
              <w:right w:val="single" w:sz="4" w:space="0" w:color="CCDDEE"/>
            </w:tcBorders>
          </w:tcPr>
          <w:p/>
          <w:p>
            <w:pPr>
              <w:spacing w:after="60"/>
            </w:pPr>
            <w:r>
              <w:rPr>
                <w:rFonts w:ascii="Calibri" w:hAnsi="Calibri"/>
                <w:b/>
                <w:color w:val="055A8D"/>
                <w:sz w:val="20"/>
              </w:rPr>
              <w:t xml:space="preserve">  →  </w:t>
            </w:r>
            <w:r>
              <w:rPr>
                <w:rFonts w:ascii="Calibri" w:hAnsi="Calibri"/>
                <w:sz w:val="20"/>
              </w:rPr>
              <w:t>Print → LinkedIn → Newsletter: ein Inhalt, dreifache Wirkung</w:t>
            </w:r>
          </w:p>
          <w:p>
            <w:pPr>
              <w:spacing w:before="40" w:after="60"/>
            </w:pPr>
            <w:r>
              <w:rPr>
                <w:rFonts w:ascii="Calibri" w:hAnsi="Calibri"/>
                <w:b/>
                <w:color w:val="055A8D"/>
                <w:sz w:val="20"/>
              </w:rPr>
              <w:t xml:space="preserve">  →  </w:t>
            </w:r>
            <w:r>
              <w:rPr>
                <w:rFonts w:ascii="Calibri" w:hAnsi="Calibri"/>
                <w:sz w:val="20"/>
              </w:rPr>
              <w:t>Instagram → Kampagnen → Website: Schaufenster, Funnel, Konversion</w:t>
            </w:r>
          </w:p>
          <w:p>
            <w:pPr>
              <w:spacing w:before="40" w:after="60"/>
            </w:pPr>
            <w:r>
              <w:rPr>
                <w:rFonts w:ascii="Calibri" w:hAnsi="Calibri"/>
                <w:b/>
                <w:color w:val="055A8D"/>
                <w:sz w:val="20"/>
              </w:rPr>
              <w:t xml:space="preserve">  →  </w:t>
            </w:r>
            <w:r>
              <w:rPr>
                <w:rFonts w:ascii="Calibri" w:hAnsi="Calibri"/>
                <w:sz w:val="20"/>
              </w:rPr>
              <w:t>Jeder Kanal mit klar definierter Aufgabe im Gesamtsystem</w:t>
            </w:r>
          </w:p>
          <w:p>
            <w:pPr>
              <w:spacing w:before="40" w:after="60"/>
            </w:pPr>
            <w:r>
              <w:rPr>
                <w:rFonts w:ascii="Calibri" w:hAnsi="Calibri"/>
                <w:b/>
                <w:color w:val="055A8D"/>
                <w:sz w:val="20"/>
              </w:rPr>
              <w:t xml:space="preserve">  →  </w:t>
            </w:r>
            <w:r>
              <w:rPr>
                <w:rFonts w:ascii="Calibri" w:hAnsi="Calibri"/>
                <w:sz w:val="20"/>
              </w:rPr>
              <w:t>Mournival orchestriert — Pam koordiniert — Roger ist das Gesicht</w:t>
            </w:r>
          </w:p>
          <w:p>
            <w:pPr>
              <w:spacing w:before="40" w:after="60"/>
            </w:pPr>
            <w:r>
              <w:rPr>
                <w:rFonts w:ascii="Calibri" w:hAnsi="Calibri"/>
                <w:b/>
                <w:color w:val="055A8D"/>
                <w:sz w:val="20"/>
              </w:rPr>
              <w:t xml:space="preserve">  →  </w:t>
            </w:r>
            <w:r>
              <w:rPr>
                <w:rFonts w:ascii="Calibri" w:hAnsi="Calibri"/>
                <w:sz w:val="20"/>
              </w:rPr>
              <w:t>Das ist der Unterschied zu klassischer Social-Media-Agentur</w:t>
            </w:r>
          </w:p>
        </w:tc>
      </w:tr>
    </w:tbl>
    <w:p>
      <w:pPr>
        <w:spacing w:after="120"/>
      </w:pPr>
    </w:p>
    <w:tbl>
      <w:tblPr>
        <w:tblStyle w:val="TableGrid"/>
        <w:tblW w:type="auto" w:w="0"/>
        <w:tblLook w:firstColumn="1" w:firstRow="1" w:lastColumn="0" w:lastRow="0" w:noHBand="0" w:noVBand="1" w:val="04A0"/>
      </w:tblPr>
      <w:tblGrid>
        <w:gridCol w:w="9066"/>
      </w:tblGrid>
      <w:tr>
        <w:tc>
          <w:tcPr>
            <w:tcW w:type="dxa" w:w="9066"/>
            <w:shd w:val="clear" w:color="auto" w:fill="055a8d"/>
          </w:tcPr>
          <w:p>
            <w:pPr>
              <w:spacing w:before="120" w:after="120"/>
            </w:pPr>
            <w:r>
              <w:rPr>
                <w:rFonts w:ascii="Calibri" w:hAnsi="Calibri"/>
                <w:b/>
                <w:color w:val="99BBDD"/>
                <w:sz w:val="22"/>
              </w:rPr>
              <w:t xml:space="preserve">  05  </w:t>
            </w:r>
            <w:r>
              <w:rPr>
                <w:rFonts w:ascii="Calibri" w:hAnsi="Calibri"/>
                <w:b/>
                <w:color w:val="FFFFFF"/>
                <w:sz w:val="25"/>
              </w:rPr>
              <w:t>Der Funnel</w:t>
            </w:r>
          </w:p>
        </w:tc>
      </w:tr>
    </w:tbl>
    <w:tbl>
      <w:tblPr>
        <w:tblStyle w:val="TableGrid"/>
        <w:tblW w:type="auto" w:w="0"/>
        <w:tblLook w:firstColumn="1" w:firstRow="1" w:lastColumn="0" w:lastRow="0" w:noHBand="0" w:noVBand="1" w:val="04A0"/>
      </w:tblPr>
      <w:tblGrid>
        <w:gridCol w:w="9066"/>
      </w:tblGrid>
      <w:tr>
        <w:tc>
          <w:tcPr>
            <w:tcW w:type="dxa" w:w="9066"/>
            <w:shd w:val="clear" w:color="auto" w:fill="F5FAFD"/>
            <w:tcBorders>
              <w:top w:val="none" w:sz="4" w:space="0" w:color="auto"/>
              <w:left w:val="single" w:sz="4" w:space="0" w:color="055a8d"/>
              <w:bottom w:val="single" w:sz="4" w:space="0" w:color="CCDDEE"/>
              <w:right w:val="single" w:sz="4" w:space="0" w:color="CCDDEE"/>
            </w:tcBorders>
          </w:tcPr>
          <w:p/>
          <w:p>
            <w:pPr>
              <w:spacing w:after="60"/>
            </w:pPr>
            <w:r>
              <w:rPr>
                <w:rFonts w:ascii="Calibri" w:hAnsi="Calibri"/>
                <w:b/>
                <w:color w:val="055A8D"/>
                <w:sz w:val="20"/>
              </w:rPr>
              <w:t xml:space="preserve">  →  </w:t>
            </w:r>
            <w:r>
              <w:rPr>
                <w:rFonts w:ascii="Calibri" w:hAnsi="Calibri"/>
                <w:sz w:val="20"/>
              </w:rPr>
              <w:t>Awareness: Community Management, Kampagnen, Einladungen durch Alex</w:t>
            </w:r>
          </w:p>
          <w:p>
            <w:pPr>
              <w:spacing w:before="40" w:after="60"/>
            </w:pPr>
            <w:r>
              <w:rPr>
                <w:rFonts w:ascii="Calibri" w:hAnsi="Calibri"/>
                <w:b/>
                <w:color w:val="055A8D"/>
                <w:sz w:val="20"/>
              </w:rPr>
              <w:t xml:space="preserve">  →  </w:t>
            </w:r>
            <w:r>
              <w:rPr>
                <w:rFonts w:ascii="Calibri" w:hAnsi="Calibri"/>
                <w:sz w:val="20"/>
              </w:rPr>
              <w:t>Interesse: Mehrwert-Content, Objekte mit Zahlen, Roger als Fachstimme</w:t>
            </w:r>
          </w:p>
          <w:p>
            <w:pPr>
              <w:spacing w:before="40" w:after="60"/>
            </w:pPr>
            <w:r>
              <w:rPr>
                <w:rFonts w:ascii="Calibri" w:hAnsi="Calibri"/>
                <w:b/>
                <w:color w:val="055A8D"/>
                <w:sz w:val="20"/>
              </w:rPr>
              <w:t xml:space="preserve">  →  </w:t>
            </w:r>
            <w:r>
              <w:rPr>
                <w:rFonts w:ascii="Calibri" w:hAnsi="Calibri"/>
                <w:sz w:val="20"/>
              </w:rPr>
              <w:t>Bindung: Newsletter überbrückt die langen Immobilien-Entscheidungszyklen</w:t>
            </w:r>
          </w:p>
          <w:p>
            <w:pPr>
              <w:spacing w:before="40" w:after="60"/>
            </w:pPr>
            <w:r>
              <w:rPr>
                <w:rFonts w:ascii="Calibri" w:hAnsi="Calibri"/>
                <w:b/>
                <w:color w:val="055A8D"/>
                <w:sz w:val="20"/>
              </w:rPr>
              <w:t xml:space="preserve">  →  </w:t>
            </w:r>
            <w:r>
              <w:rPr>
                <w:rFonts w:ascii="Calibri" w:hAnsi="Calibri"/>
                <w:sz w:val="20"/>
              </w:rPr>
              <w:t>Empfehlung: Multiplikatoren leiten weiter → zurück in Awareness</w:t>
            </w:r>
          </w:p>
          <w:p>
            <w:pPr>
              <w:spacing w:before="40" w:after="60"/>
            </w:pPr>
            <w:r>
              <w:rPr>
                <w:rFonts w:ascii="Calibri" w:hAnsi="Calibri"/>
                <w:b/>
                <w:color w:val="055A8D"/>
                <w:sz w:val="20"/>
              </w:rPr>
              <w:t xml:space="preserve">  →  </w:t>
            </w:r>
            <w:r>
              <w:rPr>
                <w:rFonts w:ascii="Calibri" w:hAnsi="Calibri"/>
                <w:sz w:val="20"/>
              </w:rPr>
              <w:t>Beweis: erste Investor-Conversion aus laufender Kampagne</w:t>
            </w:r>
          </w:p>
        </w:tc>
      </w:tr>
    </w:tbl>
    <w:p>
      <w:pPr>
        <w:spacing w:after="120"/>
      </w:pPr>
    </w:p>
    <w:tbl>
      <w:tblPr>
        <w:tblStyle w:val="TableGrid"/>
        <w:tblW w:type="auto" w:w="0"/>
        <w:tblLook w:firstColumn="1" w:firstRow="1" w:lastColumn="0" w:lastRow="0" w:noHBand="0" w:noVBand="1" w:val="04A0"/>
      </w:tblPr>
      <w:tblGrid>
        <w:gridCol w:w="9066"/>
      </w:tblGrid>
      <w:tr>
        <w:tc>
          <w:tcPr>
            <w:tcW w:type="dxa" w:w="9066"/>
            <w:shd w:val="clear" w:color="auto" w:fill="055a8d"/>
          </w:tcPr>
          <w:p>
            <w:pPr>
              <w:spacing w:before="120" w:after="120"/>
            </w:pPr>
            <w:r>
              <w:rPr>
                <w:rFonts w:ascii="Calibri" w:hAnsi="Calibri"/>
                <w:b/>
                <w:color w:val="99BBDD"/>
                <w:sz w:val="22"/>
              </w:rPr>
              <w:t xml:space="preserve">  06  </w:t>
            </w:r>
            <w:r>
              <w:rPr>
                <w:rFonts w:ascii="Calibri" w:hAnsi="Calibri"/>
                <w:b/>
                <w:color w:val="FFFFFF"/>
                <w:sz w:val="25"/>
              </w:rPr>
              <w:t>Community Management — der Gamechanger</w:t>
            </w:r>
          </w:p>
        </w:tc>
      </w:tr>
    </w:tbl>
    <w:tbl>
      <w:tblPr>
        <w:tblStyle w:val="TableGrid"/>
        <w:tblW w:type="auto" w:w="0"/>
        <w:tblLook w:firstColumn="1" w:firstRow="1" w:lastColumn="0" w:lastRow="0" w:noHBand="0" w:noVBand="1" w:val="04A0"/>
      </w:tblPr>
      <w:tblGrid>
        <w:gridCol w:w="9066"/>
      </w:tblGrid>
      <w:tr>
        <w:tc>
          <w:tcPr>
            <w:tcW w:type="dxa" w:w="9066"/>
            <w:shd w:val="clear" w:color="auto" w:fill="F5FAFD"/>
            <w:tcBorders>
              <w:top w:val="none" w:sz="4" w:space="0" w:color="auto"/>
              <w:left w:val="single" w:sz="4" w:space="0" w:color="055a8d"/>
              <w:bottom w:val="single" w:sz="4" w:space="0" w:color="CCDDEE"/>
              <w:right w:val="single" w:sz="4" w:space="0" w:color="CCDDEE"/>
            </w:tcBorders>
          </w:tcPr>
          <w:p/>
          <w:p>
            <w:pPr>
              <w:spacing w:after="60"/>
            </w:pPr>
            <w:r>
              <w:rPr>
                <w:rFonts w:ascii="Calibri" w:hAnsi="Calibri"/>
                <w:b/>
                <w:color w:val="055A8D"/>
                <w:sz w:val="20"/>
              </w:rPr>
              <w:t xml:space="preserve">  →  </w:t>
            </w:r>
            <w:r>
              <w:rPr>
                <w:rFonts w:ascii="Calibri" w:hAnsi="Calibri"/>
                <w:sz w:val="20"/>
              </w:rPr>
              <w:t>DER Hebel bei 394 Followern: aktive Teilnahme an Gesprächen</w:t>
            </w:r>
          </w:p>
          <w:p>
            <w:pPr>
              <w:spacing w:before="40" w:after="60"/>
            </w:pPr>
            <w:r>
              <w:rPr>
                <w:rFonts w:ascii="Calibri" w:hAnsi="Calibri"/>
                <w:b/>
                <w:color w:val="055A8D"/>
                <w:sz w:val="20"/>
              </w:rPr>
              <w:t xml:space="preserve">  →  </w:t>
            </w:r>
            <w:r>
              <w:rPr>
                <w:rFonts w:ascii="Calibri" w:hAnsi="Calibri"/>
                <w:sz w:val="20"/>
              </w:rPr>
              <w:t>Roger kommentiert substanziell — nicht liken, sondern mitreden</w:t>
            </w:r>
          </w:p>
          <w:p>
            <w:pPr>
              <w:spacing w:before="40" w:after="60"/>
            </w:pPr>
            <w:r>
              <w:rPr>
                <w:rFonts w:ascii="Calibri" w:hAnsi="Calibri"/>
                <w:b/>
                <w:color w:val="055A8D"/>
                <w:sz w:val="20"/>
              </w:rPr>
              <w:t xml:space="preserve">  →  </w:t>
            </w:r>
            <w:r>
              <w:rPr>
                <w:rFonts w:ascii="Calibri" w:hAnsi="Calibri"/>
                <w:sz w:val="20"/>
              </w:rPr>
              <w:t>Start 1×/Woche, Ziel: schrittweise mehrere Interaktionen/Woche</w:t>
            </w:r>
          </w:p>
          <w:p>
            <w:pPr>
              <w:spacing w:before="40" w:after="60"/>
            </w:pPr>
            <w:r>
              <w:rPr>
                <w:rFonts w:ascii="Calibri" w:hAnsi="Calibri"/>
                <w:b/>
                <w:color w:val="055A8D"/>
                <w:sz w:val="20"/>
              </w:rPr>
              <w:t xml:space="preserve">  →  </w:t>
            </w:r>
            <w:r>
              <w:rPr>
                <w:rFonts w:ascii="Calibri" w:hAnsi="Calibri"/>
                <w:sz w:val="20"/>
              </w:rPr>
              <w:t>Mournival entwickelt Workflow: fertige Vorschläge, ein Klick Roger</w:t>
            </w:r>
          </w:p>
          <w:p>
            <w:pPr>
              <w:spacing w:before="40" w:after="60"/>
            </w:pPr>
            <w:r>
              <w:rPr>
                <w:rFonts w:ascii="Calibri" w:hAnsi="Calibri"/>
                <w:b/>
                <w:color w:val="055A8D"/>
                <w:sz w:val="20"/>
              </w:rPr>
              <w:t xml:space="preserve">  →  </w:t>
            </w:r>
            <w:r>
              <w:rPr>
                <w:rFonts w:ascii="Calibri" w:hAnsi="Calibri"/>
                <w:sz w:val="20"/>
              </w:rPr>
              <w:t>Alex lädt Rogers Kontakte zur Belle Immo Seite ein</w:t>
            </w:r>
          </w:p>
        </w:tc>
      </w:tr>
    </w:tbl>
    <w:p>
      <w:pPr>
        <w:spacing w:after="120"/>
      </w:pPr>
    </w:p>
    <w:tbl>
      <w:tblPr>
        <w:tblStyle w:val="TableGrid"/>
        <w:tblW w:type="auto" w:w="0"/>
        <w:tblLook w:firstColumn="1" w:firstRow="1" w:lastColumn="0" w:lastRow="0" w:noHBand="0" w:noVBand="1" w:val="04A0"/>
      </w:tblPr>
      <w:tblGrid>
        <w:gridCol w:w="9066"/>
      </w:tblGrid>
      <w:tr>
        <w:tc>
          <w:tcPr>
            <w:tcW w:type="dxa" w:w="9066"/>
            <w:shd w:val="clear" w:color="auto" w:fill="055a8d"/>
          </w:tcPr>
          <w:p>
            <w:pPr>
              <w:spacing w:before="120" w:after="120"/>
            </w:pPr>
            <w:r>
              <w:rPr>
                <w:rFonts w:ascii="Calibri" w:hAnsi="Calibri"/>
                <w:b/>
                <w:color w:val="99BBDD"/>
                <w:sz w:val="22"/>
              </w:rPr>
              <w:t xml:space="preserve">  07  </w:t>
            </w:r>
            <w:r>
              <w:rPr>
                <w:rFonts w:ascii="Calibri" w:hAnsi="Calibri"/>
                <w:b/>
                <w:color w:val="FFFFFF"/>
                <w:sz w:val="25"/>
              </w:rPr>
              <w:t>Newsletter — das Asset, das Belle Immo gehört</w:t>
            </w:r>
          </w:p>
        </w:tc>
      </w:tr>
    </w:tbl>
    <w:tbl>
      <w:tblPr>
        <w:tblStyle w:val="TableGrid"/>
        <w:tblW w:type="auto" w:w="0"/>
        <w:tblLook w:firstColumn="1" w:firstRow="1" w:lastColumn="0" w:lastRow="0" w:noHBand="0" w:noVBand="1" w:val="04A0"/>
      </w:tblPr>
      <w:tblGrid>
        <w:gridCol w:w="9066"/>
      </w:tblGrid>
      <w:tr>
        <w:tc>
          <w:tcPr>
            <w:tcW w:type="dxa" w:w="9066"/>
            <w:shd w:val="clear" w:color="auto" w:fill="F5FAFD"/>
            <w:tcBorders>
              <w:top w:val="none" w:sz="4" w:space="0" w:color="auto"/>
              <w:left w:val="single" w:sz="4" w:space="0" w:color="055a8d"/>
              <w:bottom w:val="single" w:sz="4" w:space="0" w:color="CCDDEE"/>
              <w:right w:val="single" w:sz="4" w:space="0" w:color="CCDDEE"/>
            </w:tcBorders>
          </w:tcPr>
          <w:p/>
          <w:p>
            <w:pPr>
              <w:spacing w:after="60"/>
            </w:pPr>
            <w:r>
              <w:rPr>
                <w:rFonts w:ascii="Calibri" w:hAnsi="Calibri"/>
                <w:b/>
                <w:color w:val="055A8D"/>
                <w:sz w:val="20"/>
              </w:rPr>
              <w:t xml:space="preserve">  →  </w:t>
            </w:r>
            <w:r>
              <w:rPr>
                <w:rFonts w:ascii="Calibri" w:hAnsi="Calibri"/>
                <w:sz w:val="20"/>
              </w:rPr>
              <w:t>Social Media gehört Meta. LinkedIn gehört Microsoft. Newsletter gehört Belle Immo.</w:t>
            </w:r>
          </w:p>
          <w:p>
            <w:pPr>
              <w:spacing w:before="40" w:after="60"/>
            </w:pPr>
            <w:r>
              <w:rPr>
                <w:rFonts w:ascii="Calibri" w:hAnsi="Calibri"/>
                <w:b/>
                <w:color w:val="055A8D"/>
                <w:sz w:val="20"/>
              </w:rPr>
              <w:t xml:space="preserve">  →  </w:t>
            </w:r>
            <w:r>
              <w:rPr>
                <w:rFonts w:ascii="Calibri" w:hAnsi="Calibri"/>
                <w:sz w:val="20"/>
              </w:rPr>
              <w:t>Eigene Community — unabhängig von Algorithmen und Plattformentscheiden</w:t>
            </w:r>
          </w:p>
          <w:p>
            <w:pPr>
              <w:spacing w:before="40" w:after="60"/>
            </w:pPr>
            <w:r>
              <w:rPr>
                <w:rFonts w:ascii="Calibri" w:hAnsi="Calibri"/>
                <w:b/>
                <w:color w:val="055A8D"/>
                <w:sz w:val="20"/>
              </w:rPr>
              <w:t xml:space="preserve">  →  </w:t>
            </w:r>
            <w:r>
              <w:rPr>
                <w:rFonts w:ascii="Calibri" w:hAnsi="Calibri"/>
                <w:sz w:val="20"/>
              </w:rPr>
              <w:t>Zwischenschritt zwischen Reichweite und Anfrage über lange Zyklen</w:t>
            </w:r>
          </w:p>
          <w:p>
            <w:pPr>
              <w:spacing w:before="40" w:after="60"/>
            </w:pPr>
            <w:r>
              <w:rPr>
                <w:rFonts w:ascii="Calibri" w:hAnsi="Calibri"/>
                <w:b/>
                <w:color w:val="055A8D"/>
                <w:sz w:val="20"/>
              </w:rPr>
              <w:t xml:space="preserve">  →  </w:t>
            </w:r>
            <w:r>
              <w:rPr>
                <w:rFonts w:ascii="Calibri" w:hAnsi="Calibri"/>
                <w:sz w:val="20"/>
              </w:rPr>
              <w:t>Content-Multiplikator: Newsletter → LinkedIn → Print</w:t>
            </w:r>
          </w:p>
          <w:p>
            <w:pPr>
              <w:spacing w:before="40" w:after="60"/>
            </w:pPr>
            <w:r>
              <w:rPr>
                <w:rFonts w:ascii="Calibri" w:hAnsi="Calibri"/>
                <w:b/>
                <w:color w:val="055A8D"/>
                <w:sz w:val="20"/>
              </w:rPr>
              <w:t xml:space="preserve">  →  </w:t>
            </w:r>
            <w:r>
              <w:rPr>
                <w:rFonts w:ascii="Calibri" w:hAnsi="Calibri"/>
                <w:sz w:val="20"/>
              </w:rPr>
              <w:t>Langfristig wertvollster Kanal im Gesamtsystem</w:t>
            </w:r>
          </w:p>
        </w:tc>
      </w:tr>
    </w:tbl>
    <w:p>
      <w:pPr>
        <w:spacing w:after="120"/>
      </w:pPr>
    </w:p>
    <w:tbl>
      <w:tblPr>
        <w:tblStyle w:val="TableGrid"/>
        <w:tblW w:type="auto" w:w="0"/>
        <w:tblLook w:firstColumn="1" w:firstRow="1" w:lastColumn="0" w:lastRow="0" w:noHBand="0" w:noVBand="1" w:val="04A0"/>
      </w:tblPr>
      <w:tblGrid>
        <w:gridCol w:w="9066"/>
      </w:tblGrid>
      <w:tr>
        <w:tc>
          <w:tcPr>
            <w:tcW w:type="dxa" w:w="9066"/>
            <w:shd w:val="clear" w:color="auto" w:fill="055a8d"/>
          </w:tcPr>
          <w:p>
            <w:pPr>
              <w:spacing w:before="120" w:after="120"/>
            </w:pPr>
            <w:r>
              <w:rPr>
                <w:rFonts w:ascii="Calibri" w:hAnsi="Calibri"/>
                <w:b/>
                <w:color w:val="99BBDD"/>
                <w:sz w:val="22"/>
              </w:rPr>
              <w:t xml:space="preserve">  08  </w:t>
            </w:r>
            <w:r>
              <w:rPr>
                <w:rFonts w:ascii="Calibri" w:hAnsi="Calibri"/>
                <w:b/>
                <w:color w:val="FFFFFF"/>
                <w:sz w:val="25"/>
              </w:rPr>
              <w:t>Nächste Schritte</w:t>
            </w:r>
          </w:p>
        </w:tc>
      </w:tr>
    </w:tbl>
    <w:tbl>
      <w:tblPr>
        <w:tblStyle w:val="TableGrid"/>
        <w:tblW w:type="auto" w:w="0"/>
        <w:tblLook w:firstColumn="1" w:firstRow="1" w:lastColumn="0" w:lastRow="0" w:noHBand="0" w:noVBand="1" w:val="04A0"/>
      </w:tblPr>
      <w:tblGrid>
        <w:gridCol w:w="9066"/>
      </w:tblGrid>
      <w:tr>
        <w:tc>
          <w:tcPr>
            <w:tcW w:type="dxa" w:w="9066"/>
            <w:shd w:val="clear" w:color="auto" w:fill="F5FAFD"/>
            <w:tcBorders>
              <w:top w:val="none" w:sz="4" w:space="0" w:color="auto"/>
              <w:left w:val="single" w:sz="4" w:space="0" w:color="055a8d"/>
              <w:bottom w:val="single" w:sz="4" w:space="0" w:color="CCDDEE"/>
              <w:right w:val="single" w:sz="4" w:space="0" w:color="CCDDEE"/>
            </w:tcBorders>
          </w:tcPr>
          <w:p/>
          <w:p>
            <w:pPr>
              <w:spacing w:after="60"/>
            </w:pPr>
            <w:r>
              <w:rPr>
                <w:rFonts w:ascii="Calibri" w:hAnsi="Calibri"/>
                <w:b/>
                <w:color w:val="055A8D"/>
                <w:sz w:val="20"/>
              </w:rPr>
              <w:t xml:space="preserve">  →  </w:t>
            </w:r>
            <w:r>
              <w:rPr>
                <w:rFonts w:ascii="Calibri" w:hAnsi="Calibri"/>
                <w:sz w:val="20"/>
              </w:rPr>
              <w:t>Community Management starten: Roger 1×/Woche, Alex lädt Kontakte ein</w:t>
            </w:r>
          </w:p>
          <w:p>
            <w:pPr>
              <w:spacing w:before="40" w:after="60"/>
            </w:pPr>
            <w:r>
              <w:rPr>
                <w:rFonts w:ascii="Calibri" w:hAnsi="Calibri"/>
                <w:b/>
                <w:color w:val="055A8D"/>
                <w:sz w:val="20"/>
              </w:rPr>
              <w:t xml:space="preserve">  →  </w:t>
            </w:r>
            <w:r>
              <w:rPr>
                <w:rFonts w:ascii="Calibri" w:hAnsi="Calibri"/>
                <w:sz w:val="20"/>
              </w:rPr>
              <w:t>Workflow aufsetzen: Mournival baut Prozess für minimalen Aufwand</w:t>
            </w:r>
          </w:p>
          <w:p>
            <w:pPr>
              <w:spacing w:before="40" w:after="60"/>
            </w:pPr>
            <w:r>
              <w:rPr>
                <w:rFonts w:ascii="Calibri" w:hAnsi="Calibri"/>
                <w:b/>
                <w:color w:val="055A8D"/>
                <w:sz w:val="20"/>
              </w:rPr>
              <w:t xml:space="preserve">  →  </w:t>
            </w:r>
            <w:r>
              <w:rPr>
                <w:rFonts w:ascii="Calibri" w:hAnsi="Calibri"/>
                <w:sz w:val="20"/>
              </w:rPr>
              <w:t>Content-Mix Q3 + Investor-Kampagne reviewen</w:t>
            </w:r>
          </w:p>
          <w:p>
            <w:pPr>
              <w:spacing w:before="40" w:after="60"/>
            </w:pPr>
            <w:r>
              <w:rPr>
                <w:rFonts w:ascii="Calibri" w:hAnsi="Calibri"/>
                <w:b/>
                <w:color w:val="055A8D"/>
                <w:sz w:val="20"/>
              </w:rPr>
              <w:t xml:space="preserve">  →  </w:t>
            </w:r>
            <w:r>
              <w:rPr>
                <w:rFonts w:ascii="Calibri" w:hAnsi="Calibri"/>
                <w:sz w:val="20"/>
              </w:rPr>
              <w:t>Newsletter konzipieren: Lead-Magnet und Tooling</w:t>
            </w:r>
          </w:p>
          <w:p>
            <w:pPr>
              <w:spacing w:before="40" w:after="60"/>
            </w:pPr>
            <w:r>
              <w:rPr>
                <w:rFonts w:ascii="Calibri" w:hAnsi="Calibri"/>
                <w:b/>
                <w:color w:val="055A8D"/>
                <w:sz w:val="20"/>
              </w:rPr>
              <w:t xml:space="preserve">  →  </w:t>
            </w:r>
            <w:r>
              <w:rPr>
                <w:rFonts w:ascii="Calibri" w:hAnsi="Calibri"/>
                <w:sz w:val="20"/>
              </w:rPr>
              <w:t>Fachartikel-Schiene: Erstgespräch Glattaler / IMMOBILIEN Business</w:t>
            </w:r>
          </w:p>
        </w:tc>
      </w:tr>
    </w:tbl>
    <w:p>
      <w:pPr>
        <w:spacing w:after="120"/>
      </w:pP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