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51290" w14:textId="77777777" w:rsidR="002B51D8" w:rsidRPr="00720D1F" w:rsidRDefault="00116C27" w:rsidP="00067EF1">
      <w:pPr>
        <w:jc w:val="both"/>
        <w:rPr>
          <w:b/>
        </w:rPr>
      </w:pPr>
      <w:r>
        <w:rPr>
          <w:b/>
        </w:rPr>
        <w:t>A comparison of modelled and observed wave spectra</w:t>
      </w:r>
      <w:r w:rsidR="004005CA" w:rsidRPr="00720D1F">
        <w:rPr>
          <w:b/>
        </w:rPr>
        <w:t xml:space="preserve"> during the High Wind Gas Exchange Study</w:t>
      </w:r>
    </w:p>
    <w:p w14:paraId="503610F4" w14:textId="77777777" w:rsidR="004005CA" w:rsidRPr="00720D1F" w:rsidRDefault="004005CA" w:rsidP="00067EF1">
      <w:pPr>
        <w:jc w:val="both"/>
      </w:pPr>
    </w:p>
    <w:p w14:paraId="4535372F" w14:textId="77777777" w:rsidR="004005CA" w:rsidRPr="00494E23" w:rsidRDefault="004005CA" w:rsidP="00067EF1">
      <w:pPr>
        <w:jc w:val="both"/>
      </w:pPr>
      <w:r w:rsidRPr="00720D1F">
        <w:t>Ian M. Brooks</w:t>
      </w:r>
      <w:r w:rsidR="008C1872" w:rsidRPr="00720D1F">
        <w:rPr>
          <w:vertAlign w:val="superscript"/>
        </w:rPr>
        <w:t>1</w:t>
      </w:r>
      <w:r w:rsidRPr="00720D1F">
        <w:t>, Sophia E. Brumer</w:t>
      </w:r>
      <w:r w:rsidR="008C1872" w:rsidRPr="00720D1F">
        <w:rPr>
          <w:vertAlign w:val="superscript"/>
        </w:rPr>
        <w:t>2</w:t>
      </w:r>
      <w:r w:rsidRPr="00720D1F">
        <w:t>, Christopher J. Zappa</w:t>
      </w:r>
      <w:r w:rsidR="008C1872" w:rsidRPr="00720D1F">
        <w:rPr>
          <w:vertAlign w:val="superscript"/>
        </w:rPr>
        <w:t>2</w:t>
      </w:r>
      <w:r w:rsidR="00315E87">
        <w:t xml:space="preserve">, </w:t>
      </w:r>
      <w:r w:rsidR="00487BC7" w:rsidRPr="00720D1F">
        <w:t>John Prytherch</w:t>
      </w:r>
      <w:r w:rsidR="00487BC7" w:rsidRPr="00720D1F">
        <w:rPr>
          <w:vertAlign w:val="superscript"/>
        </w:rPr>
        <w:t>1</w:t>
      </w:r>
      <w:r w:rsidR="00487BC7" w:rsidRPr="00720D1F">
        <w:t>,</w:t>
      </w:r>
      <w:r w:rsidR="008543D9">
        <w:t xml:space="preserve"> </w:t>
      </w:r>
      <w:r w:rsidR="00B45B10">
        <w:t>Robin W. Pascal</w:t>
      </w:r>
      <w:r w:rsidR="00F72ABF">
        <w:rPr>
          <w:vertAlign w:val="superscript"/>
        </w:rPr>
        <w:t>3</w:t>
      </w:r>
      <w:r w:rsidR="00B45B10">
        <w:t xml:space="preserve">, </w:t>
      </w:r>
      <w:r w:rsidR="008543D9">
        <w:t>H. Tamura</w:t>
      </w:r>
      <w:r w:rsidR="008543D9" w:rsidRPr="008543D9">
        <w:rPr>
          <w:vertAlign w:val="superscript"/>
        </w:rPr>
        <w:t>4</w:t>
      </w:r>
      <w:r w:rsidR="008543D9">
        <w:t xml:space="preserve">, </w:t>
      </w:r>
      <w:proofErr w:type="spellStart"/>
      <w:r w:rsidR="00494E23">
        <w:t>Ludovic</w:t>
      </w:r>
      <w:proofErr w:type="spellEnd"/>
      <w:r w:rsidR="00494E23">
        <w:t xml:space="preserve"> Bariteau</w:t>
      </w:r>
      <w:r w:rsidR="00494E23">
        <w:rPr>
          <w:vertAlign w:val="superscript"/>
        </w:rPr>
        <w:t>5</w:t>
      </w:r>
      <w:r w:rsidR="00494E23">
        <w:t xml:space="preserve">, </w:t>
      </w:r>
      <w:r w:rsidR="00315E87">
        <w:t>Byron Blomquist</w:t>
      </w:r>
      <w:r w:rsidR="007349BB">
        <w:rPr>
          <w:vertAlign w:val="superscript"/>
        </w:rPr>
        <w:t>5</w:t>
      </w:r>
      <w:r w:rsidR="00315E87">
        <w:t>, Christopher W. Fairall</w:t>
      </w:r>
      <w:r w:rsidR="007349BB">
        <w:rPr>
          <w:vertAlign w:val="superscript"/>
        </w:rPr>
        <w:t>5</w:t>
      </w:r>
    </w:p>
    <w:p w14:paraId="2592D80C" w14:textId="77777777" w:rsidR="004005CA" w:rsidRPr="00720D1F" w:rsidRDefault="004005CA" w:rsidP="00067EF1">
      <w:pPr>
        <w:jc w:val="both"/>
      </w:pPr>
    </w:p>
    <w:p w14:paraId="0D771343" w14:textId="77777777" w:rsidR="004005CA" w:rsidRPr="00720D1F" w:rsidRDefault="00582C16" w:rsidP="00067EF1">
      <w:pPr>
        <w:jc w:val="both"/>
      </w:pPr>
      <w:r w:rsidRPr="00720D1F">
        <w:rPr>
          <w:vertAlign w:val="superscript"/>
        </w:rPr>
        <w:t xml:space="preserve">1 </w:t>
      </w:r>
      <w:r w:rsidRPr="00720D1F">
        <w:t>School of Earth and Environment, University of Leeds, Leeds, UK</w:t>
      </w:r>
    </w:p>
    <w:p w14:paraId="2C2AAF15" w14:textId="77777777" w:rsidR="00582C16" w:rsidRDefault="00582C16" w:rsidP="00067EF1">
      <w:pPr>
        <w:jc w:val="both"/>
      </w:pPr>
      <w:r w:rsidRPr="00720D1F">
        <w:rPr>
          <w:vertAlign w:val="superscript"/>
        </w:rPr>
        <w:t xml:space="preserve">2 </w:t>
      </w:r>
      <w:r w:rsidRPr="00720D1F">
        <w:t>Lamont-Doherty Earth Observatory, Columbia University, New York, USA</w:t>
      </w:r>
    </w:p>
    <w:p w14:paraId="7C8B85E0" w14:textId="77777777" w:rsidR="00F72ABF" w:rsidRDefault="00F72ABF" w:rsidP="00067EF1">
      <w:pPr>
        <w:jc w:val="both"/>
      </w:pPr>
      <w:r>
        <w:rPr>
          <w:vertAlign w:val="superscript"/>
        </w:rPr>
        <w:t xml:space="preserve">3 </w:t>
      </w:r>
      <w:r>
        <w:t>National Oceanography Centre, Southampton, UK</w:t>
      </w:r>
    </w:p>
    <w:p w14:paraId="0F9BECFF" w14:textId="77777777" w:rsidR="00F72ABF" w:rsidRPr="007349BB" w:rsidRDefault="007349BB" w:rsidP="00067EF1">
      <w:pPr>
        <w:jc w:val="both"/>
      </w:pPr>
      <w:r>
        <w:rPr>
          <w:vertAlign w:val="superscript"/>
        </w:rPr>
        <w:t xml:space="preserve">4 </w:t>
      </w:r>
      <w:r w:rsidR="007E6E19" w:rsidRPr="004C1252">
        <w:rPr>
          <w:szCs w:val="24"/>
        </w:rPr>
        <w:t>Port and Airport Research Institute, Japan</w:t>
      </w:r>
    </w:p>
    <w:p w14:paraId="6BDFA79C" w14:textId="77777777" w:rsidR="00582C16" w:rsidRPr="007349BB" w:rsidRDefault="007349BB" w:rsidP="00067EF1">
      <w:pPr>
        <w:jc w:val="both"/>
      </w:pPr>
      <w:r>
        <w:rPr>
          <w:vertAlign w:val="superscript"/>
        </w:rPr>
        <w:t xml:space="preserve">5 </w:t>
      </w:r>
      <w:r w:rsidRPr="007349BB">
        <w:t>NOAA Earth System Research Laboratory, Boulder, Colorado, USA</w:t>
      </w:r>
    </w:p>
    <w:p w14:paraId="7E2DF59E" w14:textId="77777777" w:rsidR="007349BB" w:rsidRPr="00720D1F" w:rsidRDefault="007349BB" w:rsidP="00067EF1">
      <w:pPr>
        <w:jc w:val="both"/>
      </w:pPr>
    </w:p>
    <w:p w14:paraId="4434A89B" w14:textId="77777777" w:rsidR="008C1872" w:rsidRPr="00720D1F" w:rsidRDefault="008C1872" w:rsidP="00067EF1">
      <w:pPr>
        <w:jc w:val="both"/>
        <w:rPr>
          <w:b/>
        </w:rPr>
      </w:pPr>
      <w:r w:rsidRPr="00720D1F">
        <w:rPr>
          <w:b/>
        </w:rPr>
        <w:t>Abstract</w:t>
      </w:r>
    </w:p>
    <w:p w14:paraId="3335260A" w14:textId="77777777" w:rsidR="008C1872" w:rsidRPr="00720D1F" w:rsidRDefault="008C1872" w:rsidP="00067EF1">
      <w:pPr>
        <w:jc w:val="both"/>
      </w:pPr>
    </w:p>
    <w:p w14:paraId="19011E69" w14:textId="77777777" w:rsidR="008C1872" w:rsidRPr="00720D1F" w:rsidRDefault="008C1872" w:rsidP="00067EF1">
      <w:pPr>
        <w:jc w:val="both"/>
      </w:pPr>
    </w:p>
    <w:p w14:paraId="5AF84E47" w14:textId="77777777" w:rsidR="008C1872" w:rsidRPr="00720D1F" w:rsidRDefault="008C1872" w:rsidP="00067EF1">
      <w:pPr>
        <w:jc w:val="both"/>
      </w:pPr>
    </w:p>
    <w:p w14:paraId="02DFD31D" w14:textId="77777777" w:rsidR="008C1872" w:rsidRPr="00720D1F" w:rsidRDefault="008C1872" w:rsidP="00067EF1">
      <w:pPr>
        <w:jc w:val="both"/>
        <w:rPr>
          <w:b/>
        </w:rPr>
      </w:pPr>
      <w:r w:rsidRPr="00720D1F">
        <w:rPr>
          <w:b/>
        </w:rPr>
        <w:t>Introduction</w:t>
      </w:r>
    </w:p>
    <w:p w14:paraId="5FB2A06D" w14:textId="77777777" w:rsidR="008C1872" w:rsidRDefault="008C1872" w:rsidP="00067EF1">
      <w:pPr>
        <w:jc w:val="both"/>
      </w:pPr>
    </w:p>
    <w:p w14:paraId="62C16BD6" w14:textId="77777777" w:rsidR="00B77655" w:rsidRDefault="00D766E7" w:rsidP="00DB3F34">
      <w:pPr>
        <w:spacing w:after="120"/>
        <w:jc w:val="both"/>
      </w:pPr>
      <w:r>
        <w:t>Wind driven waves on the ocean surface mediate many interactions between the ocean and atmosphere. They act as roughness elements that control the surface drag and transfer of momentum from the wind to the ocean (</w:t>
      </w:r>
      <w:r w:rsidR="00471BC1">
        <w:t>Charnock, 1955</w:t>
      </w:r>
      <w:r>
        <w:t>); breaking waves generate sea spray aerosol from the bursting of bubbles (</w:t>
      </w:r>
      <w:r w:rsidR="004D57F4">
        <w:t xml:space="preserve">de </w:t>
      </w:r>
      <w:proofErr w:type="spellStart"/>
      <w:r w:rsidR="004D57F4">
        <w:t>Leeuw</w:t>
      </w:r>
      <w:proofErr w:type="spellEnd"/>
      <w:r w:rsidR="004D57F4">
        <w:t xml:space="preserve"> et al. 2011</w:t>
      </w:r>
      <w:r w:rsidR="00B77655">
        <w:t>)</w:t>
      </w:r>
      <w:r w:rsidR="004D57F4">
        <w:t xml:space="preserve"> providing</w:t>
      </w:r>
      <w:r>
        <w:t xml:space="preserve"> one of the largest sources of aerosol mass to the atmosphere; and gas transfer between these bubbles and the surrounding water in the upper ocean </w:t>
      </w:r>
      <w:r w:rsidR="008543D9">
        <w:t>is thought to be a major contribution</w:t>
      </w:r>
      <w:r>
        <w:t xml:space="preserve"> </w:t>
      </w:r>
      <w:r w:rsidR="008543D9">
        <w:t>to</w:t>
      </w:r>
      <w:r w:rsidR="001F2E09">
        <w:t xml:space="preserve"> gas</w:t>
      </w:r>
      <w:r>
        <w:t xml:space="preserve"> </w:t>
      </w:r>
      <w:r w:rsidR="001F2E09">
        <w:t>transfer</w:t>
      </w:r>
      <w:r>
        <w:t xml:space="preserve"> at high wind speeds </w:t>
      </w:r>
      <w:r w:rsidR="001F2E09">
        <w:t xml:space="preserve">for gases of low solubility </w:t>
      </w:r>
      <w:r>
        <w:t>(</w:t>
      </w:r>
      <w:proofErr w:type="spellStart"/>
      <w:r w:rsidR="004D57F4" w:rsidRPr="004D57F4">
        <w:t>Wanninkhof</w:t>
      </w:r>
      <w:proofErr w:type="spellEnd"/>
      <w:r w:rsidR="004D57F4" w:rsidRPr="004D57F4">
        <w:t xml:space="preserve"> et al. 2009</w:t>
      </w:r>
      <w:r>
        <w:t xml:space="preserve">). </w:t>
      </w:r>
    </w:p>
    <w:p w14:paraId="3152D359" w14:textId="77777777" w:rsidR="001F2E09" w:rsidRDefault="001F2E09" w:rsidP="00DB3F34">
      <w:pPr>
        <w:spacing w:after="120"/>
        <w:jc w:val="both"/>
      </w:pPr>
      <w:r>
        <w:t>Most parameterisations of the gas transfer velocity for</w:t>
      </w:r>
      <w:r w:rsidR="00D766E7" w:rsidRPr="001F2E09">
        <w:t xml:space="preserve"> have been formulated </w:t>
      </w:r>
      <w:r>
        <w:t xml:space="preserve">solely </w:t>
      </w:r>
      <w:r w:rsidR="00D766E7" w:rsidRPr="001F2E09">
        <w:t xml:space="preserve">in terms of wind speed; </w:t>
      </w:r>
      <w:r>
        <w:t xml:space="preserve">however, </w:t>
      </w:r>
      <w:r w:rsidR="00D766E7" w:rsidRPr="001F2E09">
        <w:t>observational studies</w:t>
      </w:r>
      <w:r>
        <w:t xml:space="preserve"> for CO</w:t>
      </w:r>
      <w:r>
        <w:rPr>
          <w:vertAlign w:val="subscript"/>
        </w:rPr>
        <w:t>2</w:t>
      </w:r>
      <w:r w:rsidR="00D766E7" w:rsidRPr="001F2E09">
        <w:t xml:space="preserve"> have found the wind speed dependence to vary roughly between quadratic and cubic, leading to very large uncertainties at high wind speeds.</w:t>
      </w:r>
      <w:r>
        <w:t xml:space="preserve"> The discrepancies between studies are widely assumed to result from differences in the bubble-mediated flux under different wind-wave regimes. Models of the bubble mediated contribution to the gas transfer velocity have been proposed using the surface whitecap fraction as a proxy for the bubbles (Asher et al. 2002, Woolf, 2005)</w:t>
      </w:r>
      <w:r w:rsidR="00022FCC">
        <w:t>; the Woolf (2005) model is incorporated within the NOAA COAREG 3.1 bulk air-sea flux algorithm (Fairall et al. 2011).</w:t>
      </w:r>
    </w:p>
    <w:p w14:paraId="5182D8AB" w14:textId="77777777" w:rsidR="001F2E09" w:rsidRDefault="001F2E09" w:rsidP="00DB3F34">
      <w:pPr>
        <w:spacing w:after="120"/>
        <w:jc w:val="both"/>
        <w:rPr>
          <w:strike/>
        </w:rPr>
      </w:pPr>
      <w:r>
        <w:t xml:space="preserve">Whitecaps have also generally been parameterised as functions of wind speed, 30 different functions spanning at least 2 orders of magnitude at any given wind speed are summarised by </w:t>
      </w:r>
      <w:proofErr w:type="spellStart"/>
      <w:r>
        <w:t>Angeulova</w:t>
      </w:r>
      <w:proofErr w:type="spellEnd"/>
      <w:r>
        <w:t xml:space="preserve"> and Webster (2006). The very wide variability between functions results in large part from differences in the methods used</w:t>
      </w:r>
      <w:r w:rsidR="004D3EE4">
        <w:t xml:space="preserve"> as well as different wind-wave regimes. A</w:t>
      </w:r>
      <w:r>
        <w:t xml:space="preserve">mong recent measurements there is substantially greater agreement; </w:t>
      </w:r>
      <w:proofErr w:type="gramStart"/>
      <w:r>
        <w:t>nevertheless</w:t>
      </w:r>
      <w:proofErr w:type="gramEnd"/>
      <w:r>
        <w:t xml:space="preserve"> wave state has been demonstrated</w:t>
      </w:r>
      <w:r w:rsidR="004D3EE4">
        <w:t xml:space="preserve"> to have a significant influence whitecap fraction</w:t>
      </w:r>
      <w:r>
        <w:t xml:space="preserve"> by a number of studies (</w:t>
      </w:r>
      <w:proofErr w:type="spellStart"/>
      <w:r w:rsidRPr="000718E9">
        <w:t>Stramska</w:t>
      </w:r>
      <w:proofErr w:type="spellEnd"/>
      <w:r w:rsidRPr="000718E9">
        <w:t xml:space="preserve"> and </w:t>
      </w:r>
      <w:proofErr w:type="spellStart"/>
      <w:r w:rsidRPr="000718E9">
        <w:t>Petelski</w:t>
      </w:r>
      <w:proofErr w:type="spellEnd"/>
      <w:r w:rsidRPr="000718E9">
        <w:t xml:space="preserve">, 2003; Sugihara et al. 2007; Lafon et al., 2007; Callaghan et al. 2008; </w:t>
      </w:r>
      <w:proofErr w:type="spellStart"/>
      <w:r w:rsidRPr="00DE5FFF">
        <w:t>Goddjin</w:t>
      </w:r>
      <w:proofErr w:type="spellEnd"/>
      <w:r w:rsidRPr="00DE5FFF">
        <w:t>-Murphy et al. 2011; Salisbury et al., 2013</w:t>
      </w:r>
      <w:r>
        <w:t>)</w:t>
      </w:r>
      <w:r w:rsidR="004D3EE4">
        <w:t>.</w:t>
      </w:r>
      <w:r w:rsidR="007C768D">
        <w:t xml:space="preserve"> Several studies have used a Reynolds number to account for the effects of both wind and waves on wave breaking and whitecaps (</w:t>
      </w:r>
      <w:r w:rsidR="007C768D" w:rsidRPr="00DE5FFF">
        <w:t>Toba and Koga, 1986; Zhao and Toba, 2001</w:t>
      </w:r>
      <w:r w:rsidR="007C768D">
        <w:t xml:space="preserve">; </w:t>
      </w:r>
      <w:proofErr w:type="spellStart"/>
      <w:r w:rsidR="007C768D">
        <w:t>Goddjin</w:t>
      </w:r>
      <w:proofErr w:type="spellEnd"/>
      <w:r w:rsidR="007C768D">
        <w:t xml:space="preserve">-Murphy et al. 2011); Recently </w:t>
      </w:r>
      <w:r w:rsidR="007C768D" w:rsidRPr="00DE5FFF">
        <w:t>Norris et al. (2013</w:t>
      </w:r>
      <w:r w:rsidR="007C768D">
        <w:t xml:space="preserve">) demonstrated that a Reynolds number accounted for up to twice the variance in direct measurements of the sea spray aerosol flux – generated by bubble bursting in whitecaps – as did wind speed alone. </w:t>
      </w:r>
      <w:commentRangeStart w:id="0"/>
      <w:proofErr w:type="spellStart"/>
      <w:r w:rsidR="007C768D">
        <w:t>Brumer</w:t>
      </w:r>
      <w:proofErr w:type="spellEnd"/>
      <w:r w:rsidR="007C768D">
        <w:t xml:space="preserve"> et al. (2017) found that use of a Reynolds number instead of wind speed alone, reconciled the gas transfer velocity measurements from two different field campaigns where the wind-speed functions differed substantially</w:t>
      </w:r>
      <w:commentRangeEnd w:id="0"/>
      <w:r w:rsidR="007C768D">
        <w:rPr>
          <w:rStyle w:val="CommentReference"/>
          <w:rFonts w:ascii="Arial" w:hAnsi="Arial" w:cs="Arial"/>
        </w:rPr>
        <w:commentReference w:id="0"/>
      </w:r>
      <w:r w:rsidR="007C768D">
        <w:t xml:space="preserve">. </w:t>
      </w:r>
    </w:p>
    <w:p w14:paraId="23BF0212" w14:textId="77777777" w:rsidR="007C768D" w:rsidRDefault="007C768D" w:rsidP="007C768D">
      <w:pPr>
        <w:spacing w:after="120"/>
        <w:jc w:val="both"/>
      </w:pPr>
      <w:r>
        <w:t xml:space="preserve">In spite of their importance to physical exchange processes, wave properties have rarely been measured </w:t>
      </w:r>
      <w:r>
        <w:lastRenderedPageBreak/>
        <w:t xml:space="preserve">during in situ studies of air-sea exchange. </w:t>
      </w:r>
      <w:r w:rsidR="007743A0">
        <w:t>The ideal is a direct measurement of the directional wave spectra, for example from a wave buoy. Wave radar provide retrievals of directional spectra, but do not directly measure the wave height, which must be inferred from relationships between spectral shape and wave height and can be in error under conditions where the underlying assumptions are invalid [</w:t>
      </w:r>
      <w:r w:rsidR="007743A0" w:rsidRPr="007743A0">
        <w:rPr>
          <w:highlight w:val="yellow"/>
        </w:rPr>
        <w:t>refs, more detail?</w:t>
      </w:r>
      <w:r w:rsidR="007743A0">
        <w:t xml:space="preserve">]. Direct measurements of one dimensional spectra can be obtained from ship-borne systems such as the Ship Borne Wave Recorder (Tucker and Pitt, 2001) or surface displacements measurements corrected for ship motion (Christensen et al. 2013; </w:t>
      </w:r>
      <w:proofErr w:type="spellStart"/>
      <w:r w:rsidR="007743A0">
        <w:t>Cifuentes-Lorenzen</w:t>
      </w:r>
      <w:proofErr w:type="spellEnd"/>
      <w:r w:rsidR="007743A0">
        <w:t xml:space="preserve"> et al. 2014); however, such measurements are generally only reliable when the ship is on station, suffering from both increased ship motion and Doppler shifting of the spectrum when the ship is underway. It is possible to attempt corrections for the Doppler shift (</w:t>
      </w:r>
      <w:proofErr w:type="spellStart"/>
      <w:r w:rsidR="007743A0">
        <w:t>Cifuentes-Lorenzen</w:t>
      </w:r>
      <w:proofErr w:type="spellEnd"/>
      <w:r w:rsidR="007743A0">
        <w:t xml:space="preserve"> et al. 2014), but this requires knowing the relative directions of the waves to the ship heading, information that is not directly available from the measurements. In the absence of in situ measurements, wave models provide a potential source of information on wave state, and the option of generating wave spectra for past field campaigns by forcing the wave model with archive reanalyses of the meteorological forcing conditions. Wave models also allow filling in periods when direct measurements are missing or unreliable.</w:t>
      </w:r>
      <w:r w:rsidR="00022FCC">
        <w:t xml:space="preserve"> In order to apply information from wave models to the analysis of air-sea exchange processes, we must have confidence in the validity of the modelled spectra.</w:t>
      </w:r>
    </w:p>
    <w:p w14:paraId="71BF403B" w14:textId="77777777" w:rsidR="00582C16" w:rsidRDefault="001609E6" w:rsidP="00DB3F34">
      <w:pPr>
        <w:spacing w:after="120"/>
        <w:jc w:val="both"/>
      </w:pPr>
      <w:r>
        <w:t>The High Wind Gas Exchange Study (</w:t>
      </w:r>
      <w:proofErr w:type="spellStart"/>
      <w:r>
        <w:t>HiWinGS</w:t>
      </w:r>
      <w:proofErr w:type="spellEnd"/>
      <w:r w:rsidR="0088636F">
        <w:t>, Yang et al. 2014</w:t>
      </w:r>
      <w:r w:rsidR="00AB0A7A">
        <w:t xml:space="preserve">, </w:t>
      </w:r>
      <w:proofErr w:type="spellStart"/>
      <w:r w:rsidR="00AB0A7A">
        <w:t>Brumer</w:t>
      </w:r>
      <w:proofErr w:type="spellEnd"/>
      <w:r w:rsidR="00AB0A7A">
        <w:t xml:space="preserve"> et al. 2017</w:t>
      </w:r>
      <w:r>
        <w:t>) was designed to study the exchange of gases between the ocean and atmosphere under high wind conditions</w:t>
      </w:r>
      <w:r w:rsidR="005F07A5">
        <w:t>,</w:t>
      </w:r>
      <w:r w:rsidR="007743A0">
        <w:t xml:space="preserve"> and in particular</w:t>
      </w:r>
      <w:r>
        <w:t xml:space="preserve"> </w:t>
      </w:r>
      <w:r w:rsidR="00D766E7">
        <w:t>to determine the impact of wave state and bubble populations on gas transfer. An important part of the study was the measurement of the surface wave fiel</w:t>
      </w:r>
      <w:r w:rsidR="00682553">
        <w:t xml:space="preserve">d alongside direct eddy covariance estimates of the flux, and transfer velocities, of multiple gases. Here we provide an overview of the wave state throughout the </w:t>
      </w:r>
      <w:proofErr w:type="spellStart"/>
      <w:r w:rsidR="00682553">
        <w:t>HiWinGS</w:t>
      </w:r>
      <w:proofErr w:type="spellEnd"/>
      <w:r w:rsidR="00682553">
        <w:t xml:space="preserve"> cruise, and the relevant wave statistics and their breakdown i</w:t>
      </w:r>
      <w:r w:rsidR="00AB0A7A">
        <w:t>nto contributions from the wind-</w:t>
      </w:r>
      <w:r w:rsidR="00682553">
        <w:t>sea and swell.</w:t>
      </w:r>
      <w:r w:rsidR="00022FCC">
        <w:t xml:space="preserve"> In situ measurements of the directional spectra were made during periods when the ship was </w:t>
      </w:r>
      <w:proofErr w:type="gramStart"/>
      <w:r w:rsidR="00022FCC">
        <w:t>hove</w:t>
      </w:r>
      <w:proofErr w:type="gramEnd"/>
      <w:r w:rsidR="00022FCC">
        <w:t xml:space="preserve"> to on station. When underway we rely on modelled wave spectra; the performance of the wave model is evaluated against the direct measurements when on station.</w:t>
      </w:r>
    </w:p>
    <w:p w14:paraId="51101384" w14:textId="77777777" w:rsidR="001F2E09" w:rsidRPr="00720D1F" w:rsidRDefault="001F2E09" w:rsidP="00DB3F34">
      <w:pPr>
        <w:spacing w:after="120"/>
        <w:jc w:val="both"/>
      </w:pPr>
    </w:p>
    <w:p w14:paraId="70C980FF" w14:textId="77777777" w:rsidR="008C1872" w:rsidRPr="00720D1F" w:rsidRDefault="00101F3B" w:rsidP="00DB3F34">
      <w:pPr>
        <w:spacing w:after="120"/>
        <w:jc w:val="both"/>
        <w:rPr>
          <w:b/>
        </w:rPr>
      </w:pPr>
      <w:r>
        <w:rPr>
          <w:b/>
        </w:rPr>
        <w:t>Wave Measurements</w:t>
      </w:r>
    </w:p>
    <w:p w14:paraId="7D66B2DD" w14:textId="77777777" w:rsidR="00644E2E" w:rsidRDefault="0088636F" w:rsidP="00DB3F34">
      <w:pPr>
        <w:spacing w:after="120"/>
        <w:jc w:val="both"/>
      </w:pPr>
      <w:r>
        <w:t>T</w:t>
      </w:r>
      <w:r w:rsidR="001609E6">
        <w:t xml:space="preserve">he </w:t>
      </w:r>
      <w:proofErr w:type="spellStart"/>
      <w:r w:rsidR="001609E6">
        <w:t>HiWinGS</w:t>
      </w:r>
      <w:proofErr w:type="spellEnd"/>
      <w:r w:rsidR="001609E6">
        <w:t xml:space="preserve"> cruise took place between October 8 and November 13 2013 on the RV Knorr, departing from Nuuk, Greenland and ending at Woods Hole, Massachusetts, with the majority of measurements being made close to the boundary between the Labrador Sea and North Atlantic, immediately south of Greenland (Fig 1). The location and time of year were chose</w:t>
      </w:r>
      <w:r w:rsidR="00D0237E">
        <w:t>n</w:t>
      </w:r>
      <w:r w:rsidR="001609E6">
        <w:t xml:space="preserve"> to maximise the likelihood of sampling high wind </w:t>
      </w:r>
      <w:r w:rsidR="00D0237E">
        <w:t xml:space="preserve">and wave </w:t>
      </w:r>
      <w:r w:rsidR="001609E6">
        <w:t>conditions within storm systems coming off the coast of Canada. The focus on direct measurements of air-sea fluxes via the eddy covariance technique d</w:t>
      </w:r>
      <w:r w:rsidR="00D0237E">
        <w:t>etermined the sampling strategy –</w:t>
      </w:r>
      <w:r w:rsidR="001609E6">
        <w:t xml:space="preserve"> prior to </w:t>
      </w:r>
      <w:r w:rsidR="00D0237E">
        <w:t xml:space="preserve">the arrival of </w:t>
      </w:r>
      <w:r w:rsidR="001609E6">
        <w:t>each storm system the ship was positioned in the r</w:t>
      </w:r>
      <w:r w:rsidR="00D0237E">
        <w:t>egion of maximum forecast winds; i</w:t>
      </w:r>
      <w:r w:rsidR="001609E6">
        <w:t>t then sat on station with bow to wind making measure</w:t>
      </w:r>
      <w:r w:rsidR="00644E2E">
        <w:t xml:space="preserve">ments until the storm had past. </w:t>
      </w:r>
    </w:p>
    <w:p w14:paraId="67E8CEC8" w14:textId="77777777" w:rsidR="00260B5E" w:rsidRDefault="00C44AB2" w:rsidP="00DB3F34">
      <w:pPr>
        <w:spacing w:after="120"/>
        <w:jc w:val="both"/>
      </w:pPr>
      <w:r>
        <w:t xml:space="preserve">Continuous wave measurements were made with </w:t>
      </w:r>
      <w:proofErr w:type="spellStart"/>
      <w:r>
        <w:t>Riegl</w:t>
      </w:r>
      <w:proofErr w:type="spellEnd"/>
      <w:r>
        <w:t xml:space="preserve"> DL90 laser ranger</w:t>
      </w:r>
      <w:r w:rsidR="00644E2E">
        <w:t xml:space="preserve"> mounted on the foremast</w:t>
      </w:r>
      <w:r>
        <w:t>; this</w:t>
      </w:r>
      <w:r w:rsidR="00644E2E">
        <w:t xml:space="preserve"> </w:t>
      </w:r>
      <w:r>
        <w:t xml:space="preserve">provided a </w:t>
      </w:r>
      <w:r w:rsidRPr="008767E2">
        <w:t>10 Hz</w:t>
      </w:r>
      <w:r w:rsidR="00644E2E">
        <w:t xml:space="preserve"> measurement of surface vertical displacement after the raw signal was corrected for ship pitch, roll, and motion following (</w:t>
      </w:r>
      <w:proofErr w:type="spellStart"/>
      <w:r w:rsidR="00644E2E">
        <w:t>Cifuentes-Lorenzen</w:t>
      </w:r>
      <w:proofErr w:type="spellEnd"/>
      <w:r w:rsidR="00644E2E">
        <w:t xml:space="preserve"> et al. 2014)</w:t>
      </w:r>
      <w:r w:rsidR="00EF0EFE">
        <w:t>. 1-dimensional wave spectra were then calculated</w:t>
      </w:r>
      <w:r w:rsidR="00644E2E">
        <w:t xml:space="preserve">. </w:t>
      </w:r>
      <w:r>
        <w:t xml:space="preserve">During each of the measurement stations </w:t>
      </w:r>
      <w:r w:rsidR="00644E2E">
        <w:t xml:space="preserve">a </w:t>
      </w:r>
      <w:proofErr w:type="spellStart"/>
      <w:r w:rsidR="00644E2E" w:rsidRPr="00644E2E">
        <w:t>Datawell</w:t>
      </w:r>
      <w:proofErr w:type="spellEnd"/>
      <w:r w:rsidR="00644E2E" w:rsidRPr="00644E2E">
        <w:t xml:space="preserve"> DWR-G4 directional </w:t>
      </w:r>
      <w:proofErr w:type="spellStart"/>
      <w:r w:rsidR="00644E2E" w:rsidRPr="00644E2E">
        <w:t>waverider</w:t>
      </w:r>
      <w:proofErr w:type="spellEnd"/>
      <w:r w:rsidR="00644E2E">
        <w:t xml:space="preserve"> </w:t>
      </w:r>
      <w:r w:rsidR="00260B5E">
        <w:t xml:space="preserve">buoy </w:t>
      </w:r>
      <w:r w:rsidR="00644E2E">
        <w:t xml:space="preserve">was deployed. The </w:t>
      </w:r>
      <w:proofErr w:type="spellStart"/>
      <w:r w:rsidR="00644E2E">
        <w:t>waverider</w:t>
      </w:r>
      <w:proofErr w:type="spellEnd"/>
      <w:r w:rsidR="00644E2E">
        <w:t xml:space="preserve"> </w:t>
      </w:r>
      <w:r w:rsidR="00644E2E" w:rsidRPr="00644E2E">
        <w:t>is a 0.4m diameter</w:t>
      </w:r>
      <w:r w:rsidR="00644E2E">
        <w:t>,</w:t>
      </w:r>
      <w:r w:rsidR="00644E2E" w:rsidRPr="00644E2E">
        <w:t xml:space="preserve"> spherical buoy that follows wave motions on scales larger than itself. It uses the Doppler shift of the carrier signal from Global Positioning System (GPS) satellites to determine its motion in three dimensions</w:t>
      </w:r>
      <w:r w:rsidR="00644E2E">
        <w:t>, from which the directional wave spectrum can be calculated</w:t>
      </w:r>
      <w:r w:rsidR="00644E2E" w:rsidRPr="00644E2E">
        <w:t xml:space="preserve">. </w:t>
      </w:r>
      <w:proofErr w:type="spellStart"/>
      <w:r w:rsidR="00644E2E">
        <w:t>Herbers</w:t>
      </w:r>
      <w:proofErr w:type="spellEnd"/>
      <w:r w:rsidR="00644E2E">
        <w:t xml:space="preserve"> et al. (2012) found </w:t>
      </w:r>
      <w:r w:rsidR="00067EF1">
        <w:t>spectra from the DWR-G4</w:t>
      </w:r>
      <w:r w:rsidR="00644E2E" w:rsidRPr="00644E2E">
        <w:t xml:space="preserve"> to compare well with older</w:t>
      </w:r>
      <w:r w:rsidR="00C64759">
        <w:t>, and larger,</w:t>
      </w:r>
      <w:r w:rsidR="00644E2E" w:rsidRPr="00644E2E">
        <w:t xml:space="preserve"> models</w:t>
      </w:r>
      <w:r w:rsidR="00D0237E">
        <w:t xml:space="preserve"> of the </w:t>
      </w:r>
      <w:proofErr w:type="spellStart"/>
      <w:r w:rsidR="00D0237E">
        <w:t>waverider</w:t>
      </w:r>
      <w:proofErr w:type="spellEnd"/>
      <w:r w:rsidR="00644E2E" w:rsidRPr="00644E2E">
        <w:t xml:space="preserve"> that use inertial motion units to determine their mo</w:t>
      </w:r>
      <w:r w:rsidR="00D0237E">
        <w:t>tion,</w:t>
      </w:r>
      <w:r w:rsidR="00644E2E" w:rsidRPr="00644E2E">
        <w:t xml:space="preserve"> </w:t>
      </w:r>
      <w:r w:rsidR="00644E2E">
        <w:t xml:space="preserve">but that </w:t>
      </w:r>
      <w:r w:rsidR="00644E2E" w:rsidRPr="00644E2E">
        <w:t xml:space="preserve">in high seas water washing over the </w:t>
      </w:r>
      <w:r w:rsidR="00644E2E">
        <w:t>GPS patch antenna</w:t>
      </w:r>
      <w:r w:rsidR="00644E2E" w:rsidRPr="00644E2E">
        <w:t xml:space="preserve"> </w:t>
      </w:r>
      <w:r w:rsidR="00644E2E">
        <w:t xml:space="preserve">could </w:t>
      </w:r>
      <w:r w:rsidR="00644E2E" w:rsidRPr="00644E2E">
        <w:t xml:space="preserve">result in the </w:t>
      </w:r>
      <w:r w:rsidR="00644E2E">
        <w:t xml:space="preserve">intermittent loss of the </w:t>
      </w:r>
      <w:r w:rsidR="00644E2E" w:rsidRPr="00644E2E">
        <w:t xml:space="preserve">signal from the </w:t>
      </w:r>
      <w:r w:rsidR="00644E2E">
        <w:t xml:space="preserve">GPS </w:t>
      </w:r>
      <w:r w:rsidR="00644E2E" w:rsidRPr="00644E2E">
        <w:t>sate</w:t>
      </w:r>
      <w:r w:rsidR="00644E2E">
        <w:t xml:space="preserve">llites. A </w:t>
      </w:r>
      <w:r w:rsidR="00644E2E">
        <w:lastRenderedPageBreak/>
        <w:t xml:space="preserve">subset of the </w:t>
      </w:r>
      <w:proofErr w:type="spellStart"/>
      <w:r w:rsidR="00644E2E">
        <w:t>waverider’s</w:t>
      </w:r>
      <w:proofErr w:type="spellEnd"/>
      <w:r w:rsidR="00644E2E">
        <w:t xml:space="preserve"> measurements is transmitted via radio to the ship for near real-time monitoring, with the full </w:t>
      </w:r>
      <w:r w:rsidR="00067EF1">
        <w:t xml:space="preserve">time series of </w:t>
      </w:r>
      <w:r w:rsidR="00644E2E">
        <w:t xml:space="preserve">raw </w:t>
      </w:r>
      <w:r w:rsidR="00067EF1">
        <w:t>displacements</w:t>
      </w:r>
      <w:r w:rsidR="00644E2E">
        <w:t xml:space="preserve"> being saved on the buoy</w:t>
      </w:r>
      <w:r w:rsidR="00FD7EC8">
        <w:t>, along with 30-minute average wave spectra and</w:t>
      </w:r>
      <w:r w:rsidR="00067EF1">
        <w:t xml:space="preserve"> statistics</w:t>
      </w:r>
      <w:r w:rsidR="00644E2E">
        <w:t>.</w:t>
      </w:r>
      <w:r w:rsidR="00F83C71">
        <w:t xml:space="preserve"> </w:t>
      </w:r>
    </w:p>
    <w:p w14:paraId="6951AA4B" w14:textId="77777777" w:rsidR="00C44AB2" w:rsidRDefault="00260B5E" w:rsidP="00DB3F34">
      <w:pPr>
        <w:spacing w:after="120"/>
        <w:jc w:val="both"/>
      </w:pPr>
      <w:r>
        <w:t xml:space="preserve">The </w:t>
      </w:r>
      <w:proofErr w:type="spellStart"/>
      <w:r>
        <w:t>waverider</w:t>
      </w:r>
      <w:proofErr w:type="spellEnd"/>
      <w:r>
        <w:t xml:space="preserve"> was allowed to drift freely during most deployments, with the ship </w:t>
      </w:r>
      <w:r w:rsidR="00E53FF4">
        <w:t>moving slow</w:t>
      </w:r>
      <w:r w:rsidR="00067EF1">
        <w:t>ly</w:t>
      </w:r>
      <w:r>
        <w:t xml:space="preserve"> to keep it within radio recept</w:t>
      </w:r>
      <w:r w:rsidR="00E53FF4">
        <w:t>ion range – this was</w:t>
      </w:r>
      <w:r>
        <w:t xml:space="preserve"> limited to approximately 5 kilometres during </w:t>
      </w:r>
      <w:proofErr w:type="spellStart"/>
      <w:r>
        <w:t>HiWinGS</w:t>
      </w:r>
      <w:proofErr w:type="spellEnd"/>
      <w:r>
        <w:t>, but can be much further depending upon antenna location and env</w:t>
      </w:r>
      <w:r w:rsidR="00FD7EC8">
        <w:t>ironmental conditions. On</w:t>
      </w:r>
      <w:r>
        <w:t xml:space="preserve"> </w:t>
      </w:r>
      <w:r w:rsidR="00067EF1">
        <w:t>two</w:t>
      </w:r>
      <w:r>
        <w:t xml:space="preserve"> occasions the buoy was deployed tethered to the ship on 200 m of polypropylene </w:t>
      </w:r>
      <w:r w:rsidR="00FD7EC8">
        <w:t>rope</w:t>
      </w:r>
      <w:r w:rsidR="00C64759">
        <w:t>. P</w:t>
      </w:r>
      <w:r>
        <w:t>ro</w:t>
      </w:r>
      <w:r w:rsidR="00D0237E">
        <w:t>vided the tether remained slack and the ship maintained a relative position that avoided</w:t>
      </w:r>
      <w:r>
        <w:t xml:space="preserve"> sheltering the buoy from oncoming waves, this d</w:t>
      </w:r>
      <w:r w:rsidR="00D0237E">
        <w:t>oes</w:t>
      </w:r>
      <w:r>
        <w:t xml:space="preserve"> not impact the measurements</w:t>
      </w:r>
      <w:r w:rsidR="00D0237E">
        <w:t xml:space="preserve"> in any way, being essentially equivalent to a fixed deployment in shallow water where the buoy is moored to the sea bed</w:t>
      </w:r>
      <w:r>
        <w:t>.</w:t>
      </w:r>
      <w:r w:rsidR="008328E1">
        <w:t xml:space="preserve"> </w:t>
      </w:r>
      <w:r w:rsidR="00FD7EC8">
        <w:t>The first of the tethered deployments</w:t>
      </w:r>
      <w:r w:rsidR="00E53FF4">
        <w:t xml:space="preserve"> was the initial deployment</w:t>
      </w:r>
      <w:r w:rsidR="00D0237E">
        <w:t xml:space="preserve"> (station 1)</w:t>
      </w:r>
      <w:r w:rsidR="00E53FF4">
        <w:t xml:space="preserve">, during which restrictions imposed by other ship operations meant that we wished to keep the </w:t>
      </w:r>
      <w:proofErr w:type="spellStart"/>
      <w:r w:rsidR="00E53FF4">
        <w:t>waverider</w:t>
      </w:r>
      <w:proofErr w:type="spellEnd"/>
      <w:r w:rsidR="00E53FF4">
        <w:t xml:space="preserve"> close to the ship; the second was during the largest storm</w:t>
      </w:r>
      <w:r w:rsidR="00D0237E">
        <w:t xml:space="preserve"> (station 4)</w:t>
      </w:r>
      <w:r w:rsidR="00E53FF4">
        <w:t>, when wind and wave conditions were</w:t>
      </w:r>
      <w:r w:rsidR="00D0237E">
        <w:t xml:space="preserve"> predicted to be</w:t>
      </w:r>
      <w:r w:rsidR="00E53FF4">
        <w:t xml:space="preserve"> severe enough that the ship would be unable to follow the buoy</w:t>
      </w:r>
      <w:r w:rsidR="00FD7EC8">
        <w:t xml:space="preserve"> as it drifted</w:t>
      </w:r>
      <w:r w:rsidR="00E53FF4">
        <w:t>.</w:t>
      </w:r>
      <w:r w:rsidR="009D3079">
        <w:t xml:space="preserve"> Data quality was generally good throughout all deployments except </w:t>
      </w:r>
      <w:r w:rsidR="00FD7EC8">
        <w:t xml:space="preserve">during </w:t>
      </w:r>
      <w:r w:rsidR="00D0237E">
        <w:t xml:space="preserve">the </w:t>
      </w:r>
      <w:r w:rsidR="00FD7EC8">
        <w:t>large storm, where at its peak</w:t>
      </w:r>
      <w:r w:rsidR="009D3079">
        <w:t xml:space="preserve"> the</w:t>
      </w:r>
      <w:r w:rsidR="00C44AB2">
        <w:t xml:space="preserve"> ship was unable to maintain a relative position that kept the tether slack, and the</w:t>
      </w:r>
      <w:r w:rsidR="009D3079">
        <w:t xml:space="preserve"> buoy was </w:t>
      </w:r>
      <w:r w:rsidR="00C44AB2">
        <w:t>intermittently</w:t>
      </w:r>
      <w:r w:rsidR="009D3079">
        <w:t xml:space="preserve"> dragged beneath wave peaks by, losing GPS reception.</w:t>
      </w:r>
      <w:r w:rsidR="00D0237E">
        <w:t xml:space="preserve"> Data periods contaminated by the temporary loss of GPS reception have been excluded from the analysis.</w:t>
      </w:r>
    </w:p>
    <w:p w14:paraId="7CFEDEB4" w14:textId="77777777" w:rsidR="00A57A10" w:rsidRDefault="00A57A10" w:rsidP="00DB3F34">
      <w:pPr>
        <w:spacing w:after="120"/>
        <w:jc w:val="both"/>
      </w:pPr>
      <w:r>
        <w:t xml:space="preserve">The </w:t>
      </w:r>
      <w:proofErr w:type="spellStart"/>
      <w:r>
        <w:t>waverider</w:t>
      </w:r>
      <w:proofErr w:type="spellEnd"/>
      <w:r>
        <w:t xml:space="preserve"> </w:t>
      </w:r>
      <w:r w:rsidR="00436D8A">
        <w:t>measures</w:t>
      </w:r>
      <w:r>
        <w:t xml:space="preserve"> time series of</w:t>
      </w:r>
      <w:r w:rsidR="00436D8A">
        <w:t xml:space="preserve"> its</w:t>
      </w:r>
      <w:r>
        <w:t xml:space="preserve"> displacement in the vertical and to the North and West</w:t>
      </w:r>
      <w:r w:rsidRPr="00067EF1">
        <w:t xml:space="preserve"> </w:t>
      </w:r>
      <w:r>
        <w:t>at a sample frequency of 1.28 Hz</w:t>
      </w:r>
      <w:r w:rsidR="00436D8A">
        <w:t xml:space="preserve">, and calculates directional spectra and 1-dimensional wave statistics on 30-minute intervals. Here we calculate directional spectra directly from the raw displacement time series; this allows exact time matching of wave spectra to other measurements. </w:t>
      </w:r>
      <w:r>
        <w:t xml:space="preserve">To derive the directional wave </w:t>
      </w:r>
      <w:proofErr w:type="gramStart"/>
      <w:r>
        <w:t>spectra</w:t>
      </w:r>
      <w:proofErr w:type="gramEnd"/>
      <w:r>
        <w:t xml:space="preserve"> we utilise the Extended Maximum Likelihood Method (Hashimoto et al. 1993) as implemented in the DIWASP (v1.4) toolbox for MATLAB (Johnson, 2012). The directional spectra are calculated with a resolution of 1° by 0.005 Hz and a frequency range of </w:t>
      </w:r>
      <w:r w:rsidRPr="00487BC7">
        <w:t>0.04 to 0.64</w:t>
      </w:r>
      <w:r>
        <w:t xml:space="preserve"> Hz. In initial tests spurious spectral peaks sometimes occurred at very low frequencies (periods of 10s of seconds). These are presumed to result from integration of low frequency noise or bias signals in the </w:t>
      </w:r>
      <w:proofErr w:type="spellStart"/>
      <w:r>
        <w:t>waverider’s</w:t>
      </w:r>
      <w:proofErr w:type="spellEnd"/>
      <w:r>
        <w:t xml:space="preserve"> velocity measurements. Although they contribute negligibly to the energy of either the total or swell component of the wave state, we suppress them by high-pass filtering the displacement time series </w:t>
      </w:r>
      <w:r w:rsidR="00436D8A">
        <w:t xml:space="preserve">before calculating the spectra using </w:t>
      </w:r>
      <w:r>
        <w:t xml:space="preserve">a pass-band frequency of </w:t>
      </w:r>
      <w:r w:rsidRPr="00487BC7">
        <w:t>0.05 Hz, stop-band frequency of 0.04 Hz</w:t>
      </w:r>
      <w:r>
        <w:t xml:space="preserve">, </w:t>
      </w:r>
      <w:proofErr w:type="gramStart"/>
      <w:r w:rsidR="00A73A56">
        <w:t xml:space="preserve">and </w:t>
      </w:r>
      <w:r>
        <w:t xml:space="preserve"> a</w:t>
      </w:r>
      <w:proofErr w:type="gramEnd"/>
      <w:r>
        <w:t xml:space="preserve"> cosine roll-off between the two. </w:t>
      </w:r>
    </w:p>
    <w:p w14:paraId="58B288F7" w14:textId="77777777" w:rsidR="008543D9" w:rsidRDefault="008543D9" w:rsidP="00DB3F34">
      <w:pPr>
        <w:spacing w:after="120"/>
        <w:jc w:val="both"/>
      </w:pPr>
    </w:p>
    <w:p w14:paraId="543D4305" w14:textId="77777777" w:rsidR="009345B0" w:rsidRPr="009345B0" w:rsidRDefault="00101F3B" w:rsidP="00DB3F34">
      <w:pPr>
        <w:spacing w:after="120"/>
        <w:jc w:val="both"/>
        <w:rPr>
          <w:b/>
        </w:rPr>
      </w:pPr>
      <w:r>
        <w:rPr>
          <w:b/>
        </w:rPr>
        <w:t xml:space="preserve">The </w:t>
      </w:r>
      <w:r w:rsidR="009345B0" w:rsidRPr="009345B0">
        <w:rPr>
          <w:b/>
        </w:rPr>
        <w:t>Wave Model</w:t>
      </w:r>
    </w:p>
    <w:p w14:paraId="4D41081C" w14:textId="77777777" w:rsidR="00501630" w:rsidRPr="00C244DF" w:rsidRDefault="00AD6821" w:rsidP="00DB3F34">
      <w:pPr>
        <w:spacing w:after="120"/>
        <w:jc w:val="both"/>
        <w:rPr>
          <w:szCs w:val="22"/>
        </w:rPr>
      </w:pPr>
      <w:r w:rsidRPr="00C244DF">
        <w:rPr>
          <w:szCs w:val="22"/>
        </w:rPr>
        <w:t>The third generation WAVEWATCH-III</w:t>
      </w:r>
      <w:r w:rsidRPr="00897CBD">
        <w:rPr>
          <w:szCs w:val="22"/>
          <w:vertAlign w:val="superscript"/>
        </w:rPr>
        <w:t>TM</w:t>
      </w:r>
      <w:r w:rsidRPr="00897CBD">
        <w:rPr>
          <w:szCs w:val="22"/>
        </w:rPr>
        <w:t xml:space="preserve"> model, </w:t>
      </w:r>
      <w:r w:rsidRPr="005D1616">
        <w:rPr>
          <w:szCs w:val="22"/>
        </w:rPr>
        <w:t xml:space="preserve">version 3.14 [WW3; </w:t>
      </w:r>
      <w:proofErr w:type="spellStart"/>
      <w:r w:rsidRPr="005D1616">
        <w:rPr>
          <w:szCs w:val="22"/>
        </w:rPr>
        <w:t>Tolman</w:t>
      </w:r>
      <w:proofErr w:type="spellEnd"/>
      <w:r w:rsidRPr="005D1616">
        <w:rPr>
          <w:szCs w:val="22"/>
        </w:rPr>
        <w:t xml:space="preserve">, 2009] was used to compute a wave </w:t>
      </w:r>
      <w:proofErr w:type="spellStart"/>
      <w:r w:rsidRPr="005D1616">
        <w:rPr>
          <w:szCs w:val="22"/>
        </w:rPr>
        <w:t>hindcast</w:t>
      </w:r>
      <w:proofErr w:type="spellEnd"/>
      <w:r w:rsidRPr="00C244DF">
        <w:rPr>
          <w:szCs w:val="22"/>
        </w:rPr>
        <w:t xml:space="preserve"> for the duration of the cruise from October 1 to November 15, 2013 (2.5 months). The model domain was set to cover the North Atlantic spanning from the Equator to 70ºN and from 100ºW to 15ºE with a horizontal grid resolution of 0.2 degrees in both latitude and longitude. Bottom topography and coastlines were taken from the ETOPO2 data set that provides 2 minute gridded elevations/bathymetry for the world. The wave model was forced by 6-hourly surface wind fields from the National </w:t>
      </w:r>
      <w:proofErr w:type="spellStart"/>
      <w:r w:rsidRPr="00C244DF">
        <w:rPr>
          <w:szCs w:val="22"/>
        </w:rPr>
        <w:t>Centers</w:t>
      </w:r>
      <w:proofErr w:type="spellEnd"/>
      <w:r w:rsidRPr="00C244DF">
        <w:rPr>
          <w:szCs w:val="22"/>
        </w:rPr>
        <w:t xml:space="preserve"> for Environmental Prediction/Climate Forecast System Reanalysis (NCEP/CFSR) product [</w:t>
      </w:r>
      <w:proofErr w:type="spellStart"/>
      <w:r w:rsidRPr="00C244DF">
        <w:rPr>
          <w:szCs w:val="22"/>
        </w:rPr>
        <w:t>Saha</w:t>
      </w:r>
      <w:proofErr w:type="spellEnd"/>
      <w:r w:rsidRPr="00C244DF">
        <w:rPr>
          <w:szCs w:val="22"/>
        </w:rPr>
        <w:t xml:space="preserve"> </w:t>
      </w:r>
      <w:r w:rsidRPr="00C244DF">
        <w:rPr>
          <w:i/>
          <w:szCs w:val="22"/>
        </w:rPr>
        <w:t>et al</w:t>
      </w:r>
      <w:r w:rsidRPr="00C244DF">
        <w:rPr>
          <w:szCs w:val="22"/>
        </w:rPr>
        <w:t>., 2010] in which has a horizontal resolution of ~38km (Gaussian Grid: T382).</w:t>
      </w:r>
      <w:r w:rsidR="00501630" w:rsidRPr="00C244DF">
        <w:rPr>
          <w:szCs w:val="22"/>
        </w:rPr>
        <w:t xml:space="preserve"> </w:t>
      </w:r>
    </w:p>
    <w:p w14:paraId="52E0E639" w14:textId="77777777" w:rsidR="003024ED" w:rsidRDefault="0056419F" w:rsidP="00DB3F34">
      <w:pPr>
        <w:spacing w:after="120"/>
        <w:jc w:val="both"/>
        <w:rPr>
          <w:szCs w:val="22"/>
        </w:rPr>
      </w:pPr>
      <w:r w:rsidRPr="00C244DF">
        <w:rPr>
          <w:szCs w:val="22"/>
        </w:rPr>
        <w:t>WW3 solves the</w:t>
      </w:r>
      <w:r w:rsidR="00501630" w:rsidRPr="00C244DF">
        <w:rPr>
          <w:szCs w:val="22"/>
        </w:rPr>
        <w:t xml:space="preserve"> wave spectral balance equation</w:t>
      </w:r>
      <w:r w:rsidR="003024ED" w:rsidRPr="00C244DF">
        <w:rPr>
          <w:szCs w:val="22"/>
        </w:rPr>
        <w:t xml:space="preserve"> </w:t>
      </w:r>
      <w:r w:rsidRPr="00C244DF">
        <w:rPr>
          <w:szCs w:val="22"/>
        </w:rPr>
        <w:t xml:space="preserve">which expresses the evolution of the wave field as a  </w:t>
      </w:r>
      <w:r w:rsidR="00501630" w:rsidRPr="00C244DF">
        <w:rPr>
          <w:szCs w:val="22"/>
        </w:rPr>
        <w:t>sum of source terms consisting o</w:t>
      </w:r>
      <w:r w:rsidRPr="00C244DF">
        <w:rPr>
          <w:szCs w:val="22"/>
        </w:rPr>
        <w:t>f</w:t>
      </w:r>
      <w:r w:rsidR="00501630" w:rsidRPr="00C244DF">
        <w:rPr>
          <w:szCs w:val="22"/>
        </w:rPr>
        <w:t xml:space="preserve"> </w:t>
      </w:r>
      <w:r w:rsidRPr="00C244DF">
        <w:rPr>
          <w:szCs w:val="22"/>
        </w:rPr>
        <w:t>the energy transferred to the waves by the wind</w:t>
      </w:r>
      <w:r w:rsidR="003024ED" w:rsidRPr="00C244DF">
        <w:rPr>
          <w:szCs w:val="22"/>
        </w:rPr>
        <w:t xml:space="preserve"> </w:t>
      </w:r>
      <m:oMath>
        <m:sSub>
          <m:sSubPr>
            <m:ctrlPr>
              <w:rPr>
                <w:rFonts w:ascii="Cambria Math" w:hAnsi="Cambria Math"/>
                <w:i/>
                <w:szCs w:val="22"/>
              </w:rPr>
            </m:ctrlPr>
          </m:sSubPr>
          <m:e>
            <m:r>
              <w:rPr>
                <w:rFonts w:ascii="Cambria Math" w:hAnsi="Cambria Math"/>
                <w:szCs w:val="22"/>
              </w:rPr>
              <m:t>(S</m:t>
            </m:r>
          </m:e>
          <m:sub>
            <m:r>
              <w:rPr>
                <w:rFonts w:ascii="Cambria Math" w:hAnsi="Cambria Math"/>
                <w:szCs w:val="22"/>
              </w:rPr>
              <m:t>in</m:t>
            </m:r>
          </m:sub>
        </m:sSub>
      </m:oMath>
      <w:r w:rsidR="003024ED" w:rsidRPr="00C244DF">
        <w:rPr>
          <w:szCs w:val="22"/>
        </w:rPr>
        <w:t>)</w:t>
      </w:r>
      <w:r w:rsidRPr="00C244DF">
        <w:rPr>
          <w:szCs w:val="22"/>
        </w:rPr>
        <w:t>, the energy lost through</w:t>
      </w:r>
      <w:r w:rsidR="00501630" w:rsidRPr="00C244DF">
        <w:rPr>
          <w:szCs w:val="22"/>
        </w:rPr>
        <w:t xml:space="preserve"> dissipation due to wave breaking </w:t>
      </w:r>
      <w:r w:rsidR="003024ED" w:rsidRPr="00C244DF">
        <w:rPr>
          <w:szCs w:val="22"/>
        </w:rPr>
        <w:t>(</w:t>
      </w:r>
      <m:oMath>
        <m:sSub>
          <m:sSubPr>
            <m:ctrlPr>
              <w:rPr>
                <w:rFonts w:ascii="Cambria Math" w:hAnsi="Cambria Math"/>
                <w:i/>
                <w:szCs w:val="22"/>
              </w:rPr>
            </m:ctrlPr>
          </m:sSubPr>
          <m:e>
            <m:r>
              <w:rPr>
                <w:rFonts w:ascii="Cambria Math" w:hAnsi="Cambria Math"/>
                <w:szCs w:val="22"/>
              </w:rPr>
              <m:t>S</m:t>
            </m:r>
          </m:e>
          <m:sub>
            <m:r>
              <w:rPr>
                <w:rFonts w:ascii="Cambria Math" w:hAnsi="Cambria Math"/>
                <w:szCs w:val="22"/>
              </w:rPr>
              <m:t xml:space="preserve">dis </m:t>
            </m:r>
          </m:sub>
        </m:sSub>
      </m:oMath>
      <w:r w:rsidR="003024ED" w:rsidRPr="00C244DF">
        <w:rPr>
          <w:szCs w:val="22"/>
        </w:rPr>
        <w:t xml:space="preserve">) </w:t>
      </w:r>
      <w:r w:rsidR="00501630" w:rsidRPr="00C244DF">
        <w:rPr>
          <w:szCs w:val="22"/>
        </w:rPr>
        <w:t xml:space="preserve">and </w:t>
      </w:r>
      <w:r w:rsidRPr="00C244DF">
        <w:rPr>
          <w:szCs w:val="22"/>
        </w:rPr>
        <w:t>nonlinear</w:t>
      </w:r>
      <w:r w:rsidR="00501630" w:rsidRPr="00C244DF">
        <w:rPr>
          <w:szCs w:val="22"/>
        </w:rPr>
        <w:t xml:space="preserve"> </w:t>
      </w:r>
      <w:r w:rsidRPr="00C244DF">
        <w:rPr>
          <w:szCs w:val="22"/>
        </w:rPr>
        <w:t>wave-wave energy transfers</w:t>
      </w:r>
      <w:r w:rsidR="003024ED" w:rsidRPr="00C244DF">
        <w:rPr>
          <w:szCs w:val="22"/>
        </w:rPr>
        <w:t xml:space="preserve"> (</w:t>
      </w:r>
      <m:oMath>
        <m:sSub>
          <m:sSubPr>
            <m:ctrlPr>
              <w:rPr>
                <w:rFonts w:ascii="Cambria Math" w:hAnsi="Cambria Math"/>
                <w:i/>
                <w:szCs w:val="22"/>
              </w:rPr>
            </m:ctrlPr>
          </m:sSubPr>
          <m:e>
            <m:r>
              <w:rPr>
                <w:rFonts w:ascii="Cambria Math" w:hAnsi="Cambria Math"/>
                <w:szCs w:val="22"/>
              </w:rPr>
              <m:t>S</m:t>
            </m:r>
          </m:e>
          <m:sub>
            <m:r>
              <w:rPr>
                <w:rFonts w:ascii="Cambria Math" w:hAnsi="Cambria Math"/>
                <w:szCs w:val="22"/>
              </w:rPr>
              <m:t>nl</m:t>
            </m:r>
          </m:sub>
        </m:sSub>
      </m:oMath>
      <w:r w:rsidR="003024ED" w:rsidRPr="00C244DF">
        <w:rPr>
          <w:szCs w:val="22"/>
        </w:rPr>
        <w:t>):</w:t>
      </w:r>
    </w:p>
    <w:p w14:paraId="18ED008F" w14:textId="77777777" w:rsidR="00E8262B" w:rsidRDefault="00E8262B" w:rsidP="00DB3F34">
      <w:pPr>
        <w:spacing w:after="120"/>
        <w:jc w:val="both"/>
        <w:rPr>
          <w:szCs w:val="22"/>
        </w:rPr>
      </w:pPr>
    </w:p>
    <w:p w14:paraId="573B3E59" w14:textId="77777777" w:rsidR="00E8262B" w:rsidRPr="00C244DF" w:rsidRDefault="00B00CE1" w:rsidP="00E3067A">
      <w:pPr>
        <w:tabs>
          <w:tab w:val="left" w:pos="3119"/>
          <w:tab w:val="left" w:pos="8505"/>
        </w:tabs>
        <w:spacing w:after="120"/>
        <w:jc w:val="both"/>
        <w:rPr>
          <w:szCs w:val="22"/>
        </w:rPr>
      </w:pPr>
      <w:r>
        <w:rPr>
          <w:szCs w:val="22"/>
        </w:rPr>
        <w:lastRenderedPageBreak/>
        <w:tab/>
      </w:r>
      <w:r w:rsidR="00E8262B" w:rsidRPr="00E8262B">
        <w:rPr>
          <w:position w:val="-24"/>
          <w:szCs w:val="22"/>
        </w:rPr>
        <w:object w:dxaOrig="3000" w:dyaOrig="620" w14:anchorId="6AF363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31.5pt" o:ole="">
            <v:imagedata r:id="rId7" o:title=""/>
          </v:shape>
          <o:OLEObject Type="Embed" ProgID="Equation.3" ShapeID="_x0000_i1025" DrawAspect="Content" ObjectID="_1586685584" r:id="rId8"/>
        </w:object>
      </w:r>
      <w:r>
        <w:rPr>
          <w:szCs w:val="22"/>
        </w:rPr>
        <w:tab/>
        <w:t>(1)</w:t>
      </w:r>
    </w:p>
    <w:p w14:paraId="16D3B25A" w14:textId="77777777" w:rsidR="00EE7B60" w:rsidRDefault="00EE7B60" w:rsidP="00DB3F34">
      <w:pPr>
        <w:spacing w:after="120"/>
        <w:jc w:val="both"/>
        <w:rPr>
          <w:szCs w:val="22"/>
        </w:rPr>
      </w:pPr>
    </w:p>
    <w:p w14:paraId="526DEE40" w14:textId="77777777" w:rsidR="003024ED" w:rsidRPr="00C244DF" w:rsidRDefault="003024ED" w:rsidP="00DB3F34">
      <w:pPr>
        <w:spacing w:after="120"/>
        <w:jc w:val="both"/>
        <w:rPr>
          <w:szCs w:val="22"/>
          <w:lang w:val="en-US"/>
        </w:rPr>
      </w:pPr>
      <w:r w:rsidRPr="005D1616">
        <w:rPr>
          <w:szCs w:val="22"/>
        </w:rPr>
        <w:t xml:space="preserve">where </w:t>
      </w:r>
      <w:r w:rsidRPr="00E8262B">
        <w:rPr>
          <w:i/>
          <w:szCs w:val="22"/>
        </w:rPr>
        <w:t>N</w:t>
      </w:r>
      <w:r w:rsidRPr="00C244DF">
        <w:rPr>
          <w:szCs w:val="22"/>
        </w:rPr>
        <w:t xml:space="preserve"> </w:t>
      </w:r>
      <w:r w:rsidR="00227D1E">
        <w:rPr>
          <w:szCs w:val="22"/>
        </w:rPr>
        <w:t xml:space="preserve">is </w:t>
      </w:r>
      <w:r w:rsidRPr="00C244DF">
        <w:rPr>
          <w:szCs w:val="22"/>
        </w:rPr>
        <w:t xml:space="preserve">the wave action density spectrum, </w:t>
      </w:r>
      <w:r w:rsidRPr="00E8262B">
        <w:rPr>
          <w:i/>
          <w:szCs w:val="22"/>
        </w:rPr>
        <w:t>S</w:t>
      </w:r>
      <w:r w:rsidRPr="00C244DF">
        <w:rPr>
          <w:szCs w:val="22"/>
        </w:rPr>
        <w:t xml:space="preserve"> the source terms</w:t>
      </w:r>
      <w:r w:rsidR="00227D1E">
        <w:rPr>
          <w:szCs w:val="22"/>
        </w:rPr>
        <w:t>,</w:t>
      </w:r>
      <w:r w:rsidRPr="00C244DF">
        <w:rPr>
          <w:szCs w:val="22"/>
        </w:rPr>
        <w:t xml:space="preserve"> and</w:t>
      </w:r>
      <w:r w:rsidR="00E8262B">
        <w:rPr>
          <w:szCs w:val="22"/>
        </w:rPr>
        <w:t xml:space="preserve"> </w:t>
      </w:r>
      <w:r w:rsidR="00E8262B">
        <w:rPr>
          <w:szCs w:val="22"/>
        </w:rPr>
        <w:sym w:font="Symbol" w:char="F073"/>
      </w:r>
      <w:r w:rsidRPr="00C244DF">
        <w:rPr>
          <w:szCs w:val="22"/>
        </w:rPr>
        <w:t xml:space="preserve"> the intrinsic (radian) frequency.</w:t>
      </w:r>
    </w:p>
    <w:p w14:paraId="5E59F8FF" w14:textId="77777777" w:rsidR="00910F4A" w:rsidRPr="00C244DF" w:rsidRDefault="00501630" w:rsidP="00DB3F34">
      <w:pPr>
        <w:spacing w:after="120"/>
        <w:jc w:val="both"/>
        <w:rPr>
          <w:szCs w:val="22"/>
        </w:rPr>
      </w:pPr>
      <w:r w:rsidRPr="00C244DF">
        <w:rPr>
          <w:szCs w:val="22"/>
        </w:rPr>
        <w:t xml:space="preserve">The source terms proposed by </w:t>
      </w:r>
      <w:proofErr w:type="spellStart"/>
      <w:r w:rsidRPr="00C244DF">
        <w:rPr>
          <w:szCs w:val="22"/>
        </w:rPr>
        <w:t>Tolman</w:t>
      </w:r>
      <w:proofErr w:type="spellEnd"/>
      <w:r w:rsidRPr="00C244DF">
        <w:rPr>
          <w:szCs w:val="22"/>
        </w:rPr>
        <w:t xml:space="preserve"> and </w:t>
      </w:r>
      <w:proofErr w:type="spellStart"/>
      <w:r w:rsidRPr="00C244DF">
        <w:rPr>
          <w:szCs w:val="22"/>
        </w:rPr>
        <w:t>Chalikov's</w:t>
      </w:r>
      <w:proofErr w:type="spellEnd"/>
      <w:r w:rsidRPr="00C244DF">
        <w:rPr>
          <w:szCs w:val="22"/>
        </w:rPr>
        <w:t xml:space="preserve"> [1996]</w:t>
      </w:r>
      <w:r w:rsidR="003024ED" w:rsidRPr="00C244DF">
        <w:rPr>
          <w:szCs w:val="22"/>
        </w:rPr>
        <w:t xml:space="preserve"> were used for the </w:t>
      </w:r>
      <w:proofErr w:type="spellStart"/>
      <w:r w:rsidR="003024ED" w:rsidRPr="00C244DF">
        <w:rPr>
          <w:szCs w:val="22"/>
        </w:rPr>
        <w:t>hindcast</w:t>
      </w:r>
      <w:proofErr w:type="spellEnd"/>
      <w:r w:rsidRPr="00C244DF">
        <w:rPr>
          <w:szCs w:val="22"/>
        </w:rPr>
        <w:t xml:space="preserve"> </w:t>
      </w:r>
      <w:r w:rsidR="00910F4A" w:rsidRPr="00C244DF">
        <w:rPr>
          <w:szCs w:val="22"/>
        </w:rPr>
        <w:t>and the surface wind speed at 10 m elevation (</w:t>
      </w:r>
      <w:r w:rsidR="00910F4A" w:rsidRPr="00C244DF">
        <w:rPr>
          <w:i/>
          <w:szCs w:val="22"/>
        </w:rPr>
        <w:t>U</w:t>
      </w:r>
      <w:r w:rsidR="00910F4A" w:rsidRPr="00C244DF">
        <w:rPr>
          <w:szCs w:val="22"/>
          <w:vertAlign w:val="subscript"/>
        </w:rPr>
        <w:t>10</w:t>
      </w:r>
      <w:r w:rsidR="00910F4A" w:rsidRPr="00C244DF">
        <w:rPr>
          <w:szCs w:val="22"/>
        </w:rPr>
        <w:t xml:space="preserve">) </w:t>
      </w:r>
      <w:r w:rsidR="003024ED" w:rsidRPr="00C244DF">
        <w:rPr>
          <w:szCs w:val="22"/>
        </w:rPr>
        <w:t>were</w:t>
      </w:r>
      <w:r w:rsidR="00910F4A" w:rsidRPr="00C244DF">
        <w:rPr>
          <w:szCs w:val="22"/>
        </w:rPr>
        <w:t xml:space="preserve"> modified to account for the instability of the atmospheric boundary layer (the “effective” wind speed; </w:t>
      </w:r>
      <w:proofErr w:type="spellStart"/>
      <w:r w:rsidR="00910F4A" w:rsidRPr="00C244DF">
        <w:rPr>
          <w:szCs w:val="22"/>
        </w:rPr>
        <w:t>Tolman</w:t>
      </w:r>
      <w:proofErr w:type="spellEnd"/>
      <w:r w:rsidR="00910F4A" w:rsidRPr="00C244DF">
        <w:rPr>
          <w:szCs w:val="22"/>
        </w:rPr>
        <w:t xml:space="preserve">, 2002). </w:t>
      </w:r>
      <w:r w:rsidR="003024ED" w:rsidRPr="00C244DF">
        <w:rPr>
          <w:szCs w:val="22"/>
        </w:rPr>
        <w:t xml:space="preserve">Being a third generation model, WW3 allows for a punctual, although approximate, representation of </w:t>
      </w:r>
      <m:oMath>
        <m:sSub>
          <m:sSubPr>
            <m:ctrlPr>
              <w:rPr>
                <w:rFonts w:ascii="Cambria Math" w:hAnsi="Cambria Math"/>
                <w:i/>
                <w:szCs w:val="22"/>
              </w:rPr>
            </m:ctrlPr>
          </m:sSubPr>
          <m:e>
            <m:r>
              <w:rPr>
                <w:rFonts w:ascii="Cambria Math" w:hAnsi="Cambria Math"/>
                <w:szCs w:val="22"/>
              </w:rPr>
              <m:t>S</m:t>
            </m:r>
          </m:e>
          <m:sub>
            <m:r>
              <w:rPr>
                <w:rFonts w:ascii="Cambria Math" w:hAnsi="Cambria Math"/>
                <w:szCs w:val="22"/>
              </w:rPr>
              <m:t>nl</m:t>
            </m:r>
          </m:sub>
        </m:sSub>
      </m:oMath>
      <w:r w:rsidR="003024ED" w:rsidRPr="00C244DF">
        <w:rPr>
          <w:szCs w:val="22"/>
        </w:rPr>
        <w:t xml:space="preserve">for which the </w:t>
      </w:r>
      <w:r w:rsidR="00910F4A" w:rsidRPr="00C244DF">
        <w:rPr>
          <w:szCs w:val="22"/>
        </w:rPr>
        <w:t xml:space="preserve">discrete interaction approximation (DIA) method </w:t>
      </w:r>
      <w:r w:rsidR="003024ED" w:rsidRPr="00C244DF">
        <w:rPr>
          <w:szCs w:val="22"/>
        </w:rPr>
        <w:t>was chosen</w:t>
      </w:r>
      <w:r w:rsidR="00910F4A" w:rsidRPr="00897CBD">
        <w:rPr>
          <w:szCs w:val="22"/>
        </w:rPr>
        <w:t xml:space="preserve"> [</w:t>
      </w:r>
      <w:proofErr w:type="spellStart"/>
      <w:r w:rsidR="00910F4A" w:rsidRPr="00897CBD">
        <w:rPr>
          <w:szCs w:val="22"/>
        </w:rPr>
        <w:t>Hasselmann</w:t>
      </w:r>
      <w:proofErr w:type="spellEnd"/>
      <w:r w:rsidR="00910F4A" w:rsidRPr="00897CBD">
        <w:rPr>
          <w:szCs w:val="22"/>
        </w:rPr>
        <w:t xml:space="preserve"> et al. 1985]. For spatial propagation of the wave spectrum,</w:t>
      </w:r>
      <w:r w:rsidR="00910F4A" w:rsidRPr="005D1616">
        <w:rPr>
          <w:szCs w:val="22"/>
        </w:rPr>
        <w:t xml:space="preserve"> the default third-order advection scheme</w:t>
      </w:r>
      <w:r w:rsidR="003024ED" w:rsidRPr="005D1616">
        <w:rPr>
          <w:szCs w:val="22"/>
        </w:rPr>
        <w:t xml:space="preserve"> was used</w:t>
      </w:r>
      <w:r w:rsidR="00910F4A" w:rsidRPr="00C244DF">
        <w:rPr>
          <w:szCs w:val="22"/>
        </w:rPr>
        <w:t xml:space="preserve">. </w:t>
      </w:r>
    </w:p>
    <w:p w14:paraId="3CB2301E" w14:textId="77777777" w:rsidR="00910F4A" w:rsidRDefault="00910F4A" w:rsidP="00DB3F34">
      <w:pPr>
        <w:spacing w:after="120"/>
        <w:rPr>
          <w:szCs w:val="22"/>
        </w:rPr>
      </w:pPr>
      <w:r w:rsidRPr="00C244DF">
        <w:rPr>
          <w:szCs w:val="22"/>
        </w:rPr>
        <w:t xml:space="preserve"> </w:t>
      </w:r>
      <w:r w:rsidR="00C244DF" w:rsidRPr="00C244DF">
        <w:rPr>
          <w:szCs w:val="22"/>
        </w:rPr>
        <w:t>The spectral space was</w:t>
      </w:r>
      <w:r w:rsidRPr="00C244DF">
        <w:rPr>
          <w:szCs w:val="22"/>
        </w:rPr>
        <w:t xml:space="preserve"> discretized using 35 frequencies ranging from 0.0412 Hz to 1.05 Hz (relative frequency of 10%, </w:t>
      </w:r>
      <w:r w:rsidRPr="00C244DF">
        <w:rPr>
          <w:i/>
          <w:szCs w:val="22"/>
        </w:rPr>
        <w:t>f</w:t>
      </w:r>
      <w:r w:rsidRPr="00C244DF">
        <w:rPr>
          <w:szCs w:val="22"/>
          <w:vertAlign w:val="subscript"/>
        </w:rPr>
        <w:t>m+1</w:t>
      </w:r>
      <w:r w:rsidRPr="00C244DF">
        <w:rPr>
          <w:szCs w:val="22"/>
        </w:rPr>
        <w:t xml:space="preserve"> = 1.1</w:t>
      </w:r>
      <w:r w:rsidRPr="00C244DF">
        <w:rPr>
          <w:i/>
          <w:szCs w:val="22"/>
        </w:rPr>
        <w:t>f</w:t>
      </w:r>
      <w:r w:rsidRPr="00C244DF">
        <w:rPr>
          <w:szCs w:val="22"/>
          <w:vertAlign w:val="subscript"/>
        </w:rPr>
        <w:t>m</w:t>
      </w:r>
      <w:r w:rsidRPr="00C244DF">
        <w:rPr>
          <w:szCs w:val="22"/>
        </w:rPr>
        <w:t>, where m is a discrete grid counter) with 36 directions (</w:t>
      </w:r>
      <w:proofErr w:type="spellStart"/>
      <w:r w:rsidRPr="00C244DF">
        <w:rPr>
          <w:i/>
          <w:szCs w:val="22"/>
        </w:rPr>
        <w:t>Δθ</w:t>
      </w:r>
      <w:proofErr w:type="spellEnd"/>
      <w:r w:rsidRPr="00C244DF">
        <w:rPr>
          <w:szCs w:val="22"/>
        </w:rPr>
        <w:t xml:space="preserve"> = 10°). We assume</w:t>
      </w:r>
      <w:r w:rsidR="00C244DF" w:rsidRPr="00C244DF">
        <w:rPr>
          <w:szCs w:val="22"/>
        </w:rPr>
        <w:t>d</w:t>
      </w:r>
      <w:r w:rsidRPr="00C244DF">
        <w:rPr>
          <w:szCs w:val="22"/>
        </w:rPr>
        <w:t xml:space="preserve"> an </w:t>
      </w:r>
      <w:r w:rsidRPr="00C244DF">
        <w:rPr>
          <w:i/>
          <w:szCs w:val="22"/>
        </w:rPr>
        <w:t>f</w:t>
      </w:r>
      <w:r w:rsidRPr="00C244DF">
        <w:rPr>
          <w:szCs w:val="22"/>
          <w:vertAlign w:val="superscript"/>
        </w:rPr>
        <w:t>−5</w:t>
      </w:r>
      <w:r w:rsidRPr="00C244DF">
        <w:rPr>
          <w:szCs w:val="22"/>
        </w:rPr>
        <w:t xml:space="preserve"> spectral tail outside the model frequency range, as used in the default WW3 settings. </w:t>
      </w:r>
      <w:r w:rsidR="00C244DF" w:rsidRPr="00C244DF">
        <w:rPr>
          <w:szCs w:val="22"/>
        </w:rPr>
        <w:t xml:space="preserve">The directional wave spectra from the </w:t>
      </w:r>
      <w:proofErr w:type="spellStart"/>
      <w:r w:rsidR="00C244DF" w:rsidRPr="00C244DF">
        <w:rPr>
          <w:szCs w:val="22"/>
        </w:rPr>
        <w:t>hindcast</w:t>
      </w:r>
      <w:proofErr w:type="spellEnd"/>
      <w:r w:rsidR="00C244DF" w:rsidRPr="00C244DF">
        <w:rPr>
          <w:szCs w:val="22"/>
        </w:rPr>
        <w:t xml:space="preserve"> were stored every </w:t>
      </w:r>
      <w:r w:rsidRPr="00C244DF">
        <w:rPr>
          <w:szCs w:val="22"/>
        </w:rPr>
        <w:t xml:space="preserve">30 minutes </w:t>
      </w:r>
      <w:r w:rsidR="00C244DF" w:rsidRPr="00C244DF">
        <w:rPr>
          <w:szCs w:val="22"/>
        </w:rPr>
        <w:t xml:space="preserve">along 4 trajectories </w:t>
      </w:r>
      <w:r w:rsidR="007349BB">
        <w:rPr>
          <w:szCs w:val="22"/>
        </w:rPr>
        <w:t xml:space="preserve">on the model grid points surrounding each point along </w:t>
      </w:r>
      <w:r w:rsidR="00C244DF" w:rsidRPr="00C244DF">
        <w:rPr>
          <w:szCs w:val="22"/>
        </w:rPr>
        <w:t>the ship’s track</w:t>
      </w:r>
      <w:r w:rsidR="007541B7">
        <w:rPr>
          <w:szCs w:val="22"/>
        </w:rPr>
        <w:t>; these are then averaged to provide a single model spectrum representative of the ship’s location.</w:t>
      </w:r>
    </w:p>
    <w:p w14:paraId="1AECD4CE" w14:textId="77777777" w:rsidR="00E8262B" w:rsidRDefault="00E8262B" w:rsidP="00DB3F34">
      <w:pPr>
        <w:spacing w:after="120"/>
        <w:rPr>
          <w:szCs w:val="22"/>
        </w:rPr>
      </w:pPr>
    </w:p>
    <w:p w14:paraId="0AAC9784" w14:textId="77777777" w:rsidR="000B48F3" w:rsidRPr="00DB3F34" w:rsidRDefault="00101F3B" w:rsidP="00DB3F34">
      <w:pPr>
        <w:spacing w:after="120"/>
        <w:rPr>
          <w:b/>
          <w:szCs w:val="22"/>
        </w:rPr>
      </w:pPr>
      <w:r>
        <w:rPr>
          <w:b/>
          <w:szCs w:val="22"/>
        </w:rPr>
        <w:t>Wave S</w:t>
      </w:r>
      <w:r w:rsidR="000B48F3">
        <w:rPr>
          <w:b/>
          <w:szCs w:val="22"/>
        </w:rPr>
        <w:t>pectra</w:t>
      </w:r>
      <w:r>
        <w:rPr>
          <w:b/>
          <w:szCs w:val="22"/>
        </w:rPr>
        <w:t xml:space="preserve"> P</w:t>
      </w:r>
      <w:r w:rsidR="00E8262B" w:rsidRPr="00E8262B">
        <w:rPr>
          <w:b/>
          <w:szCs w:val="22"/>
        </w:rPr>
        <w:t>art</w:t>
      </w:r>
      <w:r w:rsidR="00E8262B">
        <w:rPr>
          <w:b/>
          <w:szCs w:val="22"/>
        </w:rPr>
        <w:t>it</w:t>
      </w:r>
      <w:r w:rsidR="00E8262B" w:rsidRPr="00E8262B">
        <w:rPr>
          <w:b/>
          <w:szCs w:val="22"/>
        </w:rPr>
        <w:t>ioning</w:t>
      </w:r>
    </w:p>
    <w:p w14:paraId="1A3D4AAB" w14:textId="77777777" w:rsidR="00E92B17" w:rsidRDefault="00E8262B" w:rsidP="00DB3F34">
      <w:pPr>
        <w:spacing w:after="120"/>
        <w:jc w:val="both"/>
      </w:pPr>
      <w:r>
        <w:t>There have been many schemes proposed to separate the wind sea and swell components of the wave spectrum; none are perfect, and th</w:t>
      </w:r>
      <w:r w:rsidR="00E92B17">
        <w:t>ere is little</w:t>
      </w:r>
      <w:r>
        <w:t xml:space="preserve"> consensus on the best approach. [</w:t>
      </w:r>
      <w:r w:rsidRPr="00487BC7">
        <w:rPr>
          <w:i/>
          <w:highlight w:val="yellow"/>
        </w:rPr>
        <w:t>add background</w:t>
      </w:r>
      <w:r>
        <w:t xml:space="preserve">] </w:t>
      </w:r>
    </w:p>
    <w:p w14:paraId="3C663FF0" w14:textId="77777777" w:rsidR="00E8262B" w:rsidRDefault="00E8262B" w:rsidP="00DB3F34">
      <w:pPr>
        <w:spacing w:after="120"/>
        <w:jc w:val="both"/>
      </w:pPr>
      <w:r>
        <w:t xml:space="preserve">It is perhaps inevitable that any definition based on identifying thresholds of frequency and direction for </w:t>
      </w:r>
      <w:proofErr w:type="gramStart"/>
      <w:r>
        <w:t>a single spectra</w:t>
      </w:r>
      <w:proofErr w:type="gramEnd"/>
      <w:r>
        <w:t xml:space="preserve"> will fail on some borderline cases, particularly for measured spectra, which are usually noisy, may be non-stationary, and for which small changes in the averaging period can result in changes in spectral peak frequency and direction sufficient to alter their classification. </w:t>
      </w:r>
    </w:p>
    <w:p w14:paraId="39AFAE68" w14:textId="77777777" w:rsidR="00E8262B" w:rsidRDefault="00E8262B" w:rsidP="00DB3F34">
      <w:pPr>
        <w:spacing w:after="120"/>
        <w:jc w:val="both"/>
      </w:pPr>
      <w:r>
        <w:t xml:space="preserve">We partition the directional spectrum into wind sea and swell components following the general approach of Hanson and Phillips (2001) and </w:t>
      </w:r>
      <w:proofErr w:type="spellStart"/>
      <w:r>
        <w:t>Portilla</w:t>
      </w:r>
      <w:proofErr w:type="spellEnd"/>
      <w:r>
        <w:t xml:space="preserve"> et al. (2009). The spectra are divided up into an arbitrary number of wave groups using an inverted </w:t>
      </w:r>
      <w:commentRangeStart w:id="1"/>
      <w:r>
        <w:t xml:space="preserve">watershed </w:t>
      </w:r>
      <w:commentRangeEnd w:id="1"/>
      <w:r w:rsidR="00E92B17">
        <w:rPr>
          <w:rStyle w:val="CommentReference"/>
          <w:rFonts w:ascii="Arial" w:hAnsi="Arial" w:cs="Arial"/>
        </w:rPr>
        <w:commentReference w:id="1"/>
      </w:r>
      <w:r>
        <w:t>algorithm (</w:t>
      </w:r>
      <w:proofErr w:type="spellStart"/>
      <w:r>
        <w:t>Portilla</w:t>
      </w:r>
      <w:proofErr w:type="spellEnd"/>
      <w:r>
        <w:t xml:space="preserve"> et al., 2009; Hanson and Jensen, 2004) which associates each point in the spectrum with a local peak. The observational spectra can be very noisy and generate a large number of wave groups. </w:t>
      </w:r>
      <w:proofErr w:type="spellStart"/>
      <w:r>
        <w:t>Portilla</w:t>
      </w:r>
      <w:proofErr w:type="spellEnd"/>
      <w:r>
        <w:t xml:space="preserve"> et al. (2009) reduced these by first smoothing the spectrum, effectively applying a 3×3 element average around each spectral estimate. Hanson and Jensen (2004) used a slightly different approach, applying an 8-point connected smoothing </w:t>
      </w:r>
      <w:commentRangeStart w:id="2"/>
      <w:r>
        <w:t>transform</w:t>
      </w:r>
      <w:r w:rsidR="00E92B17">
        <w:t xml:space="preserve"> around each spectral estimate</w:t>
      </w:r>
      <w:r>
        <w:t xml:space="preserve"> </w:t>
      </w:r>
      <w:commentRangeEnd w:id="2"/>
      <w:r w:rsidR="00E92B17">
        <w:rPr>
          <w:rStyle w:val="CommentReference"/>
          <w:rFonts w:ascii="Arial" w:hAnsi="Arial" w:cs="Arial"/>
        </w:rPr>
        <w:commentReference w:id="2"/>
      </w:r>
      <w:r>
        <w:t xml:space="preserve">to remove local peaks less than some threshold value. We </w:t>
      </w:r>
      <w:r w:rsidR="00E92B17">
        <w:t>combine these approaches, first applying a 3x3 element averaging kernel around each point, then removing remaining local peaks</w:t>
      </w:r>
      <w:r>
        <w:t xml:space="preserve"> </w:t>
      </w:r>
      <w:r w:rsidR="00E92B17">
        <w:t xml:space="preserve">less than </w:t>
      </w:r>
      <w:r>
        <w:t>threshold of 1.5% of the spectra</w:t>
      </w:r>
      <w:r w:rsidR="00E92B17">
        <w:t>l maximum. This usually results</w:t>
      </w:r>
      <w:r>
        <w:t xml:space="preserve"> in fewer than 10 discrete wave groups being returned. We then combine any wav</w:t>
      </w:r>
      <w:r w:rsidR="00D65F62">
        <w:t>e group contributing less than 8</w:t>
      </w:r>
      <w:r>
        <w:t xml:space="preserve">% of the total spectral energy with the group with a peak closest to its own. </w:t>
      </w:r>
      <w:proofErr w:type="gramStart"/>
      <w:r>
        <w:t>Finally</w:t>
      </w:r>
      <w:proofErr w:type="gramEnd"/>
      <w:r>
        <w:t xml:space="preserve"> we partition</w:t>
      </w:r>
      <w:r w:rsidR="00E92B17">
        <w:t xml:space="preserve"> all</w:t>
      </w:r>
      <w:r>
        <w:t xml:space="preserve"> the</w:t>
      </w:r>
      <w:r w:rsidR="00E92B17">
        <w:t xml:space="preserve"> remaining</w:t>
      </w:r>
      <w:r>
        <w:t xml:space="preserve"> wave groups into wind sea and swell using the wave age criterion of Hanson and Phillips (2001):</w:t>
      </w:r>
    </w:p>
    <w:p w14:paraId="23C2ABEB" w14:textId="77777777" w:rsidR="00E8262B" w:rsidRDefault="00E8262B" w:rsidP="00DB3F34">
      <w:pPr>
        <w:spacing w:after="120"/>
        <w:jc w:val="both"/>
      </w:pPr>
    </w:p>
    <w:p w14:paraId="7E4A0B91" w14:textId="77777777" w:rsidR="00E8262B" w:rsidRDefault="00E8262B" w:rsidP="00DB3F34">
      <w:pPr>
        <w:tabs>
          <w:tab w:val="left" w:pos="3686"/>
          <w:tab w:val="left" w:pos="8505"/>
        </w:tabs>
        <w:spacing w:after="120"/>
        <w:jc w:val="both"/>
      </w:pPr>
      <w:r>
        <w:tab/>
      </w:r>
      <w:r w:rsidRPr="00067EF1">
        <w:rPr>
          <w:position w:val="-14"/>
        </w:rPr>
        <w:object w:dxaOrig="1660" w:dyaOrig="380" w14:anchorId="164E0F70">
          <v:shape id="_x0000_i1026" type="#_x0000_t75" style="width:82.5pt;height:18.75pt" o:ole="">
            <v:imagedata r:id="rId9" o:title=""/>
          </v:shape>
          <o:OLEObject Type="Embed" ProgID="Equation.3" ShapeID="_x0000_i1026" DrawAspect="Content" ObjectID="_1586685585" r:id="rId10"/>
        </w:object>
      </w:r>
      <w:r w:rsidR="00B00CE1">
        <w:t>,</w:t>
      </w:r>
      <w:r w:rsidR="00B00CE1">
        <w:tab/>
        <w:t>(2</w:t>
      </w:r>
      <w:r>
        <w:t>)</w:t>
      </w:r>
    </w:p>
    <w:p w14:paraId="79AAB887" w14:textId="77777777" w:rsidR="00E8262B" w:rsidRDefault="00E8262B" w:rsidP="00DB3F34">
      <w:pPr>
        <w:spacing w:after="120"/>
        <w:jc w:val="both"/>
      </w:pPr>
    </w:p>
    <w:p w14:paraId="257600D1" w14:textId="77777777" w:rsidR="00E8262B" w:rsidRDefault="00E8262B" w:rsidP="00DB3F34">
      <w:pPr>
        <w:spacing w:after="120"/>
        <w:jc w:val="both"/>
      </w:pPr>
      <w:r>
        <w:t xml:space="preserve">Where </w:t>
      </w:r>
      <w:proofErr w:type="spellStart"/>
      <w:r w:rsidRPr="00067EF1">
        <w:rPr>
          <w:rFonts w:ascii="Times New Roman" w:hAnsi="Times New Roman"/>
          <w:i/>
        </w:rPr>
        <w:t>c</w:t>
      </w:r>
      <w:r w:rsidRPr="00067EF1">
        <w:rPr>
          <w:rFonts w:ascii="Times New Roman" w:hAnsi="Times New Roman"/>
          <w:vertAlign w:val="subscript"/>
        </w:rPr>
        <w:t>p</w:t>
      </w:r>
      <w:proofErr w:type="spellEnd"/>
      <w:r>
        <w:t xml:space="preserve"> is the phase speed at the peak frequency of the wave group, </w:t>
      </w:r>
      <w:r w:rsidRPr="00067EF1">
        <w:rPr>
          <w:rFonts w:ascii="Times New Roman" w:hAnsi="Times New Roman"/>
          <w:i/>
        </w:rPr>
        <w:t>U</w:t>
      </w:r>
      <w:r>
        <w:rPr>
          <w:vertAlign w:val="subscript"/>
        </w:rPr>
        <w:t>10</w:t>
      </w:r>
      <w:r>
        <w:t xml:space="preserve"> is the 10-m wind speed, and </w:t>
      </w:r>
      <w:r w:rsidRPr="00067EF1">
        <w:rPr>
          <w:i/>
        </w:rPr>
        <w:sym w:font="Symbol" w:char="F064"/>
      </w:r>
      <w:r>
        <w:t xml:space="preserve"> </w:t>
      </w:r>
      <w:r>
        <w:lastRenderedPageBreak/>
        <w:t xml:space="preserve">is the angle between the directions of the wind and the peak of the wave group. This is reformulated in terms of the peak frequency, </w:t>
      </w:r>
      <w:proofErr w:type="spellStart"/>
      <w:r w:rsidRPr="00067EF1">
        <w:rPr>
          <w:rFonts w:ascii="Times New Roman" w:hAnsi="Times New Roman"/>
          <w:i/>
        </w:rPr>
        <w:t>f</w:t>
      </w:r>
      <w:r w:rsidRPr="00067EF1">
        <w:rPr>
          <w:rFonts w:ascii="Times New Roman" w:hAnsi="Times New Roman"/>
          <w:vertAlign w:val="subscript"/>
        </w:rPr>
        <w:t>p</w:t>
      </w:r>
      <w:proofErr w:type="spellEnd"/>
      <w:r w:rsidR="00D02A13">
        <w:t>, for deep water waves</w:t>
      </w:r>
      <w:r>
        <w:t>:</w:t>
      </w:r>
    </w:p>
    <w:p w14:paraId="3B0A0973" w14:textId="77777777" w:rsidR="00E8262B" w:rsidRDefault="00E8262B" w:rsidP="00DB3F34">
      <w:pPr>
        <w:spacing w:after="120"/>
        <w:jc w:val="both"/>
      </w:pPr>
    </w:p>
    <w:p w14:paraId="0B194B1C" w14:textId="77777777" w:rsidR="00E8262B" w:rsidRPr="00067EF1" w:rsidRDefault="00E8262B" w:rsidP="00DB3F34">
      <w:pPr>
        <w:tabs>
          <w:tab w:val="left" w:pos="2835"/>
          <w:tab w:val="left" w:pos="8505"/>
        </w:tabs>
        <w:spacing w:after="120"/>
        <w:jc w:val="both"/>
      </w:pPr>
      <w:r>
        <w:tab/>
      </w:r>
      <w:r w:rsidRPr="00067EF1">
        <w:rPr>
          <w:position w:val="-24"/>
        </w:rPr>
        <w:object w:dxaOrig="3720" w:dyaOrig="620" w14:anchorId="4BB2EAF8">
          <v:shape id="_x0000_i1027" type="#_x0000_t75" style="width:186pt;height:31.5pt" o:ole="">
            <v:imagedata r:id="rId11" o:title=""/>
          </v:shape>
          <o:OLEObject Type="Embed" ProgID="Equation.3" ShapeID="_x0000_i1027" DrawAspect="Content" ObjectID="_1586685586" r:id="rId12"/>
        </w:object>
      </w:r>
      <w:r w:rsidR="00B00CE1">
        <w:t>.</w:t>
      </w:r>
      <w:r w:rsidR="00B00CE1">
        <w:tab/>
        <w:t>(3</w:t>
      </w:r>
      <w:r>
        <w:t>)</w:t>
      </w:r>
    </w:p>
    <w:p w14:paraId="64632BD7" w14:textId="77777777" w:rsidR="00E8262B" w:rsidRDefault="00E8262B" w:rsidP="00DB3F34">
      <w:pPr>
        <w:spacing w:after="120"/>
        <w:jc w:val="both"/>
      </w:pPr>
    </w:p>
    <w:p w14:paraId="4B95B990" w14:textId="77777777" w:rsidR="001B1336" w:rsidRDefault="00E8262B" w:rsidP="00DB3F34">
      <w:pPr>
        <w:spacing w:after="120"/>
        <w:jc w:val="both"/>
      </w:pPr>
      <w:r>
        <w:t>Hanson and Phillips (2001) note that the factor of 1.5 is generous, but ensures that all possible wind sea peaks are identified. Since our primary concern is the influence of wave breaking on air-sea gas exchange, a process dominated by the wind sea, we group all wind sea and all swell systems together to give a single group of each.</w:t>
      </w:r>
      <w:r w:rsidR="000F051F">
        <w:t xml:space="preserve"> I</w:t>
      </w:r>
      <w:r w:rsidR="001B1336">
        <w:t xml:space="preserve">n order to maintain consistency for both observed and modelled spectra, we apply the same processing to the 2D spectra from WAVEWATCH-III, to generate single wind wave and swell groups for the same periods as for the observed spectra. </w:t>
      </w:r>
      <w:r w:rsidR="003B0573">
        <w:t xml:space="preserve">The modelled spectra extend to higher frequencies than the </w:t>
      </w:r>
      <w:proofErr w:type="spellStart"/>
      <w:r w:rsidR="003B0573">
        <w:t>waverider</w:t>
      </w:r>
      <w:proofErr w:type="spellEnd"/>
      <w:r w:rsidR="003B0573">
        <w:t>, and are truncated to match prior to calculating wave spectral statistics.</w:t>
      </w:r>
    </w:p>
    <w:p w14:paraId="49FC96B7" w14:textId="77777777" w:rsidR="00E37C52" w:rsidRDefault="00E37C52" w:rsidP="00DB3F34">
      <w:pPr>
        <w:spacing w:after="120"/>
        <w:jc w:val="both"/>
      </w:pPr>
      <w:r>
        <w:t xml:space="preserve">An example of directional spectra from the </w:t>
      </w:r>
      <w:proofErr w:type="spellStart"/>
      <w:r>
        <w:t>waverider</w:t>
      </w:r>
      <w:proofErr w:type="spellEnd"/>
      <w:r>
        <w:t xml:space="preserve"> and WAVEWATCH-III are shown in Figure AA2; the grey shaded area indicates the Hanson and Phillips (2001) criteria for spectral peaks associated with wind seas. In this case both a small wind sea and a swell are identified in the observed spectrum, while only the swell is </w:t>
      </w:r>
      <w:proofErr w:type="spellStart"/>
      <w:r>
        <w:t>indentified</w:t>
      </w:r>
      <w:proofErr w:type="spellEnd"/>
      <w:r>
        <w:t xml:space="preserve"> in the modelled spectrum. There is close agreement in both the location (in frequency and direction) and magnitude of the swell peak.</w:t>
      </w:r>
    </w:p>
    <w:p w14:paraId="7A2EB64E" w14:textId="77777777" w:rsidR="009F4105" w:rsidRPr="00720D1F" w:rsidRDefault="009F4105" w:rsidP="00DB3F34">
      <w:pPr>
        <w:spacing w:after="120"/>
        <w:jc w:val="both"/>
      </w:pPr>
    </w:p>
    <w:p w14:paraId="6D14C7A4" w14:textId="77777777" w:rsidR="008C1872" w:rsidRPr="00720D1F" w:rsidRDefault="008C1872" w:rsidP="00DB3F34">
      <w:pPr>
        <w:spacing w:after="120"/>
        <w:jc w:val="both"/>
        <w:rPr>
          <w:b/>
        </w:rPr>
      </w:pPr>
      <w:r w:rsidRPr="00720D1F">
        <w:rPr>
          <w:b/>
        </w:rPr>
        <w:t>Wave Field Statistics</w:t>
      </w:r>
    </w:p>
    <w:p w14:paraId="513BE1C7" w14:textId="77777777" w:rsidR="008767E2" w:rsidRDefault="0066372F" w:rsidP="0066372F">
      <w:pPr>
        <w:spacing w:after="120"/>
        <w:jc w:val="both"/>
      </w:pPr>
      <w:r>
        <w:t>The observed mean wind and wave conditions (30 minute averages of 10-m neutral wind speed (U</w:t>
      </w:r>
      <w:r>
        <w:rPr>
          <w:vertAlign w:val="subscript"/>
        </w:rPr>
        <w:t>10</w:t>
      </w:r>
      <w:r>
        <w:rPr>
          <w:vertAlign w:val="subscript"/>
        </w:rPr>
        <w:softHyphen/>
      </w:r>
      <w:r>
        <w:t>) and direction, and significant wave height (H</w:t>
      </w:r>
      <w:r w:rsidRPr="0066372F">
        <w:rPr>
          <w:vertAlign w:val="subscript"/>
        </w:rPr>
        <w:t>s</w:t>
      </w:r>
      <w:r>
        <w:t xml:space="preserve">)) for the duration of the </w:t>
      </w:r>
      <w:proofErr w:type="spellStart"/>
      <w:r>
        <w:t>HiWinGS</w:t>
      </w:r>
      <w:proofErr w:type="spellEnd"/>
      <w:r>
        <w:t xml:space="preserve"> cruise are shown in Figure 2 along with the corresponding values from WAVEWATCH-III. The model values are the mean of the 4 grid points surrounding the ship position</w:t>
      </w:r>
      <w:r w:rsidR="008767E2">
        <w:t xml:space="preserve"> at each sample time. There is</w:t>
      </w:r>
      <w:r>
        <w:t xml:space="preserve"> </w:t>
      </w:r>
      <w:r w:rsidR="008767E2">
        <w:t>good agreement</w:t>
      </w:r>
      <w:r>
        <w:t xml:space="preserve"> between the wind forcing in the model and the observed values, although the observations are more variable and there are small discrepancies in both magnitude and timing of the main features. </w:t>
      </w:r>
    </w:p>
    <w:p w14:paraId="01516B3C" w14:textId="77777777" w:rsidR="0012519D" w:rsidRPr="006A7263" w:rsidRDefault="006A7263" w:rsidP="00DB3F34">
      <w:pPr>
        <w:spacing w:after="120"/>
        <w:jc w:val="both"/>
        <w:rPr>
          <w:b/>
        </w:rPr>
      </w:pPr>
      <w:r w:rsidRPr="006A7263">
        <w:rPr>
          <w:b/>
        </w:rPr>
        <w:t>1-Dimensional Spectra and Statistics</w:t>
      </w:r>
    </w:p>
    <w:p w14:paraId="2B8B8B67" w14:textId="77777777" w:rsidR="008767E2" w:rsidRPr="00644BE6" w:rsidRDefault="008767E2" w:rsidP="008767E2">
      <w:pPr>
        <w:spacing w:after="120"/>
        <w:jc w:val="both"/>
        <w:rPr>
          <w:vertAlign w:val="subscript"/>
        </w:rPr>
      </w:pPr>
      <w:r>
        <w:t>The significant wave height is similarly in good general agreement, although the model typically underestimates the peak wave heights and shows greater discrepancies in timing than is evident in the winds – for example during station 3 (</w:t>
      </w:r>
      <w:proofErr w:type="spellStart"/>
      <w:r>
        <w:t>DoY</w:t>
      </w:r>
      <w:proofErr w:type="spellEnd"/>
      <w:r>
        <w:t xml:space="preserve"> 291.75-294.6) where the model lags the measurements by 2-3 hours during both rising and falling wave heights, while cl</w:t>
      </w:r>
      <w:r w:rsidR="00A46086">
        <w:t xml:space="preserve">osely matching the peak values. The mean difference is just 0.28 m, or 6% when normalised by the measured Hs. The WW3 significant wave heights are plotted against the </w:t>
      </w:r>
      <w:proofErr w:type="spellStart"/>
      <w:r w:rsidR="00A46086">
        <w:t>waverider</w:t>
      </w:r>
      <w:proofErr w:type="spellEnd"/>
      <w:r w:rsidR="00A46086">
        <w:t xml:space="preserve"> measurements in </w:t>
      </w:r>
      <w:commentRangeStart w:id="3"/>
      <w:r w:rsidR="00A46086">
        <w:t>Figure</w:t>
      </w:r>
      <w:r w:rsidR="00C744DA">
        <w:t xml:space="preserve"> AA</w:t>
      </w:r>
      <w:commentRangeEnd w:id="3"/>
      <w:r w:rsidR="00A46086">
        <w:rPr>
          <w:rStyle w:val="CommentReference"/>
          <w:rFonts w:ascii="Arial" w:hAnsi="Arial" w:cs="Arial"/>
        </w:rPr>
        <w:commentReference w:id="3"/>
      </w:r>
      <w:r w:rsidR="00A46086">
        <w:t xml:space="preserve">. The generally good agreement, but tendency to underestimate the largest significant wave heights is clear. There are 6 distinct outliers where the model Hs is very low compared to the observations. These are consecutive points over a 3-hour period around </w:t>
      </w:r>
      <w:proofErr w:type="spellStart"/>
      <w:r w:rsidR="00A46086">
        <w:t>DoY</w:t>
      </w:r>
      <w:proofErr w:type="spellEnd"/>
      <w:r w:rsidR="00A46086">
        <w:t xml:space="preserve"> 298.5. At this time there is a rapid shift in wind direction of approximately 180°, and a temporary drop in wind speed, before a rapid increase to the maximum values observed during the cruise. The shift in wind is accompanied by a temporary drop in wave height within WW3, while </w:t>
      </w:r>
      <w:commentRangeStart w:id="4"/>
      <w:r w:rsidR="00A46086">
        <w:t xml:space="preserve">no reduction </w:t>
      </w:r>
      <w:commentRangeEnd w:id="4"/>
      <w:r w:rsidR="00BC5F93">
        <w:rPr>
          <w:rStyle w:val="CommentReference"/>
          <w:rFonts w:ascii="Arial" w:hAnsi="Arial" w:cs="Arial"/>
        </w:rPr>
        <w:commentReference w:id="4"/>
      </w:r>
      <w:r w:rsidR="00C744DA" w:rsidRPr="00C744DA">
        <w:t xml:space="preserve"> </w:t>
      </w:r>
      <w:r w:rsidR="00C744DA">
        <w:t>in the measured wave height is observed</w:t>
      </w:r>
      <w:r w:rsidR="00A46086">
        <w:t>.</w:t>
      </w:r>
      <w:r w:rsidR="00F37BD7">
        <w:t xml:space="preserve"> </w:t>
      </w:r>
      <w:r w:rsidR="00644BE6">
        <w:t xml:space="preserve">In order to check for </w:t>
      </w:r>
      <w:r w:rsidR="00F37BD7">
        <w:t>diff</w:t>
      </w:r>
      <w:r w:rsidR="00644BE6">
        <w:t>erences in behaviour</w:t>
      </w:r>
      <w:r w:rsidR="00F37BD7">
        <w:t xml:space="preserve"> for rising/falling </w:t>
      </w:r>
      <w:r w:rsidR="00644BE6">
        <w:t>winds, corresponding to actively growing wind seas and unforced swells, we partition the data into rising/falling/steady winds using a 3-hour running mean of wind speed, and threshold values of ±0.1 m s</w:t>
      </w:r>
      <w:r w:rsidR="00644BE6">
        <w:rPr>
          <w:vertAlign w:val="superscript"/>
        </w:rPr>
        <w:t>-1</w:t>
      </w:r>
      <w:r w:rsidR="00644BE6" w:rsidRPr="00644BE6">
        <w:t xml:space="preserve"> per </w:t>
      </w:r>
      <w:r w:rsidR="00644BE6">
        <w:t>30-minute interval to define the category boundaries. No obvious differences in behaviour are evident.</w:t>
      </w:r>
    </w:p>
    <w:p w14:paraId="236FC783" w14:textId="77777777" w:rsidR="00161AC3" w:rsidRDefault="00161AC3" w:rsidP="008767E2">
      <w:pPr>
        <w:spacing w:after="120"/>
        <w:jc w:val="both"/>
      </w:pPr>
      <w:r>
        <w:lastRenderedPageBreak/>
        <w:t xml:space="preserve">Figure </w:t>
      </w:r>
      <w:r w:rsidR="00C744DA">
        <w:t>BB</w:t>
      </w:r>
      <w:r>
        <w:t xml:space="preserve"> shows the total spectral energy from WW3 and the </w:t>
      </w:r>
      <w:proofErr w:type="spellStart"/>
      <w:r>
        <w:t>waverider</w:t>
      </w:r>
      <w:proofErr w:type="spellEnd"/>
      <w:r>
        <w:t xml:space="preserve"> – generally similar to Hs</w:t>
      </w:r>
      <w:r w:rsidR="00644BE6">
        <w:t xml:space="preserve"> [could omit this one?]</w:t>
      </w:r>
      <w:r>
        <w:t>.</w:t>
      </w:r>
    </w:p>
    <w:p w14:paraId="1245AA72" w14:textId="77777777" w:rsidR="00161AC3" w:rsidRDefault="00C744DA" w:rsidP="008767E2">
      <w:pPr>
        <w:spacing w:after="120"/>
        <w:jc w:val="both"/>
      </w:pPr>
      <w:r>
        <w:t>Figures CC and DD</w:t>
      </w:r>
      <w:r w:rsidR="00644BE6">
        <w:t xml:space="preserve"> show the spectral energy density and period at the peak of the 1-dimensional spectra. WW3 tends to underestimate both the peak energy density (mean normalised difference = 24.5%) and the peak period (mean normalised difference = 10.8%). </w:t>
      </w:r>
      <w:r w:rsidR="00FB7B23">
        <w:t xml:space="preserve">The peak energy density shows a greater tendency to be underestimated by the model during rising winds (85% of data points, mean difference = -33%) than falling (75% of data points, mean difference = -21%) or steady winds (77% of data points, mean difference = -24%). </w:t>
      </w:r>
    </w:p>
    <w:p w14:paraId="15A89BF0" w14:textId="77777777" w:rsidR="006A7263" w:rsidRDefault="00AB7482" w:rsidP="00DB3F34">
      <w:pPr>
        <w:spacing w:after="120"/>
        <w:jc w:val="both"/>
      </w:pPr>
      <w:r>
        <w:t xml:space="preserve">Typical spectra close to the peak of a storm </w:t>
      </w:r>
      <w:r w:rsidR="00E869CE">
        <w:t>are</w:t>
      </w:r>
      <w:r>
        <w:t xml:space="preserve"> shown in Figure EE. There is good agreement in spectral energy density at frequencies above the spectral peak, but the observed spectral peak is at slightly higher energy, and lower frequency, than that of the wave model. The slightly elevated spectral energy at the lowest frequencies of the </w:t>
      </w:r>
      <w:proofErr w:type="spellStart"/>
      <w:r>
        <w:t>waverider</w:t>
      </w:r>
      <w:proofErr w:type="spellEnd"/>
      <w:r>
        <w:t xml:space="preserve"> spectrum is spurious and results from integration of small low-frequency noise or bias signals in the </w:t>
      </w:r>
      <w:proofErr w:type="spellStart"/>
      <w:r>
        <w:t>waverider’s</w:t>
      </w:r>
      <w:proofErr w:type="spellEnd"/>
      <w:r>
        <w:t xml:space="preserve"> velocity measurements; </w:t>
      </w:r>
      <w:proofErr w:type="gramStart"/>
      <w:r>
        <w:t>however</w:t>
      </w:r>
      <w:proofErr w:type="gramEnd"/>
      <w:r>
        <w:t xml:space="preserve"> is contributes negligibly to the total spectral energy, spectral moments and wave statistics. The low frequency limit of the WW3 spectra varies with the wave state.</w:t>
      </w:r>
    </w:p>
    <w:p w14:paraId="00731115" w14:textId="77777777" w:rsidR="006A7263" w:rsidRDefault="006A7263" w:rsidP="00DB3F34">
      <w:pPr>
        <w:spacing w:after="120"/>
        <w:jc w:val="both"/>
      </w:pPr>
    </w:p>
    <w:p w14:paraId="59630804" w14:textId="77777777" w:rsidR="006A7263" w:rsidRPr="006A7263" w:rsidRDefault="006A7263" w:rsidP="00DB3F34">
      <w:pPr>
        <w:spacing w:after="120"/>
        <w:jc w:val="both"/>
        <w:rPr>
          <w:b/>
        </w:rPr>
      </w:pPr>
      <w:r w:rsidRPr="006A7263">
        <w:rPr>
          <w:b/>
        </w:rPr>
        <w:t>Directional Wave Spectra and Statistics</w:t>
      </w:r>
    </w:p>
    <w:p w14:paraId="4737582F" w14:textId="77777777" w:rsidR="00BD7053" w:rsidRDefault="00837B91" w:rsidP="00DB3F34">
      <w:pPr>
        <w:spacing w:after="120"/>
        <w:jc w:val="both"/>
      </w:pPr>
      <w:r>
        <w:t xml:space="preserve">The directional wave spectra are used to determine separate wind sea and swell partitions – either or both may </w:t>
      </w:r>
      <w:r w:rsidR="00C13C51">
        <w:t>exist in each spectral estimate</w:t>
      </w:r>
      <w:r>
        <w:t xml:space="preserve">; an overview is provided by time series of the significant wave heights from each in Figure FF. </w:t>
      </w:r>
      <w:r w:rsidR="00E3067A">
        <w:t xml:space="preserve">There is broad agreement between the model and observations on </w:t>
      </w:r>
      <w:r w:rsidR="00E3067A" w:rsidRPr="00E3067A">
        <w:rPr>
          <w:rFonts w:ascii="Times New Roman" w:hAnsi="Times New Roman"/>
          <w:i/>
        </w:rPr>
        <w:t>H</w:t>
      </w:r>
      <w:r w:rsidR="00E3067A" w:rsidRPr="00E3067A">
        <w:rPr>
          <w:rFonts w:ascii="Times New Roman" w:hAnsi="Times New Roman"/>
          <w:vertAlign w:val="subscript"/>
        </w:rPr>
        <w:t>s</w:t>
      </w:r>
      <w:r w:rsidR="00E3067A">
        <w:t xml:space="preserve"> for both wind sea and swell; as for the 1-dimensional spectra the observations show greater scatter than the model. There are, however, extended periods when identification of which partitions exist differ</w:t>
      </w:r>
      <w:r w:rsidR="00030B75">
        <w:t>s</w:t>
      </w:r>
      <w:r w:rsidR="00E3067A">
        <w:t xml:space="preserve"> between the observed and modelled spectra. For example, in the decaying phase of the storm during station 3 (from </w:t>
      </w:r>
      <w:proofErr w:type="spellStart"/>
      <w:r w:rsidR="00E3067A">
        <w:t>DoY</w:t>
      </w:r>
      <w:proofErr w:type="spellEnd"/>
      <w:r w:rsidR="00E3067A">
        <w:t xml:space="preserve"> 293.5 onwards), both a wind sea and swell are identified in the observations, but only a swell is identified in the model spectra. </w:t>
      </w:r>
      <w:r w:rsidR="006C1C8A">
        <w:t xml:space="preserve">The observed and modelled </w:t>
      </w:r>
      <w:r w:rsidR="006C1C8A" w:rsidRPr="006C1C8A">
        <w:rPr>
          <w:rFonts w:ascii="Times New Roman" w:hAnsi="Times New Roman"/>
          <w:i/>
        </w:rPr>
        <w:t>H</w:t>
      </w:r>
      <w:r w:rsidR="006C1C8A" w:rsidRPr="006C1C8A">
        <w:rPr>
          <w:rFonts w:ascii="Times New Roman" w:hAnsi="Times New Roman"/>
          <w:vertAlign w:val="subscript"/>
        </w:rPr>
        <w:t>s</w:t>
      </w:r>
      <w:r w:rsidR="006C1C8A">
        <w:t xml:space="preserve"> values for wind seas and swell are compared in Figure GG for those periods where they are identified in both data sets.</w:t>
      </w:r>
      <w:r w:rsidR="00BD7053">
        <w:t xml:space="preserve"> In both cases the data scatter broadly about the 1:1 line, with a standard deviation of approximately 1 m (0.95 m for wind seas, 1.02 m for swell). In the case of swells, there are some cases where the model drastically underestimates the measured </w:t>
      </w:r>
      <w:r w:rsidR="00BD7053" w:rsidRPr="006C1C8A">
        <w:rPr>
          <w:rFonts w:ascii="Times New Roman" w:hAnsi="Times New Roman"/>
          <w:i/>
        </w:rPr>
        <w:t>H</w:t>
      </w:r>
      <w:r w:rsidR="00BD7053" w:rsidRPr="006C1C8A">
        <w:rPr>
          <w:rFonts w:ascii="Times New Roman" w:hAnsi="Times New Roman"/>
          <w:vertAlign w:val="subscript"/>
        </w:rPr>
        <w:t>s</w:t>
      </w:r>
      <w:r w:rsidR="00BD7053">
        <w:t xml:space="preserve"> during falling winds. For wind seas, the model underestimate </w:t>
      </w:r>
      <w:r w:rsidR="00BD7053" w:rsidRPr="006C1C8A">
        <w:rPr>
          <w:rFonts w:ascii="Times New Roman" w:hAnsi="Times New Roman"/>
          <w:i/>
        </w:rPr>
        <w:t>H</w:t>
      </w:r>
      <w:r w:rsidR="00BD7053" w:rsidRPr="006C1C8A">
        <w:rPr>
          <w:rFonts w:ascii="Times New Roman" w:hAnsi="Times New Roman"/>
          <w:vertAlign w:val="subscript"/>
        </w:rPr>
        <w:t>s</w:t>
      </w:r>
      <w:r w:rsidR="00BD7053">
        <w:t xml:space="preserve"> for larger values (</w:t>
      </w:r>
      <w:r w:rsidR="00BD7053" w:rsidRPr="00BD7053">
        <w:rPr>
          <w:rFonts w:ascii="Times New Roman" w:hAnsi="Times New Roman"/>
          <w:i/>
        </w:rPr>
        <w:t>H</w:t>
      </w:r>
      <w:r w:rsidR="00BD7053" w:rsidRPr="00BD7053">
        <w:rPr>
          <w:rFonts w:ascii="Times New Roman" w:hAnsi="Times New Roman"/>
          <w:vertAlign w:val="subscript"/>
        </w:rPr>
        <w:t>s</w:t>
      </w:r>
      <w:r w:rsidR="00BD7053">
        <w:t xml:space="preserve"> &gt; ~5 m) during rising winds, similar to the findings from the 1-dimensional spectra.</w:t>
      </w:r>
    </w:p>
    <w:p w14:paraId="313EDECA" w14:textId="77777777" w:rsidR="00E3067A" w:rsidRDefault="00046F77" w:rsidP="00DB3F34">
      <w:pPr>
        <w:spacing w:after="120"/>
        <w:jc w:val="both"/>
      </w:pPr>
      <w:r>
        <w:t>Energy densities at the spectral peaks for wind sea and swell are shown in Figure HH. In contrast to the 1-dimensional spectra, where the model tended to underestimate the observed peak energy, for both the wind seas and swell the model tends to have a higher energy than the observations at the peak of the directional spectrum. This implies a difference in directional spreading of observed and modelled spectra.</w:t>
      </w:r>
    </w:p>
    <w:p w14:paraId="53F5AB72" w14:textId="77777777" w:rsidR="00046F77" w:rsidRDefault="0092573F" w:rsidP="00DB3F34">
      <w:pPr>
        <w:spacing w:after="120"/>
        <w:jc w:val="both"/>
      </w:pPr>
      <w:r>
        <w:t>The peak periods are shown in figure II</w:t>
      </w:r>
    </w:p>
    <w:p w14:paraId="12BF19DF" w14:textId="77777777" w:rsidR="0092573F" w:rsidRDefault="0092573F" w:rsidP="00DB3F34">
      <w:pPr>
        <w:spacing w:after="120"/>
        <w:jc w:val="both"/>
      </w:pPr>
      <w:r>
        <w:t xml:space="preserve">Peak directions </w:t>
      </w:r>
      <w:r w:rsidR="002E38EB">
        <w:t>are shown in figure JJ.</w:t>
      </w:r>
    </w:p>
    <w:p w14:paraId="4850313D" w14:textId="77777777" w:rsidR="002E38EB" w:rsidRPr="002E38EB" w:rsidRDefault="002E38EB" w:rsidP="00DB3F34">
      <w:pPr>
        <w:spacing w:after="120"/>
        <w:jc w:val="both"/>
      </w:pPr>
      <w:r>
        <w:t xml:space="preserve">The 2-dimensional spectral </w:t>
      </w:r>
      <w:commentRangeStart w:id="5"/>
      <w:r>
        <w:t xml:space="preserve">spreading </w:t>
      </w:r>
      <w:commentRangeEnd w:id="5"/>
      <w:r>
        <w:rPr>
          <w:rStyle w:val="CommentReference"/>
          <w:rFonts w:ascii="Arial" w:hAnsi="Arial" w:cs="Arial"/>
        </w:rPr>
        <w:commentReference w:id="5"/>
      </w:r>
      <w:r>
        <w:t>for wind sea and wave partitions is shown in Figure KK. There is a clear difference in behaviour between the two – for wind seas the model usually underestimates the spread compared to the observations, while for swell it tends to overestimate the spreading. [</w:t>
      </w:r>
      <w:r>
        <w:rPr>
          <w:i/>
        </w:rPr>
        <w:t xml:space="preserve">1D spectra are usually a close match a f &gt; </w:t>
      </w:r>
      <w:proofErr w:type="spellStart"/>
      <w:r>
        <w:rPr>
          <w:i/>
        </w:rPr>
        <w:t>f</w:t>
      </w:r>
      <w:r>
        <w:rPr>
          <w:i/>
          <w:vertAlign w:val="subscript"/>
        </w:rPr>
        <w:t>p</w:t>
      </w:r>
      <w:proofErr w:type="spellEnd"/>
      <w:r>
        <w:t xml:space="preserve"> </w:t>
      </w:r>
      <w:r>
        <w:rPr>
          <w:i/>
        </w:rPr>
        <w:t>and model drops off faster at low frequency. Suggest it is directional spread where the major difference lies...calculate that too</w:t>
      </w:r>
      <w:r>
        <w:t>]</w:t>
      </w:r>
    </w:p>
    <w:p w14:paraId="477DD7F6" w14:textId="77777777" w:rsidR="00046F77" w:rsidRDefault="00046F77" w:rsidP="00DB3F34">
      <w:pPr>
        <w:spacing w:after="120"/>
        <w:jc w:val="both"/>
      </w:pPr>
    </w:p>
    <w:p w14:paraId="41D2DA4C" w14:textId="77777777" w:rsidR="006A7263" w:rsidRPr="006A7263" w:rsidRDefault="006A7263" w:rsidP="00DB3F34">
      <w:pPr>
        <w:spacing w:after="120"/>
        <w:jc w:val="both"/>
        <w:rPr>
          <w:b/>
        </w:rPr>
      </w:pPr>
      <w:r w:rsidRPr="006A7263">
        <w:rPr>
          <w:b/>
        </w:rPr>
        <w:t>Conclusions</w:t>
      </w:r>
    </w:p>
    <w:p w14:paraId="510D7EF5" w14:textId="77777777" w:rsidR="006A7263" w:rsidRDefault="006A7263" w:rsidP="00DB3F34">
      <w:pPr>
        <w:spacing w:after="120"/>
        <w:jc w:val="both"/>
      </w:pPr>
    </w:p>
    <w:p w14:paraId="0DCC65AF" w14:textId="77777777" w:rsidR="006A7263" w:rsidRDefault="006A7263" w:rsidP="00DB3F34">
      <w:pPr>
        <w:spacing w:after="120"/>
        <w:jc w:val="both"/>
      </w:pPr>
    </w:p>
    <w:p w14:paraId="75659488" w14:textId="77777777" w:rsidR="00E748BD" w:rsidRPr="00E748BD" w:rsidRDefault="00E748BD" w:rsidP="00067EF1">
      <w:pPr>
        <w:jc w:val="both"/>
        <w:rPr>
          <w:b/>
        </w:rPr>
      </w:pPr>
      <w:r w:rsidRPr="00E748BD">
        <w:rPr>
          <w:b/>
        </w:rPr>
        <w:t>Acknowledgements</w:t>
      </w:r>
    </w:p>
    <w:p w14:paraId="55001AD1" w14:textId="77777777" w:rsidR="00E748BD" w:rsidRDefault="00E748BD" w:rsidP="00067EF1">
      <w:pPr>
        <w:jc w:val="both"/>
      </w:pPr>
      <w:r w:rsidRPr="004C1252">
        <w:rPr>
          <w:rFonts w:eastAsia="CMR12"/>
          <w:szCs w:val="24"/>
        </w:rPr>
        <w:t>This work was funded by the National Science Foundation (Grants OCE-0647667 and OCE-1537890)</w:t>
      </w:r>
      <w:r>
        <w:rPr>
          <w:rFonts w:eastAsia="CMR12"/>
          <w:szCs w:val="24"/>
        </w:rPr>
        <w:t>,</w:t>
      </w:r>
      <w:r w:rsidRPr="004C1252">
        <w:rPr>
          <w:rFonts w:eastAsia="CMR12"/>
          <w:szCs w:val="24"/>
        </w:rPr>
        <w:t xml:space="preserve"> the National Oceanic and Atmospheric Administration (Grant NA07OAR4310094)</w:t>
      </w:r>
      <w:r>
        <w:rPr>
          <w:rFonts w:eastAsia="CMR12"/>
          <w:szCs w:val="24"/>
        </w:rPr>
        <w:t xml:space="preserve">, and the Natural Environment Research Council (grants </w:t>
      </w:r>
      <w:r>
        <w:t>NE/J020893/1 and NE/J020540/1</w:t>
      </w:r>
      <w:r>
        <w:rPr>
          <w:rFonts w:eastAsia="CMR12"/>
          <w:szCs w:val="24"/>
        </w:rPr>
        <w:t>)</w:t>
      </w:r>
      <w:r w:rsidR="00866204">
        <w:rPr>
          <w:rFonts w:eastAsia="CMR12"/>
          <w:szCs w:val="24"/>
        </w:rPr>
        <w:t xml:space="preserve">. </w:t>
      </w:r>
      <w:r w:rsidR="00866204">
        <w:rPr>
          <w:rFonts w:eastAsia="Times New Roman"/>
          <w:szCs w:val="24"/>
        </w:rPr>
        <w:t>We</w:t>
      </w:r>
      <w:r w:rsidR="00866204" w:rsidRPr="004C1252">
        <w:rPr>
          <w:rFonts w:eastAsia="Times New Roman"/>
          <w:szCs w:val="24"/>
        </w:rPr>
        <w:t xml:space="preserve"> would like to </w:t>
      </w:r>
      <w:r w:rsidR="00866204">
        <w:rPr>
          <w:rFonts w:eastAsia="Times New Roman"/>
          <w:szCs w:val="24"/>
        </w:rPr>
        <w:t xml:space="preserve">thank </w:t>
      </w:r>
      <w:r w:rsidR="00866204" w:rsidRPr="004C1252">
        <w:rPr>
          <w:rFonts w:eastAsia="Times New Roman"/>
          <w:szCs w:val="24"/>
        </w:rPr>
        <w:t>the</w:t>
      </w:r>
      <w:r w:rsidR="00866204">
        <w:rPr>
          <w:rFonts w:eastAsia="Times New Roman"/>
          <w:szCs w:val="24"/>
        </w:rPr>
        <w:t xml:space="preserve"> captain and</w:t>
      </w:r>
      <w:r w:rsidR="00866204" w:rsidRPr="004C1252">
        <w:rPr>
          <w:rFonts w:eastAsia="Times New Roman"/>
          <w:szCs w:val="24"/>
        </w:rPr>
        <w:t xml:space="preserve"> crew of the R/V Knorr </w:t>
      </w:r>
      <w:r w:rsidR="00866204">
        <w:rPr>
          <w:rFonts w:eastAsia="Times New Roman"/>
          <w:szCs w:val="24"/>
        </w:rPr>
        <w:t xml:space="preserve">for their support throughout the cruise. </w:t>
      </w:r>
      <w:r w:rsidR="00866204" w:rsidRPr="00866204">
        <w:rPr>
          <w:rFonts w:eastAsia="Times New Roman"/>
          <w:szCs w:val="24"/>
        </w:rPr>
        <w:t xml:space="preserve">The authors thank the NERC Earth Observation Data Acquisition and Analysis Service (NEODAAS) for supplying data </w:t>
      </w:r>
      <w:r w:rsidR="00866204">
        <w:rPr>
          <w:rFonts w:eastAsia="Times New Roman"/>
          <w:szCs w:val="24"/>
        </w:rPr>
        <w:t>used for operational planning throughout the cruise.</w:t>
      </w:r>
    </w:p>
    <w:p w14:paraId="0011B60C" w14:textId="77777777" w:rsidR="006A7263" w:rsidRPr="00720D1F" w:rsidRDefault="006A7263" w:rsidP="00067EF1">
      <w:pPr>
        <w:jc w:val="both"/>
      </w:pPr>
    </w:p>
    <w:p w14:paraId="42818FF9" w14:textId="77777777" w:rsidR="008C1872" w:rsidRPr="00720D1F" w:rsidRDefault="008C1872" w:rsidP="00067EF1">
      <w:pPr>
        <w:jc w:val="both"/>
        <w:rPr>
          <w:b/>
        </w:rPr>
      </w:pPr>
      <w:r w:rsidRPr="00720D1F">
        <w:rPr>
          <w:b/>
        </w:rPr>
        <w:t>References</w:t>
      </w:r>
    </w:p>
    <w:p w14:paraId="7F7D2456" w14:textId="77777777" w:rsidR="001F2E09" w:rsidRDefault="001F2E09" w:rsidP="001F2E09">
      <w:pPr>
        <w:ind w:left="284" w:hanging="284"/>
        <w:jc w:val="both"/>
        <w:rPr>
          <w:szCs w:val="22"/>
          <w:lang w:val="en-US"/>
        </w:rPr>
      </w:pPr>
      <w:r w:rsidRPr="001F2E09">
        <w:rPr>
          <w:szCs w:val="22"/>
        </w:rPr>
        <w:t xml:space="preserve">Asher, W., Edson, J., </w:t>
      </w:r>
      <w:proofErr w:type="spellStart"/>
      <w:r w:rsidRPr="001F2E09">
        <w:rPr>
          <w:szCs w:val="22"/>
        </w:rPr>
        <w:t>McGillis</w:t>
      </w:r>
      <w:proofErr w:type="spellEnd"/>
      <w:r w:rsidRPr="001F2E09">
        <w:rPr>
          <w:szCs w:val="22"/>
        </w:rPr>
        <w:t xml:space="preserve">, W., </w:t>
      </w:r>
      <w:proofErr w:type="spellStart"/>
      <w:r w:rsidRPr="001F2E09">
        <w:rPr>
          <w:szCs w:val="22"/>
        </w:rPr>
        <w:t>Wanninkhof</w:t>
      </w:r>
      <w:proofErr w:type="spellEnd"/>
      <w:r w:rsidRPr="001F2E09">
        <w:rPr>
          <w:szCs w:val="22"/>
        </w:rPr>
        <w:t xml:space="preserve">, R., </w:t>
      </w:r>
      <w:proofErr w:type="spellStart"/>
      <w:r w:rsidRPr="001F2E09">
        <w:rPr>
          <w:szCs w:val="22"/>
        </w:rPr>
        <w:t>Ho</w:t>
      </w:r>
      <w:proofErr w:type="spellEnd"/>
      <w:r w:rsidRPr="001F2E09">
        <w:rPr>
          <w:szCs w:val="22"/>
        </w:rPr>
        <w:t xml:space="preserve">, D. T., and </w:t>
      </w:r>
      <w:proofErr w:type="spellStart"/>
      <w:r w:rsidRPr="001F2E09">
        <w:rPr>
          <w:szCs w:val="22"/>
        </w:rPr>
        <w:t>Litchendor</w:t>
      </w:r>
      <w:proofErr w:type="spellEnd"/>
      <w:r w:rsidRPr="001F2E09">
        <w:rPr>
          <w:szCs w:val="22"/>
        </w:rPr>
        <w:t xml:space="preserve">, T.: Fractional area whitecap coverage and air-sea gas transfer velocities measured during GasEx-98, </w:t>
      </w:r>
      <w:r w:rsidRPr="001F2E09">
        <w:rPr>
          <w:i/>
          <w:szCs w:val="22"/>
        </w:rPr>
        <w:t>in: Gas Transfer at Water Surfaces, American Geophysical Union</w:t>
      </w:r>
      <w:r w:rsidRPr="001F2E09">
        <w:rPr>
          <w:szCs w:val="22"/>
        </w:rPr>
        <w:t>, 199-203, 2002.</w:t>
      </w:r>
    </w:p>
    <w:p w14:paraId="7EE7FFC2" w14:textId="77777777" w:rsidR="00AB0A7A" w:rsidRDefault="00AB0A7A" w:rsidP="00067EF1">
      <w:pPr>
        <w:ind w:left="284" w:hanging="284"/>
        <w:jc w:val="both"/>
        <w:rPr>
          <w:szCs w:val="22"/>
        </w:rPr>
      </w:pPr>
      <w:proofErr w:type="spellStart"/>
      <w:r w:rsidRPr="00AB0A7A">
        <w:rPr>
          <w:szCs w:val="22"/>
          <w:lang w:val="en-US"/>
        </w:rPr>
        <w:t>Brumer</w:t>
      </w:r>
      <w:proofErr w:type="spellEnd"/>
      <w:r w:rsidRPr="00AB0A7A">
        <w:rPr>
          <w:szCs w:val="22"/>
          <w:lang w:val="en-US"/>
        </w:rPr>
        <w:t xml:space="preserve">, S. E., C. J. Zappa, I. M. Brooks, H. Tamura, S. M. Brown, B. </w:t>
      </w:r>
      <w:proofErr w:type="spellStart"/>
      <w:r w:rsidRPr="00AB0A7A">
        <w:rPr>
          <w:szCs w:val="22"/>
          <w:lang w:val="en-US"/>
        </w:rPr>
        <w:t>Blomquist</w:t>
      </w:r>
      <w:proofErr w:type="spellEnd"/>
      <w:r w:rsidRPr="00AB0A7A">
        <w:rPr>
          <w:szCs w:val="22"/>
          <w:lang w:val="en-US"/>
        </w:rPr>
        <w:t xml:space="preserve">, C. W. Fairall, A. </w:t>
      </w:r>
      <w:proofErr w:type="spellStart"/>
      <w:r w:rsidRPr="00AB0A7A">
        <w:rPr>
          <w:szCs w:val="22"/>
          <w:lang w:val="en-US"/>
        </w:rPr>
        <w:t>Cifuentes-Lorenzen</w:t>
      </w:r>
      <w:proofErr w:type="spellEnd"/>
      <w:r w:rsidRPr="00AB0A7A">
        <w:rPr>
          <w:szCs w:val="22"/>
          <w:lang w:val="en-US"/>
        </w:rPr>
        <w:t xml:space="preserve">, 2017: Whitecap coverage dependence on wind and wave statistics as observed during SO </w:t>
      </w:r>
      <w:proofErr w:type="spellStart"/>
      <w:r w:rsidRPr="00AB0A7A">
        <w:rPr>
          <w:szCs w:val="22"/>
          <w:lang w:val="en-US"/>
        </w:rPr>
        <w:t>GasEx</w:t>
      </w:r>
      <w:proofErr w:type="spellEnd"/>
      <w:r w:rsidRPr="00AB0A7A">
        <w:rPr>
          <w:szCs w:val="22"/>
          <w:lang w:val="en-US"/>
        </w:rPr>
        <w:t xml:space="preserve"> and </w:t>
      </w:r>
      <w:proofErr w:type="spellStart"/>
      <w:r w:rsidRPr="00AB0A7A">
        <w:rPr>
          <w:szCs w:val="22"/>
          <w:lang w:val="en-US"/>
        </w:rPr>
        <w:t>HiWinGS</w:t>
      </w:r>
      <w:proofErr w:type="spellEnd"/>
      <w:r w:rsidRPr="00AB0A7A">
        <w:rPr>
          <w:szCs w:val="22"/>
          <w:lang w:val="en-US"/>
        </w:rPr>
        <w:t xml:space="preserve">, </w:t>
      </w:r>
      <w:r w:rsidRPr="00AB0A7A">
        <w:rPr>
          <w:i/>
          <w:szCs w:val="22"/>
          <w:lang w:val="en-US"/>
        </w:rPr>
        <w:t xml:space="preserve">J. Phys. </w:t>
      </w:r>
      <w:proofErr w:type="spellStart"/>
      <w:r w:rsidRPr="00AB0A7A">
        <w:rPr>
          <w:i/>
          <w:szCs w:val="22"/>
          <w:lang w:val="en-US"/>
        </w:rPr>
        <w:t>Oceanogr</w:t>
      </w:r>
      <w:proofErr w:type="spellEnd"/>
      <w:r w:rsidRPr="00AB0A7A">
        <w:rPr>
          <w:szCs w:val="22"/>
          <w:lang w:val="en-US"/>
        </w:rPr>
        <w:t>.</w:t>
      </w:r>
      <w:r w:rsidRPr="00AB0A7A">
        <w:rPr>
          <w:szCs w:val="22"/>
        </w:rPr>
        <w:t xml:space="preserve"> (submitted)</w:t>
      </w:r>
    </w:p>
    <w:p w14:paraId="254BB3E2" w14:textId="77777777" w:rsidR="00DE5FFF" w:rsidRDefault="00DE5FFF" w:rsidP="00DE5FFF">
      <w:pPr>
        <w:ind w:left="284" w:hanging="284"/>
        <w:jc w:val="both"/>
        <w:rPr>
          <w:szCs w:val="22"/>
        </w:rPr>
      </w:pPr>
      <w:r w:rsidRPr="00DE5FFF">
        <w:rPr>
          <w:szCs w:val="22"/>
        </w:rPr>
        <w:t>Callaghan, A. H., G. B. Deane, and M. D. Stokes</w:t>
      </w:r>
      <w:r>
        <w:rPr>
          <w:szCs w:val="22"/>
        </w:rPr>
        <w:t>, 2008:</w:t>
      </w:r>
      <w:r w:rsidRPr="00DE5FFF">
        <w:rPr>
          <w:szCs w:val="22"/>
        </w:rPr>
        <w:t xml:space="preserve"> Observed physical</w:t>
      </w:r>
      <w:r>
        <w:rPr>
          <w:szCs w:val="22"/>
        </w:rPr>
        <w:t xml:space="preserve"> </w:t>
      </w:r>
      <w:r w:rsidRPr="00DE5FFF">
        <w:rPr>
          <w:szCs w:val="22"/>
        </w:rPr>
        <w:t>and environmental causes of scatter in whitecap coverage values in a</w:t>
      </w:r>
      <w:r>
        <w:rPr>
          <w:szCs w:val="22"/>
        </w:rPr>
        <w:t xml:space="preserve"> </w:t>
      </w:r>
      <w:r w:rsidRPr="00DE5FFF">
        <w:rPr>
          <w:szCs w:val="22"/>
        </w:rPr>
        <w:t xml:space="preserve">fetch-limited coastal zone, J. </w:t>
      </w:r>
      <w:proofErr w:type="spellStart"/>
      <w:r w:rsidRPr="00DE5FFF">
        <w:rPr>
          <w:szCs w:val="22"/>
        </w:rPr>
        <w:t>Geophys</w:t>
      </w:r>
      <w:proofErr w:type="spellEnd"/>
      <w:r w:rsidRPr="00DE5FFF">
        <w:rPr>
          <w:szCs w:val="22"/>
        </w:rPr>
        <w:t>. Res., 113, C05022, doi:10.1029/2007JC004453.</w:t>
      </w:r>
    </w:p>
    <w:p w14:paraId="6440A90F" w14:textId="77777777" w:rsidR="007743A0" w:rsidRPr="007743A0" w:rsidRDefault="007743A0" w:rsidP="00067EF1">
      <w:pPr>
        <w:ind w:left="284" w:hanging="284"/>
        <w:jc w:val="both"/>
        <w:rPr>
          <w:szCs w:val="22"/>
        </w:rPr>
      </w:pPr>
      <w:r>
        <w:rPr>
          <w:szCs w:val="22"/>
        </w:rPr>
        <w:t xml:space="preserve">Christensen, K. H., J. </w:t>
      </w:r>
      <w:proofErr w:type="spellStart"/>
      <w:r>
        <w:rPr>
          <w:szCs w:val="22"/>
        </w:rPr>
        <w:t>Röhrs</w:t>
      </w:r>
      <w:proofErr w:type="spellEnd"/>
      <w:r>
        <w:rPr>
          <w:szCs w:val="22"/>
        </w:rPr>
        <w:t xml:space="preserve">, B. Ward, I. </w:t>
      </w:r>
      <w:proofErr w:type="spellStart"/>
      <w:r>
        <w:rPr>
          <w:szCs w:val="22"/>
        </w:rPr>
        <w:t>Fer</w:t>
      </w:r>
      <w:proofErr w:type="spellEnd"/>
      <w:r>
        <w:rPr>
          <w:szCs w:val="22"/>
        </w:rPr>
        <w:t xml:space="preserve">, G. </w:t>
      </w:r>
      <w:proofErr w:type="spellStart"/>
      <w:r>
        <w:rPr>
          <w:szCs w:val="22"/>
        </w:rPr>
        <w:t>Broström</w:t>
      </w:r>
      <w:proofErr w:type="spellEnd"/>
      <w:r>
        <w:rPr>
          <w:szCs w:val="22"/>
        </w:rPr>
        <w:t xml:space="preserve">, Ø. </w:t>
      </w:r>
      <w:proofErr w:type="spellStart"/>
      <w:r>
        <w:rPr>
          <w:szCs w:val="22"/>
        </w:rPr>
        <w:t>Saetra</w:t>
      </w:r>
      <w:proofErr w:type="spellEnd"/>
      <w:r>
        <w:rPr>
          <w:szCs w:val="22"/>
        </w:rPr>
        <w:t xml:space="preserve">, Ø. </w:t>
      </w:r>
      <w:proofErr w:type="spellStart"/>
      <w:r>
        <w:rPr>
          <w:szCs w:val="22"/>
        </w:rPr>
        <w:t>Breivik</w:t>
      </w:r>
      <w:proofErr w:type="spellEnd"/>
      <w:r>
        <w:rPr>
          <w:szCs w:val="22"/>
        </w:rPr>
        <w:t xml:space="preserve">, 2013: Surface wave measurements using a ship-mounted ultrasonic altimeter. </w:t>
      </w:r>
      <w:r>
        <w:rPr>
          <w:i/>
          <w:szCs w:val="22"/>
        </w:rPr>
        <w:t xml:space="preserve">Methods in </w:t>
      </w:r>
      <w:proofErr w:type="spellStart"/>
      <w:r>
        <w:rPr>
          <w:i/>
          <w:szCs w:val="22"/>
        </w:rPr>
        <w:t>Oceanogr</w:t>
      </w:r>
      <w:proofErr w:type="spellEnd"/>
      <w:r>
        <w:rPr>
          <w:i/>
          <w:szCs w:val="22"/>
        </w:rPr>
        <w:t>.</w:t>
      </w:r>
      <w:r>
        <w:rPr>
          <w:szCs w:val="22"/>
        </w:rPr>
        <w:t xml:space="preserve"> 6, 1-15, </w:t>
      </w:r>
      <w:proofErr w:type="spellStart"/>
      <w:r>
        <w:rPr>
          <w:szCs w:val="22"/>
        </w:rPr>
        <w:t>doi</w:t>
      </w:r>
      <w:proofErr w:type="spellEnd"/>
      <w:r>
        <w:rPr>
          <w:szCs w:val="22"/>
        </w:rPr>
        <w:t>:</w:t>
      </w:r>
      <w:r w:rsidRPr="007743A0">
        <w:t xml:space="preserve"> </w:t>
      </w:r>
      <w:r w:rsidRPr="007743A0">
        <w:rPr>
          <w:szCs w:val="22"/>
        </w:rPr>
        <w:t>10.1016/j.mio.2013.07.002</w:t>
      </w:r>
    </w:p>
    <w:p w14:paraId="1FA29AFD" w14:textId="77777777" w:rsidR="00644E2E" w:rsidRDefault="00644E2E" w:rsidP="00067EF1">
      <w:pPr>
        <w:ind w:left="284" w:hanging="284"/>
        <w:jc w:val="both"/>
        <w:rPr>
          <w:szCs w:val="22"/>
        </w:rPr>
      </w:pPr>
      <w:proofErr w:type="spellStart"/>
      <w:r w:rsidRPr="00644E2E">
        <w:rPr>
          <w:szCs w:val="22"/>
        </w:rPr>
        <w:t>Cifuentes-Lorenzen</w:t>
      </w:r>
      <w:proofErr w:type="spellEnd"/>
      <w:r w:rsidRPr="00644E2E">
        <w:rPr>
          <w:szCs w:val="22"/>
        </w:rPr>
        <w:t xml:space="preserve">, A., Edson, J. B., Zappa, C. J., </w:t>
      </w:r>
      <w:proofErr w:type="spellStart"/>
      <w:r w:rsidRPr="00644E2E">
        <w:rPr>
          <w:szCs w:val="22"/>
        </w:rPr>
        <w:t>Bariteau</w:t>
      </w:r>
      <w:proofErr w:type="spellEnd"/>
      <w:r w:rsidRPr="00644E2E">
        <w:rPr>
          <w:szCs w:val="22"/>
        </w:rPr>
        <w:t xml:space="preserve">, L.: A multisensory comparison of ocean </w:t>
      </w:r>
      <w:proofErr w:type="gramStart"/>
      <w:r w:rsidRPr="00644E2E">
        <w:rPr>
          <w:szCs w:val="22"/>
        </w:rPr>
        <w:t>wave</w:t>
      </w:r>
      <w:proofErr w:type="gramEnd"/>
      <w:r w:rsidRPr="00644E2E">
        <w:rPr>
          <w:szCs w:val="22"/>
        </w:rPr>
        <w:t xml:space="preserve"> frequency spectra from a research vessel during the Southern Ocean Gas Exchange Experiment, </w:t>
      </w:r>
      <w:r w:rsidRPr="008B4B17">
        <w:rPr>
          <w:i/>
          <w:szCs w:val="22"/>
        </w:rPr>
        <w:t>J. Atmos. Oceanic Tech</w:t>
      </w:r>
      <w:r w:rsidR="008B4B17">
        <w:rPr>
          <w:i/>
          <w:szCs w:val="22"/>
        </w:rPr>
        <w:t>nol</w:t>
      </w:r>
      <w:r w:rsidRPr="008B4B17">
        <w:rPr>
          <w:i/>
          <w:szCs w:val="22"/>
        </w:rPr>
        <w:t>.</w:t>
      </w:r>
      <w:r w:rsidRPr="00644E2E">
        <w:rPr>
          <w:szCs w:val="22"/>
        </w:rPr>
        <w:t>, 30, 2907-2925, doi:10.1175/JTECH-D-12-00181.1</w:t>
      </w:r>
      <w:r>
        <w:rPr>
          <w:szCs w:val="22"/>
        </w:rPr>
        <w:t>, 2014.</w:t>
      </w:r>
    </w:p>
    <w:p w14:paraId="3C209D06" w14:textId="77777777" w:rsidR="004D57F4" w:rsidRDefault="004D57F4" w:rsidP="00067EF1">
      <w:pPr>
        <w:ind w:left="284" w:hanging="284"/>
        <w:jc w:val="both"/>
        <w:rPr>
          <w:szCs w:val="22"/>
        </w:rPr>
      </w:pPr>
      <w:r w:rsidRPr="004D57F4">
        <w:rPr>
          <w:bCs/>
          <w:szCs w:val="22"/>
        </w:rPr>
        <w:t xml:space="preserve">de </w:t>
      </w:r>
      <w:proofErr w:type="spellStart"/>
      <w:r w:rsidRPr="004D57F4">
        <w:rPr>
          <w:bCs/>
          <w:szCs w:val="22"/>
        </w:rPr>
        <w:t>Leeuw</w:t>
      </w:r>
      <w:proofErr w:type="spellEnd"/>
      <w:r w:rsidRPr="004D57F4">
        <w:rPr>
          <w:bCs/>
          <w:szCs w:val="22"/>
        </w:rPr>
        <w:t>, G., E.</w:t>
      </w:r>
      <w:r>
        <w:rPr>
          <w:bCs/>
          <w:szCs w:val="22"/>
        </w:rPr>
        <w:t xml:space="preserve"> </w:t>
      </w:r>
      <w:r w:rsidRPr="004D57F4">
        <w:rPr>
          <w:bCs/>
          <w:szCs w:val="22"/>
        </w:rPr>
        <w:t>L. Andreas, M.</w:t>
      </w:r>
      <w:r>
        <w:rPr>
          <w:bCs/>
          <w:szCs w:val="22"/>
        </w:rPr>
        <w:t xml:space="preserve"> </w:t>
      </w:r>
      <w:r w:rsidRPr="004D57F4">
        <w:rPr>
          <w:bCs/>
          <w:szCs w:val="22"/>
        </w:rPr>
        <w:t xml:space="preserve">D. </w:t>
      </w:r>
      <w:proofErr w:type="spellStart"/>
      <w:r w:rsidRPr="004D57F4">
        <w:rPr>
          <w:bCs/>
          <w:szCs w:val="22"/>
        </w:rPr>
        <w:t>Anguelova</w:t>
      </w:r>
      <w:proofErr w:type="spellEnd"/>
      <w:r w:rsidRPr="004D57F4">
        <w:rPr>
          <w:bCs/>
          <w:szCs w:val="22"/>
        </w:rPr>
        <w:t>, C.</w:t>
      </w:r>
      <w:r>
        <w:rPr>
          <w:bCs/>
          <w:szCs w:val="22"/>
        </w:rPr>
        <w:t xml:space="preserve"> </w:t>
      </w:r>
      <w:r w:rsidRPr="004D57F4">
        <w:rPr>
          <w:bCs/>
          <w:szCs w:val="22"/>
        </w:rPr>
        <w:t>W. Fairall, E.</w:t>
      </w:r>
      <w:r>
        <w:rPr>
          <w:bCs/>
          <w:szCs w:val="22"/>
        </w:rPr>
        <w:t xml:space="preserve"> </w:t>
      </w:r>
      <w:r w:rsidRPr="004D57F4">
        <w:rPr>
          <w:bCs/>
          <w:szCs w:val="22"/>
        </w:rPr>
        <w:t>R. Lewis, C.</w:t>
      </w:r>
      <w:r>
        <w:rPr>
          <w:bCs/>
          <w:szCs w:val="22"/>
        </w:rPr>
        <w:t xml:space="preserve"> D.</w:t>
      </w:r>
      <w:r w:rsidRPr="004D57F4">
        <w:rPr>
          <w:bCs/>
          <w:szCs w:val="22"/>
        </w:rPr>
        <w:t xml:space="preserve"> O’Dowd, M. Schulz, S.</w:t>
      </w:r>
      <w:r>
        <w:rPr>
          <w:bCs/>
          <w:szCs w:val="22"/>
        </w:rPr>
        <w:t xml:space="preserve"> </w:t>
      </w:r>
      <w:r w:rsidRPr="004D57F4">
        <w:rPr>
          <w:bCs/>
          <w:szCs w:val="22"/>
        </w:rPr>
        <w:t xml:space="preserve">E. Schwartz, 2011: Production flux of sea spray aerosol, </w:t>
      </w:r>
      <w:r w:rsidRPr="004D57F4">
        <w:rPr>
          <w:bCs/>
          <w:i/>
          <w:szCs w:val="22"/>
        </w:rPr>
        <w:t xml:space="preserve">Rev. </w:t>
      </w:r>
      <w:proofErr w:type="spellStart"/>
      <w:r w:rsidRPr="004D57F4">
        <w:rPr>
          <w:bCs/>
          <w:i/>
          <w:szCs w:val="22"/>
        </w:rPr>
        <w:t>Geophys</w:t>
      </w:r>
      <w:proofErr w:type="spellEnd"/>
      <w:r w:rsidRPr="004D57F4">
        <w:rPr>
          <w:bCs/>
          <w:i/>
          <w:szCs w:val="22"/>
        </w:rPr>
        <w:t>.</w:t>
      </w:r>
      <w:r w:rsidR="0027062F">
        <w:rPr>
          <w:bCs/>
          <w:i/>
          <w:szCs w:val="22"/>
        </w:rPr>
        <w:t>,</w:t>
      </w:r>
      <w:r w:rsidRPr="004D57F4">
        <w:rPr>
          <w:bCs/>
          <w:szCs w:val="22"/>
        </w:rPr>
        <w:t xml:space="preserve"> </w:t>
      </w:r>
      <w:r w:rsidRPr="00780498">
        <w:rPr>
          <w:bCs/>
          <w:szCs w:val="22"/>
        </w:rPr>
        <w:t>49</w:t>
      </w:r>
      <w:r w:rsidRPr="004D57F4">
        <w:rPr>
          <w:bCs/>
          <w:szCs w:val="22"/>
        </w:rPr>
        <w:t xml:space="preserve">, </w:t>
      </w:r>
      <w:proofErr w:type="spellStart"/>
      <w:r w:rsidRPr="004D57F4">
        <w:rPr>
          <w:bCs/>
          <w:szCs w:val="22"/>
        </w:rPr>
        <w:t>doi</w:t>
      </w:r>
      <w:proofErr w:type="spellEnd"/>
      <w:r w:rsidRPr="004D57F4">
        <w:rPr>
          <w:bCs/>
          <w:szCs w:val="22"/>
        </w:rPr>
        <w:t>: 10.1029/2010RG00349</w:t>
      </w:r>
    </w:p>
    <w:p w14:paraId="4A34C319" w14:textId="77777777" w:rsidR="00720D1F" w:rsidRPr="00720D1F" w:rsidRDefault="00720D1F" w:rsidP="00067EF1">
      <w:pPr>
        <w:ind w:left="284" w:hanging="284"/>
        <w:jc w:val="both"/>
        <w:rPr>
          <w:szCs w:val="22"/>
        </w:rPr>
      </w:pPr>
      <w:proofErr w:type="spellStart"/>
      <w:r w:rsidRPr="00720D1F">
        <w:rPr>
          <w:szCs w:val="22"/>
        </w:rPr>
        <w:t>Drennan</w:t>
      </w:r>
      <w:proofErr w:type="spellEnd"/>
      <w:r w:rsidRPr="00720D1F">
        <w:rPr>
          <w:szCs w:val="22"/>
        </w:rPr>
        <w:t xml:space="preserve">, W. M., H. C. Graber, D. Hauser, and C. Quentin, </w:t>
      </w:r>
      <w:r>
        <w:rPr>
          <w:szCs w:val="22"/>
        </w:rPr>
        <w:t>2003: On the</w:t>
      </w:r>
      <w:r w:rsidRPr="00720D1F">
        <w:rPr>
          <w:szCs w:val="22"/>
        </w:rPr>
        <w:t xml:space="preserve"> wave age dependence of wind </w:t>
      </w:r>
      <w:r>
        <w:rPr>
          <w:szCs w:val="22"/>
        </w:rPr>
        <w:t xml:space="preserve">stress over pure wind seas, </w:t>
      </w:r>
      <w:r w:rsidRPr="008B4B17">
        <w:rPr>
          <w:i/>
          <w:szCs w:val="22"/>
        </w:rPr>
        <w:t xml:space="preserve">J. </w:t>
      </w:r>
      <w:proofErr w:type="spellStart"/>
      <w:r w:rsidRPr="008B4B17">
        <w:rPr>
          <w:i/>
          <w:szCs w:val="22"/>
        </w:rPr>
        <w:t>Geophys</w:t>
      </w:r>
      <w:proofErr w:type="spellEnd"/>
      <w:r w:rsidRPr="008B4B17">
        <w:rPr>
          <w:i/>
          <w:szCs w:val="22"/>
        </w:rPr>
        <w:t>. Res.</w:t>
      </w:r>
      <w:r w:rsidR="008B4B17">
        <w:rPr>
          <w:szCs w:val="22"/>
        </w:rPr>
        <w:t>,</w:t>
      </w:r>
      <w:r w:rsidRPr="00720D1F">
        <w:rPr>
          <w:szCs w:val="22"/>
        </w:rPr>
        <w:t xml:space="preserve"> 108(C3), 8062, doi:10.1029/2000JC000715,</w:t>
      </w:r>
    </w:p>
    <w:p w14:paraId="652D80B4" w14:textId="77777777" w:rsidR="00720D1F" w:rsidRPr="00720D1F" w:rsidRDefault="00720D1F" w:rsidP="00067EF1">
      <w:pPr>
        <w:ind w:left="284" w:hanging="284"/>
        <w:jc w:val="both"/>
        <w:rPr>
          <w:szCs w:val="22"/>
        </w:rPr>
      </w:pPr>
      <w:proofErr w:type="spellStart"/>
      <w:r w:rsidRPr="00720D1F">
        <w:rPr>
          <w:szCs w:val="22"/>
        </w:rPr>
        <w:t>Donelan</w:t>
      </w:r>
      <w:proofErr w:type="spellEnd"/>
      <w:r w:rsidRPr="00720D1F">
        <w:rPr>
          <w:szCs w:val="22"/>
        </w:rPr>
        <w:t>, M. A., J. Hamilton, and W. H. Hui, Directional spectra of wind</w:t>
      </w:r>
      <w:r>
        <w:rPr>
          <w:szCs w:val="22"/>
        </w:rPr>
        <w:t xml:space="preserve"> </w:t>
      </w:r>
      <w:r w:rsidRPr="00720D1F">
        <w:rPr>
          <w:szCs w:val="22"/>
        </w:rPr>
        <w:t>generated waves, Philos. Trans. R. Soc. London, Ser. A, 315, 509–562, 1985.</w:t>
      </w:r>
    </w:p>
    <w:p w14:paraId="1DAF6571" w14:textId="77777777" w:rsidR="00471BC1" w:rsidRDefault="00471BC1" w:rsidP="00471BC1">
      <w:pPr>
        <w:ind w:left="284" w:hanging="284"/>
        <w:jc w:val="both"/>
        <w:rPr>
          <w:szCs w:val="22"/>
        </w:rPr>
      </w:pPr>
      <w:r w:rsidRPr="00471BC1">
        <w:rPr>
          <w:szCs w:val="22"/>
        </w:rPr>
        <w:t xml:space="preserve">Fairall, C. W., M. Yang, L. </w:t>
      </w:r>
      <w:proofErr w:type="spellStart"/>
      <w:r w:rsidRPr="00471BC1">
        <w:rPr>
          <w:szCs w:val="22"/>
        </w:rPr>
        <w:t>Bariteau</w:t>
      </w:r>
      <w:proofErr w:type="spellEnd"/>
      <w:r w:rsidRPr="00471BC1">
        <w:rPr>
          <w:szCs w:val="22"/>
        </w:rPr>
        <w:t xml:space="preserve">, J. Edson, D. </w:t>
      </w:r>
      <w:proofErr w:type="spellStart"/>
      <w:r w:rsidRPr="00471BC1">
        <w:rPr>
          <w:szCs w:val="22"/>
        </w:rPr>
        <w:t>Helmig</w:t>
      </w:r>
      <w:proofErr w:type="spellEnd"/>
      <w:r w:rsidRPr="00471BC1">
        <w:rPr>
          <w:szCs w:val="22"/>
        </w:rPr>
        <w:t xml:space="preserve">, W. </w:t>
      </w:r>
      <w:proofErr w:type="spellStart"/>
      <w:r w:rsidRPr="00471BC1">
        <w:rPr>
          <w:szCs w:val="22"/>
        </w:rPr>
        <w:t>McGillis</w:t>
      </w:r>
      <w:proofErr w:type="spellEnd"/>
      <w:r w:rsidRPr="00471BC1">
        <w:rPr>
          <w:szCs w:val="22"/>
        </w:rPr>
        <w:t xml:space="preserve">, S. </w:t>
      </w:r>
      <w:proofErr w:type="spellStart"/>
      <w:r w:rsidRPr="00471BC1">
        <w:rPr>
          <w:szCs w:val="22"/>
        </w:rPr>
        <w:t>Pezoa</w:t>
      </w:r>
      <w:proofErr w:type="spellEnd"/>
      <w:r w:rsidRPr="00471BC1">
        <w:rPr>
          <w:szCs w:val="22"/>
        </w:rPr>
        <w:t xml:space="preserve">, J. Hare, B. </w:t>
      </w:r>
      <w:proofErr w:type="spellStart"/>
      <w:r w:rsidRPr="00471BC1">
        <w:rPr>
          <w:szCs w:val="22"/>
        </w:rPr>
        <w:t>Hueber</w:t>
      </w:r>
      <w:r>
        <w:rPr>
          <w:szCs w:val="22"/>
        </w:rPr>
        <w:t>t</w:t>
      </w:r>
      <w:proofErr w:type="spellEnd"/>
      <w:r>
        <w:rPr>
          <w:szCs w:val="22"/>
        </w:rPr>
        <w:t xml:space="preserve">, and B. </w:t>
      </w:r>
      <w:proofErr w:type="spellStart"/>
      <w:r>
        <w:rPr>
          <w:szCs w:val="22"/>
        </w:rPr>
        <w:t>Blomquist</w:t>
      </w:r>
      <w:proofErr w:type="spellEnd"/>
      <w:r>
        <w:rPr>
          <w:szCs w:val="22"/>
        </w:rPr>
        <w:t>, 2011:</w:t>
      </w:r>
      <w:r w:rsidRPr="00471BC1">
        <w:rPr>
          <w:szCs w:val="22"/>
        </w:rPr>
        <w:t xml:space="preserve"> Implementation of</w:t>
      </w:r>
      <w:r>
        <w:rPr>
          <w:szCs w:val="22"/>
        </w:rPr>
        <w:t xml:space="preserve"> </w:t>
      </w:r>
      <w:r w:rsidRPr="00471BC1">
        <w:rPr>
          <w:szCs w:val="22"/>
        </w:rPr>
        <w:t>the coupled ocean-atmosphere response experiment flux algorithm with CO</w:t>
      </w:r>
      <w:r w:rsidRPr="00471BC1">
        <w:rPr>
          <w:szCs w:val="22"/>
          <w:vertAlign w:val="subscript"/>
        </w:rPr>
        <w:t>2</w:t>
      </w:r>
      <w:r w:rsidRPr="00471BC1">
        <w:rPr>
          <w:szCs w:val="22"/>
        </w:rPr>
        <w:t xml:space="preserve">, dimethyl </w:t>
      </w:r>
      <w:proofErr w:type="spellStart"/>
      <w:r w:rsidRPr="00471BC1">
        <w:rPr>
          <w:szCs w:val="22"/>
        </w:rPr>
        <w:t>sulfide</w:t>
      </w:r>
      <w:proofErr w:type="spellEnd"/>
      <w:r w:rsidRPr="00471BC1">
        <w:rPr>
          <w:szCs w:val="22"/>
        </w:rPr>
        <w:t>, and O</w:t>
      </w:r>
      <w:r w:rsidRPr="00471BC1">
        <w:rPr>
          <w:szCs w:val="22"/>
          <w:vertAlign w:val="subscript"/>
        </w:rPr>
        <w:t>3</w:t>
      </w:r>
      <w:r w:rsidRPr="00471BC1">
        <w:rPr>
          <w:szCs w:val="22"/>
        </w:rPr>
        <w:t xml:space="preserve">, J. </w:t>
      </w:r>
      <w:proofErr w:type="spellStart"/>
      <w:r w:rsidRPr="00471BC1">
        <w:rPr>
          <w:szCs w:val="22"/>
        </w:rPr>
        <w:t>Geophys</w:t>
      </w:r>
      <w:proofErr w:type="spellEnd"/>
      <w:r w:rsidRPr="00471BC1">
        <w:rPr>
          <w:szCs w:val="22"/>
        </w:rPr>
        <w:t>. Res., 116, C00F09,</w:t>
      </w:r>
      <w:r>
        <w:rPr>
          <w:szCs w:val="22"/>
        </w:rPr>
        <w:t xml:space="preserve"> </w:t>
      </w:r>
      <w:r w:rsidRPr="00471BC1">
        <w:rPr>
          <w:szCs w:val="22"/>
        </w:rPr>
        <w:t>doi:10.1029/2010JC006884.</w:t>
      </w:r>
    </w:p>
    <w:p w14:paraId="6CD350AD" w14:textId="77777777" w:rsidR="00DE5FFF" w:rsidRDefault="00DE5FFF" w:rsidP="00067EF1">
      <w:pPr>
        <w:ind w:left="284" w:hanging="284"/>
        <w:jc w:val="both"/>
        <w:rPr>
          <w:szCs w:val="22"/>
        </w:rPr>
      </w:pPr>
      <w:proofErr w:type="spellStart"/>
      <w:r w:rsidRPr="00DE5FFF">
        <w:rPr>
          <w:szCs w:val="22"/>
        </w:rPr>
        <w:t>Goddijn</w:t>
      </w:r>
      <w:proofErr w:type="spellEnd"/>
      <w:r w:rsidRPr="00DE5FFF">
        <w:rPr>
          <w:szCs w:val="22"/>
        </w:rPr>
        <w:t xml:space="preserve">-Murphy, L., Woolf, D. K., and A. H. Callaghan, A. H.: Parameterizations and algorithms for oceanic whitecap coverage, J. Phys. </w:t>
      </w:r>
      <w:proofErr w:type="spellStart"/>
      <w:r w:rsidRPr="00DE5FFF">
        <w:rPr>
          <w:szCs w:val="22"/>
        </w:rPr>
        <w:t>Oceanogr</w:t>
      </w:r>
      <w:proofErr w:type="spellEnd"/>
      <w:r w:rsidRPr="00DE5FFF">
        <w:rPr>
          <w:szCs w:val="22"/>
        </w:rPr>
        <w:t>., 41, 742–756, doi:10.1175/2010JPO4533.1, 2011.</w:t>
      </w:r>
    </w:p>
    <w:p w14:paraId="01CAF8A2" w14:textId="77777777" w:rsidR="00720D1F" w:rsidRDefault="00720D1F" w:rsidP="00067EF1">
      <w:pPr>
        <w:ind w:left="284" w:hanging="284"/>
        <w:jc w:val="both"/>
        <w:rPr>
          <w:szCs w:val="22"/>
        </w:rPr>
      </w:pPr>
      <w:r w:rsidRPr="00720D1F">
        <w:rPr>
          <w:szCs w:val="22"/>
        </w:rPr>
        <w:t xml:space="preserve">Hanson, J. L. and O. M. Philipps, 2001: Automated Analysis of Ocean Surface Directional Wave Spectra, </w:t>
      </w:r>
      <w:r w:rsidRPr="008B4B17">
        <w:rPr>
          <w:i/>
          <w:szCs w:val="22"/>
        </w:rPr>
        <w:t>J. Atmos. Ocean. Technol.</w:t>
      </w:r>
      <w:r w:rsidRPr="00720D1F">
        <w:rPr>
          <w:szCs w:val="22"/>
        </w:rPr>
        <w:t>, 18, 277-293</w:t>
      </w:r>
    </w:p>
    <w:p w14:paraId="62B11506" w14:textId="77777777" w:rsidR="00067EF1" w:rsidRDefault="00067EF1" w:rsidP="00067EF1">
      <w:pPr>
        <w:ind w:left="284" w:hanging="284"/>
        <w:jc w:val="both"/>
        <w:rPr>
          <w:szCs w:val="22"/>
        </w:rPr>
      </w:pPr>
      <w:r w:rsidRPr="00067EF1">
        <w:rPr>
          <w:szCs w:val="22"/>
        </w:rPr>
        <w:t>Hanson</w:t>
      </w:r>
      <w:r>
        <w:rPr>
          <w:szCs w:val="22"/>
        </w:rPr>
        <w:t>, J. L., and R. E.</w:t>
      </w:r>
      <w:r w:rsidRPr="00067EF1">
        <w:rPr>
          <w:szCs w:val="22"/>
        </w:rPr>
        <w:t xml:space="preserve"> Jensen, 2004: Wave system </w:t>
      </w:r>
      <w:r>
        <w:rPr>
          <w:szCs w:val="22"/>
        </w:rPr>
        <w:t xml:space="preserve">diagnostics for numerical wave </w:t>
      </w:r>
      <w:r w:rsidRPr="00067EF1">
        <w:rPr>
          <w:szCs w:val="22"/>
        </w:rPr>
        <w:t xml:space="preserve">models. </w:t>
      </w:r>
      <w:r w:rsidRPr="00067EF1">
        <w:rPr>
          <w:i/>
          <w:szCs w:val="22"/>
        </w:rPr>
        <w:t>Proc. Eighth Int. Workshop on Wave Hindcasting and Forecasting, Oahu, HI, Joint WMO/IOC Technical Commission for Oceanography and Marine Meteorology Tech. Rep. 29, WMO/TD-1319</w:t>
      </w:r>
      <w:r w:rsidRPr="00067EF1">
        <w:rPr>
          <w:szCs w:val="22"/>
        </w:rPr>
        <w:t xml:space="preserve">, 19 pp.   </w:t>
      </w:r>
      <w:r>
        <w:rPr>
          <w:szCs w:val="22"/>
        </w:rPr>
        <w:t xml:space="preserve">Available at: </w:t>
      </w:r>
      <w:hyperlink r:id="rId13" w:history="1">
        <w:r w:rsidRPr="00FD12EA">
          <w:rPr>
            <w:rStyle w:val="Hyperlink"/>
            <w:szCs w:val="22"/>
          </w:rPr>
          <w:t>http://www.waveworkshop.org/8thWaves/Papers/E3.pdf</w:t>
        </w:r>
      </w:hyperlink>
      <w:r>
        <w:rPr>
          <w:szCs w:val="22"/>
        </w:rPr>
        <w:t xml:space="preserve">, last access 15 </w:t>
      </w:r>
      <w:r w:rsidR="00BD7875">
        <w:rPr>
          <w:szCs w:val="22"/>
        </w:rPr>
        <w:t>March 2017</w:t>
      </w:r>
      <w:r>
        <w:rPr>
          <w:szCs w:val="22"/>
        </w:rPr>
        <w:t>.</w:t>
      </w:r>
    </w:p>
    <w:p w14:paraId="3E806D89" w14:textId="77777777" w:rsidR="00067EF1" w:rsidRPr="00720D1F" w:rsidRDefault="00067EF1" w:rsidP="00067EF1">
      <w:pPr>
        <w:ind w:left="284" w:hanging="284"/>
        <w:jc w:val="both"/>
        <w:rPr>
          <w:szCs w:val="22"/>
        </w:rPr>
      </w:pPr>
      <w:r w:rsidRPr="00067EF1">
        <w:rPr>
          <w:szCs w:val="22"/>
        </w:rPr>
        <w:t>Hashimoto,</w:t>
      </w:r>
      <w:r w:rsidR="008B4B17">
        <w:rPr>
          <w:szCs w:val="22"/>
        </w:rPr>
        <w:t xml:space="preserve"> </w:t>
      </w:r>
      <w:r w:rsidRPr="00067EF1">
        <w:rPr>
          <w:szCs w:val="22"/>
        </w:rPr>
        <w:t>N.</w:t>
      </w:r>
      <w:r w:rsidR="008B4B17">
        <w:rPr>
          <w:szCs w:val="22"/>
        </w:rPr>
        <w:t>,</w:t>
      </w:r>
      <w:r w:rsidRPr="00067EF1">
        <w:rPr>
          <w:szCs w:val="22"/>
        </w:rPr>
        <w:t xml:space="preserve"> </w:t>
      </w:r>
      <w:r w:rsidR="008B4B17">
        <w:rPr>
          <w:szCs w:val="22"/>
        </w:rPr>
        <w:t>T. Nagai,</w:t>
      </w:r>
      <w:r w:rsidRPr="00067EF1">
        <w:rPr>
          <w:szCs w:val="22"/>
        </w:rPr>
        <w:t xml:space="preserve"> and </w:t>
      </w:r>
      <w:r w:rsidR="008B4B17">
        <w:rPr>
          <w:szCs w:val="22"/>
        </w:rPr>
        <w:t xml:space="preserve">T. </w:t>
      </w:r>
      <w:proofErr w:type="spellStart"/>
      <w:r w:rsidR="008B4B17">
        <w:rPr>
          <w:szCs w:val="22"/>
        </w:rPr>
        <w:t>Asai</w:t>
      </w:r>
      <w:proofErr w:type="spellEnd"/>
      <w:r w:rsidR="008B4B17">
        <w:rPr>
          <w:szCs w:val="22"/>
        </w:rPr>
        <w:t>,</w:t>
      </w:r>
      <w:r w:rsidRPr="00067EF1">
        <w:rPr>
          <w:szCs w:val="22"/>
        </w:rPr>
        <w:t xml:space="preserve"> </w:t>
      </w:r>
      <w:r w:rsidR="008B4B17">
        <w:rPr>
          <w:szCs w:val="22"/>
        </w:rPr>
        <w:t>1993:</w:t>
      </w:r>
      <w:r w:rsidRPr="00067EF1">
        <w:rPr>
          <w:szCs w:val="22"/>
        </w:rPr>
        <w:t xml:space="preserve"> Modification of the extended maximum</w:t>
      </w:r>
      <w:r>
        <w:rPr>
          <w:szCs w:val="22"/>
        </w:rPr>
        <w:t xml:space="preserve"> </w:t>
      </w:r>
      <w:r w:rsidRPr="00067EF1">
        <w:rPr>
          <w:szCs w:val="22"/>
        </w:rPr>
        <w:t>entropy principle for estimating directional spectrum in incident and reflected</w:t>
      </w:r>
      <w:r>
        <w:rPr>
          <w:szCs w:val="22"/>
        </w:rPr>
        <w:t xml:space="preserve"> </w:t>
      </w:r>
      <w:r w:rsidRPr="00067EF1">
        <w:rPr>
          <w:szCs w:val="22"/>
        </w:rPr>
        <w:t xml:space="preserve">wave field. </w:t>
      </w:r>
      <w:r w:rsidRPr="00067EF1">
        <w:rPr>
          <w:i/>
          <w:iCs/>
          <w:szCs w:val="22"/>
        </w:rPr>
        <w:t xml:space="preserve">Rept. Of P.H.R.I. </w:t>
      </w:r>
      <w:r w:rsidRPr="00067EF1">
        <w:rPr>
          <w:b/>
          <w:bCs/>
          <w:szCs w:val="22"/>
        </w:rPr>
        <w:t>32</w:t>
      </w:r>
      <w:r w:rsidRPr="00067EF1">
        <w:rPr>
          <w:szCs w:val="22"/>
        </w:rPr>
        <w:t>(4) 25-47</w:t>
      </w:r>
      <w:r w:rsidR="008B4B17">
        <w:rPr>
          <w:szCs w:val="22"/>
        </w:rPr>
        <w:t>.</w:t>
      </w:r>
    </w:p>
    <w:p w14:paraId="5FF6EFE4" w14:textId="77777777" w:rsidR="00EE7B60" w:rsidRDefault="00EE7B60" w:rsidP="00067EF1">
      <w:pPr>
        <w:ind w:left="284" w:hanging="284"/>
        <w:jc w:val="both"/>
        <w:rPr>
          <w:szCs w:val="22"/>
        </w:rPr>
      </w:pPr>
      <w:proofErr w:type="spellStart"/>
      <w:r w:rsidRPr="00EE7B60">
        <w:rPr>
          <w:szCs w:val="22"/>
        </w:rPr>
        <w:t>Hasselmann</w:t>
      </w:r>
      <w:proofErr w:type="spellEnd"/>
      <w:r w:rsidRPr="00EE7B60">
        <w:rPr>
          <w:szCs w:val="22"/>
        </w:rPr>
        <w:t xml:space="preserve">, S., K. </w:t>
      </w:r>
      <w:proofErr w:type="spellStart"/>
      <w:r w:rsidRPr="00EE7B60">
        <w:rPr>
          <w:szCs w:val="22"/>
        </w:rPr>
        <w:t>Hasselmann</w:t>
      </w:r>
      <w:proofErr w:type="spellEnd"/>
      <w:r w:rsidRPr="00EE7B60">
        <w:rPr>
          <w:szCs w:val="22"/>
        </w:rPr>
        <w:t xml:space="preserve">, J. H. </w:t>
      </w:r>
      <w:proofErr w:type="spellStart"/>
      <w:r w:rsidRPr="00EE7B60">
        <w:rPr>
          <w:szCs w:val="22"/>
        </w:rPr>
        <w:t>Allender</w:t>
      </w:r>
      <w:proofErr w:type="spellEnd"/>
      <w:r w:rsidRPr="00EE7B60">
        <w:rPr>
          <w:szCs w:val="22"/>
        </w:rPr>
        <w:t xml:space="preserve">, and T. P. Barnett (1985), Computations and </w:t>
      </w:r>
      <w:r w:rsidRPr="00EE7B60">
        <w:rPr>
          <w:szCs w:val="22"/>
        </w:rPr>
        <w:lastRenderedPageBreak/>
        <w:t xml:space="preserve">parameterizations of the nonlinear energy transfer in a gravity-wave spectrum. Part II: Parameterizations of the nonlinear energy transfer for application in wave models, J. Phys. </w:t>
      </w:r>
      <w:proofErr w:type="spellStart"/>
      <w:r w:rsidRPr="00EE7B60">
        <w:rPr>
          <w:szCs w:val="22"/>
        </w:rPr>
        <w:t>Oceanogr</w:t>
      </w:r>
      <w:proofErr w:type="spellEnd"/>
      <w:r w:rsidRPr="00EE7B60">
        <w:rPr>
          <w:szCs w:val="22"/>
        </w:rPr>
        <w:t>., 15, 1378–1391.</w:t>
      </w:r>
    </w:p>
    <w:p w14:paraId="1F5DF6D7" w14:textId="77777777" w:rsidR="00067EF1" w:rsidRDefault="00067EF1" w:rsidP="00067EF1">
      <w:pPr>
        <w:ind w:left="284" w:hanging="284"/>
        <w:jc w:val="both"/>
        <w:rPr>
          <w:szCs w:val="22"/>
        </w:rPr>
      </w:pPr>
      <w:r>
        <w:rPr>
          <w:szCs w:val="22"/>
        </w:rPr>
        <w:t xml:space="preserve">Johnson, D., 2012: </w:t>
      </w:r>
      <w:r w:rsidRPr="00067EF1">
        <w:rPr>
          <w:szCs w:val="22"/>
        </w:rPr>
        <w:t xml:space="preserve">DIWASP, a directional wave spectra toolbox </w:t>
      </w:r>
      <w:r w:rsidR="0027062F">
        <w:rPr>
          <w:szCs w:val="22"/>
        </w:rPr>
        <w:t xml:space="preserve">Version 1.4 </w:t>
      </w:r>
      <w:r w:rsidRPr="00067EF1">
        <w:rPr>
          <w:szCs w:val="22"/>
        </w:rPr>
        <w:t>for MATLAB®: User Manual.</w:t>
      </w:r>
      <w:r>
        <w:rPr>
          <w:szCs w:val="22"/>
        </w:rPr>
        <w:t xml:space="preserve"> </w:t>
      </w:r>
      <w:r w:rsidRPr="00067EF1">
        <w:rPr>
          <w:szCs w:val="22"/>
        </w:rPr>
        <w:t>Research Report WP-1601-DJ (V1.1), Centre for Water Research, University of</w:t>
      </w:r>
      <w:r>
        <w:rPr>
          <w:szCs w:val="22"/>
        </w:rPr>
        <w:t xml:space="preserve"> Western Australia. Available at: </w:t>
      </w:r>
      <w:r w:rsidR="0027062F" w:rsidRPr="0027062F">
        <w:t>https://github.com/metocean/diwasp/blob/master/DIWASP_manual.pdf</w:t>
      </w:r>
      <w:r w:rsidR="0027062F">
        <w:rPr>
          <w:szCs w:val="22"/>
        </w:rPr>
        <w:t>, last access 4</w:t>
      </w:r>
      <w:r>
        <w:rPr>
          <w:szCs w:val="22"/>
        </w:rPr>
        <w:t xml:space="preserve"> January </w:t>
      </w:r>
      <w:r w:rsidR="0027062F">
        <w:rPr>
          <w:szCs w:val="22"/>
        </w:rPr>
        <w:t>2017</w:t>
      </w:r>
      <w:r>
        <w:rPr>
          <w:szCs w:val="22"/>
        </w:rPr>
        <w:t xml:space="preserve">. </w:t>
      </w:r>
    </w:p>
    <w:p w14:paraId="72D356FE" w14:textId="77777777" w:rsidR="00B33BC0" w:rsidRDefault="00B33BC0" w:rsidP="00B33BC0">
      <w:pPr>
        <w:ind w:left="284" w:hanging="284"/>
        <w:jc w:val="both"/>
        <w:rPr>
          <w:szCs w:val="22"/>
        </w:rPr>
      </w:pPr>
      <w:r w:rsidRPr="00B33BC0">
        <w:rPr>
          <w:szCs w:val="22"/>
        </w:rPr>
        <w:t xml:space="preserve">Lafon, C., J. </w:t>
      </w:r>
      <w:proofErr w:type="spellStart"/>
      <w:r w:rsidRPr="00B33BC0">
        <w:rPr>
          <w:szCs w:val="22"/>
        </w:rPr>
        <w:t>Piazzola</w:t>
      </w:r>
      <w:proofErr w:type="spellEnd"/>
      <w:r w:rsidRPr="00B33BC0">
        <w:rPr>
          <w:szCs w:val="22"/>
        </w:rPr>
        <w:t xml:space="preserve">, P. Forget, and S. </w:t>
      </w:r>
      <w:proofErr w:type="spellStart"/>
      <w:r w:rsidRPr="00B33BC0">
        <w:rPr>
          <w:szCs w:val="22"/>
        </w:rPr>
        <w:t>Despiau</w:t>
      </w:r>
      <w:proofErr w:type="spellEnd"/>
      <w:r w:rsidRPr="00B33BC0">
        <w:rPr>
          <w:szCs w:val="22"/>
        </w:rPr>
        <w:t xml:space="preserve"> (2007), Whitecap coverage</w:t>
      </w:r>
      <w:r>
        <w:rPr>
          <w:szCs w:val="22"/>
        </w:rPr>
        <w:t xml:space="preserve"> </w:t>
      </w:r>
      <w:r w:rsidRPr="00B33BC0">
        <w:rPr>
          <w:szCs w:val="22"/>
        </w:rPr>
        <w:t>in coastal environment for steady and unsteady wave field conditions, J.</w:t>
      </w:r>
      <w:r>
        <w:rPr>
          <w:szCs w:val="22"/>
        </w:rPr>
        <w:t xml:space="preserve"> </w:t>
      </w:r>
      <w:r w:rsidRPr="00B33BC0">
        <w:rPr>
          <w:szCs w:val="22"/>
        </w:rPr>
        <w:t>Mar. Syst., 66(1–4), 38–46, doi:10.1016/j. jmarsys.2006.02.013</w:t>
      </w:r>
    </w:p>
    <w:p w14:paraId="30BD33A7" w14:textId="77777777" w:rsidR="00DE5FFF" w:rsidRDefault="00DE5FFF" w:rsidP="00067EF1">
      <w:pPr>
        <w:ind w:left="284" w:hanging="284"/>
        <w:jc w:val="both"/>
        <w:rPr>
          <w:szCs w:val="22"/>
        </w:rPr>
      </w:pPr>
      <w:r w:rsidRPr="00DE5FFF">
        <w:rPr>
          <w:szCs w:val="22"/>
        </w:rPr>
        <w:t xml:space="preserve">Norris, S. J., Brooks, I. M., and Salisbury, D. J.: A wave roughness Reynolds number parameterization of the sea spray source flux, </w:t>
      </w:r>
      <w:proofErr w:type="spellStart"/>
      <w:r w:rsidRPr="00DE5FFF">
        <w:rPr>
          <w:szCs w:val="22"/>
        </w:rPr>
        <w:t>Geophys</w:t>
      </w:r>
      <w:proofErr w:type="spellEnd"/>
      <w:r w:rsidRPr="00DE5FFF">
        <w:rPr>
          <w:szCs w:val="22"/>
        </w:rPr>
        <w:t>. Res. Letts. 40, 1-5, doi:10.1002/grl.50795, 2013.</w:t>
      </w:r>
    </w:p>
    <w:p w14:paraId="65735E5D" w14:textId="77777777" w:rsidR="00644E2E" w:rsidRDefault="00644E2E" w:rsidP="00067EF1">
      <w:pPr>
        <w:ind w:left="284" w:hanging="284"/>
        <w:jc w:val="both"/>
        <w:rPr>
          <w:szCs w:val="22"/>
        </w:rPr>
      </w:pPr>
      <w:r w:rsidRPr="00644E2E">
        <w:rPr>
          <w:szCs w:val="22"/>
        </w:rPr>
        <w:t xml:space="preserve">Pascal, R. W., </w:t>
      </w:r>
      <w:proofErr w:type="spellStart"/>
      <w:r w:rsidRPr="00644E2E">
        <w:rPr>
          <w:szCs w:val="22"/>
        </w:rPr>
        <w:t>Yelland</w:t>
      </w:r>
      <w:proofErr w:type="spellEnd"/>
      <w:r w:rsidRPr="00644E2E">
        <w:rPr>
          <w:szCs w:val="22"/>
        </w:rPr>
        <w:t xml:space="preserve">, M. J., </w:t>
      </w:r>
      <w:proofErr w:type="spellStart"/>
      <w:r w:rsidRPr="00644E2E">
        <w:rPr>
          <w:szCs w:val="22"/>
        </w:rPr>
        <w:t>Srokosz</w:t>
      </w:r>
      <w:proofErr w:type="spellEnd"/>
      <w:r w:rsidRPr="00644E2E">
        <w:rPr>
          <w:szCs w:val="22"/>
        </w:rPr>
        <w:t xml:space="preserve">, M. A., Moat, B. I., Waugh, E. M., </w:t>
      </w:r>
      <w:proofErr w:type="spellStart"/>
      <w:r w:rsidRPr="00644E2E">
        <w:rPr>
          <w:szCs w:val="22"/>
        </w:rPr>
        <w:t>Comben</w:t>
      </w:r>
      <w:proofErr w:type="spellEnd"/>
      <w:r w:rsidRPr="00644E2E">
        <w:rPr>
          <w:szCs w:val="22"/>
        </w:rPr>
        <w:t xml:space="preserve">, D. H., </w:t>
      </w:r>
      <w:proofErr w:type="spellStart"/>
      <w:r w:rsidRPr="00644E2E">
        <w:rPr>
          <w:szCs w:val="22"/>
        </w:rPr>
        <w:t>Cansdale</w:t>
      </w:r>
      <w:proofErr w:type="spellEnd"/>
      <w:r w:rsidRPr="00644E2E">
        <w:rPr>
          <w:szCs w:val="22"/>
        </w:rPr>
        <w:t xml:space="preserve">, A. G., Hartman, M. C., Coles, D. G. and Chang Hsueh, P.: Spar buoy for high-frequency wave measurements and detection of wave breaking in the open ocean, </w:t>
      </w:r>
      <w:r w:rsidRPr="008B4B17">
        <w:rPr>
          <w:i/>
          <w:szCs w:val="22"/>
        </w:rPr>
        <w:t>J. Atmos. Oceanic Tech</w:t>
      </w:r>
      <w:r w:rsidR="008B4B17">
        <w:rPr>
          <w:i/>
          <w:szCs w:val="22"/>
        </w:rPr>
        <w:t>nol</w:t>
      </w:r>
      <w:r w:rsidRPr="008B4B17">
        <w:rPr>
          <w:i/>
          <w:szCs w:val="22"/>
        </w:rPr>
        <w:t>.</w:t>
      </w:r>
      <w:r w:rsidRPr="00644E2E">
        <w:rPr>
          <w:i/>
          <w:szCs w:val="22"/>
        </w:rPr>
        <w:t>,</w:t>
      </w:r>
      <w:r w:rsidRPr="00644E2E">
        <w:rPr>
          <w:szCs w:val="22"/>
        </w:rPr>
        <w:t xml:space="preserve"> 28, </w:t>
      </w:r>
      <w:proofErr w:type="spellStart"/>
      <w:r w:rsidRPr="00644E2E">
        <w:rPr>
          <w:szCs w:val="22"/>
        </w:rPr>
        <w:t>doi</w:t>
      </w:r>
      <w:proofErr w:type="spellEnd"/>
      <w:r w:rsidRPr="00644E2E">
        <w:rPr>
          <w:szCs w:val="22"/>
        </w:rPr>
        <w:t>: 10.1175/2010JTECHO764.1, 2011.</w:t>
      </w:r>
    </w:p>
    <w:p w14:paraId="15F807AE" w14:textId="77777777" w:rsidR="00720D1F" w:rsidRDefault="00D37BEC" w:rsidP="00067EF1">
      <w:pPr>
        <w:ind w:left="284" w:hanging="284"/>
        <w:jc w:val="both"/>
        <w:rPr>
          <w:szCs w:val="22"/>
        </w:rPr>
      </w:pPr>
      <w:proofErr w:type="spellStart"/>
      <w:r>
        <w:rPr>
          <w:szCs w:val="22"/>
        </w:rPr>
        <w:t>Portilla</w:t>
      </w:r>
      <w:proofErr w:type="spellEnd"/>
      <w:r>
        <w:rPr>
          <w:szCs w:val="22"/>
        </w:rPr>
        <w:t xml:space="preserve"> J., F. J. </w:t>
      </w:r>
      <w:proofErr w:type="spellStart"/>
      <w:r>
        <w:rPr>
          <w:szCs w:val="22"/>
        </w:rPr>
        <w:t>Ocampo</w:t>
      </w:r>
      <w:proofErr w:type="spellEnd"/>
      <w:r>
        <w:rPr>
          <w:szCs w:val="22"/>
        </w:rPr>
        <w:t xml:space="preserve">-Torres, and J. </w:t>
      </w:r>
      <w:proofErr w:type="spellStart"/>
      <w:r>
        <w:rPr>
          <w:szCs w:val="22"/>
        </w:rPr>
        <w:t>Monbaliu</w:t>
      </w:r>
      <w:proofErr w:type="spellEnd"/>
      <w:r w:rsidR="00720D1F" w:rsidRPr="00720D1F">
        <w:rPr>
          <w:szCs w:val="22"/>
        </w:rPr>
        <w:t>, (2009), Spectral Partitioning and Identification of Wind Sea</w:t>
      </w:r>
      <w:r w:rsidR="00720D1F">
        <w:rPr>
          <w:szCs w:val="22"/>
        </w:rPr>
        <w:t xml:space="preserve"> </w:t>
      </w:r>
      <w:r w:rsidR="00720D1F" w:rsidRPr="00720D1F">
        <w:rPr>
          <w:szCs w:val="22"/>
        </w:rPr>
        <w:t xml:space="preserve">and Swell, </w:t>
      </w:r>
      <w:r w:rsidR="00720D1F" w:rsidRPr="008B4B17">
        <w:rPr>
          <w:i/>
          <w:szCs w:val="22"/>
        </w:rPr>
        <w:t>J. Atmos. Ocean. Technol.</w:t>
      </w:r>
      <w:r w:rsidR="00720D1F" w:rsidRPr="00720D1F">
        <w:rPr>
          <w:szCs w:val="22"/>
        </w:rPr>
        <w:t>, 26, 107-122</w:t>
      </w:r>
      <w:r w:rsidR="00D766E7">
        <w:rPr>
          <w:szCs w:val="22"/>
        </w:rPr>
        <w:t>.</w:t>
      </w:r>
    </w:p>
    <w:p w14:paraId="674B5548" w14:textId="77777777" w:rsidR="00EE7B60" w:rsidRPr="000B48F3" w:rsidRDefault="00EE7B60" w:rsidP="00EE7B60">
      <w:pPr>
        <w:ind w:left="284" w:hanging="284"/>
        <w:jc w:val="both"/>
        <w:rPr>
          <w:bCs/>
          <w:szCs w:val="22"/>
        </w:rPr>
      </w:pPr>
      <w:proofErr w:type="spellStart"/>
      <w:r w:rsidRPr="000B48F3">
        <w:rPr>
          <w:bCs/>
          <w:szCs w:val="22"/>
        </w:rPr>
        <w:t>Saha</w:t>
      </w:r>
      <w:proofErr w:type="spellEnd"/>
      <w:r w:rsidRPr="000B48F3">
        <w:rPr>
          <w:bCs/>
          <w:szCs w:val="22"/>
        </w:rPr>
        <w:t xml:space="preserve">, S., </w:t>
      </w:r>
      <w:proofErr w:type="spellStart"/>
      <w:r w:rsidRPr="000B48F3">
        <w:rPr>
          <w:bCs/>
          <w:szCs w:val="22"/>
        </w:rPr>
        <w:t>Moorthi</w:t>
      </w:r>
      <w:proofErr w:type="spellEnd"/>
      <w:r w:rsidRPr="000B48F3">
        <w:rPr>
          <w:bCs/>
          <w:szCs w:val="22"/>
        </w:rPr>
        <w:t>, S., Pan, H.-L. et al (2009), The NCEP climate forecast system reanalysis. Bull. Am</w:t>
      </w:r>
      <w:r w:rsidR="000B48F3" w:rsidRPr="000B48F3">
        <w:rPr>
          <w:bCs/>
          <w:szCs w:val="22"/>
        </w:rPr>
        <w:t xml:space="preserve">er. </w:t>
      </w:r>
      <w:proofErr w:type="spellStart"/>
      <w:r w:rsidR="000B48F3" w:rsidRPr="000B48F3">
        <w:rPr>
          <w:bCs/>
          <w:szCs w:val="22"/>
        </w:rPr>
        <w:t>Meterol</w:t>
      </w:r>
      <w:proofErr w:type="spellEnd"/>
      <w:r w:rsidR="000B48F3" w:rsidRPr="000B48F3">
        <w:rPr>
          <w:bCs/>
          <w:szCs w:val="22"/>
        </w:rPr>
        <w:t xml:space="preserve">. Soc. 91, 1015–1057, </w:t>
      </w:r>
      <w:proofErr w:type="spellStart"/>
      <w:r w:rsidR="000B48F3" w:rsidRPr="000B48F3">
        <w:rPr>
          <w:bCs/>
          <w:szCs w:val="22"/>
        </w:rPr>
        <w:t>doi</w:t>
      </w:r>
      <w:proofErr w:type="spellEnd"/>
      <w:r w:rsidR="000B48F3" w:rsidRPr="000B48F3">
        <w:rPr>
          <w:bCs/>
          <w:szCs w:val="22"/>
        </w:rPr>
        <w:t>: 10.1175/2010BAMS3001.1</w:t>
      </w:r>
    </w:p>
    <w:p w14:paraId="50139867" w14:textId="77777777" w:rsidR="00DE5FFF" w:rsidRPr="00DE5FFF" w:rsidRDefault="00DE5FFF" w:rsidP="00DE5FFF">
      <w:pPr>
        <w:ind w:left="284" w:hanging="284"/>
        <w:jc w:val="both"/>
        <w:rPr>
          <w:bCs/>
          <w:szCs w:val="22"/>
        </w:rPr>
      </w:pPr>
      <w:r w:rsidRPr="00DE5FFF">
        <w:rPr>
          <w:bCs/>
          <w:szCs w:val="22"/>
        </w:rPr>
        <w:t xml:space="preserve">Salisbury, D. J., </w:t>
      </w:r>
      <w:proofErr w:type="spellStart"/>
      <w:r w:rsidRPr="00DE5FFF">
        <w:rPr>
          <w:bCs/>
          <w:szCs w:val="22"/>
        </w:rPr>
        <w:t>Anguelova</w:t>
      </w:r>
      <w:proofErr w:type="spellEnd"/>
      <w:r w:rsidRPr="00DE5FFF">
        <w:rPr>
          <w:bCs/>
          <w:szCs w:val="22"/>
        </w:rPr>
        <w:t xml:space="preserve">, M., and Brooks, I. M.: On the variability of whitecap fraction using satellite-based observations, J. </w:t>
      </w:r>
      <w:proofErr w:type="spellStart"/>
      <w:r w:rsidRPr="00DE5FFF">
        <w:rPr>
          <w:bCs/>
          <w:szCs w:val="22"/>
        </w:rPr>
        <w:t>Geophys</w:t>
      </w:r>
      <w:proofErr w:type="spellEnd"/>
      <w:r w:rsidRPr="00DE5FFF">
        <w:rPr>
          <w:bCs/>
          <w:szCs w:val="22"/>
        </w:rPr>
        <w:t>. Res., 118, 1-22, doi:10.1002/2013JC008797, 2013.</w:t>
      </w:r>
    </w:p>
    <w:p w14:paraId="1ACA7AD1" w14:textId="77777777" w:rsidR="00B33BC0" w:rsidRPr="00B33BC0" w:rsidRDefault="00B33BC0" w:rsidP="00B33BC0">
      <w:pPr>
        <w:ind w:left="284" w:hanging="284"/>
        <w:jc w:val="both"/>
        <w:rPr>
          <w:bCs/>
          <w:szCs w:val="22"/>
        </w:rPr>
      </w:pPr>
      <w:proofErr w:type="spellStart"/>
      <w:r w:rsidRPr="00B33BC0">
        <w:rPr>
          <w:bCs/>
          <w:szCs w:val="22"/>
        </w:rPr>
        <w:t>Stramska</w:t>
      </w:r>
      <w:proofErr w:type="spellEnd"/>
      <w:r w:rsidRPr="00B33BC0">
        <w:rPr>
          <w:bCs/>
          <w:szCs w:val="22"/>
        </w:rPr>
        <w:t xml:space="preserve">, M., and T. </w:t>
      </w:r>
      <w:proofErr w:type="spellStart"/>
      <w:r w:rsidRPr="00B33BC0">
        <w:rPr>
          <w:bCs/>
          <w:szCs w:val="22"/>
        </w:rPr>
        <w:t>Petelski</w:t>
      </w:r>
      <w:proofErr w:type="spellEnd"/>
      <w:r w:rsidRPr="00B33BC0">
        <w:rPr>
          <w:bCs/>
          <w:szCs w:val="22"/>
        </w:rPr>
        <w:t xml:space="preserve"> (2003), Observations of oceanic whitecaps in</w:t>
      </w:r>
      <w:r>
        <w:rPr>
          <w:bCs/>
          <w:szCs w:val="22"/>
        </w:rPr>
        <w:t xml:space="preserve"> </w:t>
      </w:r>
      <w:r w:rsidRPr="00B33BC0">
        <w:rPr>
          <w:bCs/>
          <w:szCs w:val="22"/>
        </w:rPr>
        <w:t xml:space="preserve">the north polar waters of the Atlantic, J. </w:t>
      </w:r>
      <w:proofErr w:type="spellStart"/>
      <w:r w:rsidRPr="00B33BC0">
        <w:rPr>
          <w:bCs/>
          <w:szCs w:val="22"/>
        </w:rPr>
        <w:t>Geophys</w:t>
      </w:r>
      <w:proofErr w:type="spellEnd"/>
      <w:r w:rsidRPr="00B33BC0">
        <w:rPr>
          <w:bCs/>
          <w:szCs w:val="22"/>
        </w:rPr>
        <w:t>. Res., 108(C3), 3086,</w:t>
      </w:r>
      <w:r>
        <w:rPr>
          <w:bCs/>
          <w:szCs w:val="22"/>
        </w:rPr>
        <w:t xml:space="preserve"> </w:t>
      </w:r>
      <w:r w:rsidRPr="00B33BC0">
        <w:rPr>
          <w:bCs/>
          <w:szCs w:val="22"/>
        </w:rPr>
        <w:t>doi:10.1029/2002JC001321.</w:t>
      </w:r>
    </w:p>
    <w:p w14:paraId="64D65DC5" w14:textId="77777777" w:rsidR="00B33BC0" w:rsidRDefault="00B33BC0" w:rsidP="00B33BC0">
      <w:pPr>
        <w:ind w:left="284" w:hanging="284"/>
        <w:jc w:val="both"/>
        <w:rPr>
          <w:bCs/>
          <w:szCs w:val="22"/>
        </w:rPr>
      </w:pPr>
      <w:r w:rsidRPr="00B33BC0">
        <w:rPr>
          <w:bCs/>
          <w:szCs w:val="22"/>
        </w:rPr>
        <w:t xml:space="preserve">Sugihara, Y., H. </w:t>
      </w:r>
      <w:proofErr w:type="spellStart"/>
      <w:r w:rsidRPr="00B33BC0">
        <w:rPr>
          <w:bCs/>
          <w:szCs w:val="22"/>
        </w:rPr>
        <w:t>Tsumori</w:t>
      </w:r>
      <w:proofErr w:type="spellEnd"/>
      <w:r w:rsidRPr="00B33BC0">
        <w:rPr>
          <w:bCs/>
          <w:szCs w:val="22"/>
        </w:rPr>
        <w:t xml:space="preserve">, T. </w:t>
      </w:r>
      <w:proofErr w:type="spellStart"/>
      <w:r w:rsidRPr="00B33BC0">
        <w:rPr>
          <w:bCs/>
          <w:szCs w:val="22"/>
        </w:rPr>
        <w:t>Ohga</w:t>
      </w:r>
      <w:proofErr w:type="spellEnd"/>
      <w:r w:rsidRPr="00B33BC0">
        <w:rPr>
          <w:bCs/>
          <w:szCs w:val="22"/>
        </w:rPr>
        <w:t>, H. Yoshioka, and S. Serizawa (2007),</w:t>
      </w:r>
      <w:r>
        <w:rPr>
          <w:bCs/>
          <w:szCs w:val="22"/>
        </w:rPr>
        <w:t xml:space="preserve"> </w:t>
      </w:r>
      <w:r w:rsidRPr="00B33BC0">
        <w:rPr>
          <w:bCs/>
          <w:szCs w:val="22"/>
        </w:rPr>
        <w:t>Variation of whitecap coverage with wave-field conditions, J. Mar. Syst.,</w:t>
      </w:r>
      <w:r>
        <w:rPr>
          <w:bCs/>
          <w:szCs w:val="22"/>
        </w:rPr>
        <w:t xml:space="preserve"> </w:t>
      </w:r>
      <w:r w:rsidRPr="00B33BC0">
        <w:rPr>
          <w:bCs/>
          <w:szCs w:val="22"/>
        </w:rPr>
        <w:t xml:space="preserve">66, 47–60, </w:t>
      </w:r>
      <w:proofErr w:type="gramStart"/>
      <w:r w:rsidRPr="00B33BC0">
        <w:rPr>
          <w:bCs/>
          <w:szCs w:val="22"/>
        </w:rPr>
        <w:t>doi:10.1016/j.jmarsys</w:t>
      </w:r>
      <w:proofErr w:type="gramEnd"/>
      <w:r w:rsidRPr="00B33BC0">
        <w:rPr>
          <w:bCs/>
          <w:szCs w:val="22"/>
        </w:rPr>
        <w:t>.2006.01.014.</w:t>
      </w:r>
    </w:p>
    <w:p w14:paraId="0ED8311A" w14:textId="77777777" w:rsidR="00DE5FFF" w:rsidRDefault="00DE5FFF" w:rsidP="00EE7B60">
      <w:pPr>
        <w:ind w:left="284" w:hanging="284"/>
        <w:jc w:val="both"/>
        <w:rPr>
          <w:bCs/>
          <w:szCs w:val="22"/>
        </w:rPr>
      </w:pPr>
      <w:r w:rsidRPr="00DE5FFF">
        <w:rPr>
          <w:bCs/>
          <w:szCs w:val="22"/>
        </w:rPr>
        <w:t xml:space="preserve">Toba, Y., and Koga, M.: A parameter describing overall conditions of wave breaking, </w:t>
      </w:r>
      <w:proofErr w:type="spellStart"/>
      <w:r w:rsidRPr="00DE5FFF">
        <w:rPr>
          <w:bCs/>
          <w:szCs w:val="22"/>
        </w:rPr>
        <w:t>whitecapping</w:t>
      </w:r>
      <w:proofErr w:type="spellEnd"/>
      <w:r w:rsidRPr="00DE5FFF">
        <w:rPr>
          <w:bCs/>
          <w:szCs w:val="22"/>
        </w:rPr>
        <w:t xml:space="preserve">, sea-spray production and wind stress, in Oceanic Whitecaps, edited by E. C. Monahan and G. Mac </w:t>
      </w:r>
      <w:proofErr w:type="spellStart"/>
      <w:r w:rsidRPr="00DE5FFF">
        <w:rPr>
          <w:bCs/>
          <w:szCs w:val="22"/>
        </w:rPr>
        <w:t>Niocaill</w:t>
      </w:r>
      <w:proofErr w:type="spellEnd"/>
      <w:r w:rsidRPr="00DE5FFF">
        <w:rPr>
          <w:bCs/>
          <w:szCs w:val="22"/>
        </w:rPr>
        <w:t>, pp. 37–47, Springer, New York, 1986.</w:t>
      </w:r>
    </w:p>
    <w:p w14:paraId="16E06074" w14:textId="77777777" w:rsidR="00EE7B60" w:rsidRPr="00EE7B60" w:rsidRDefault="00EE7B60" w:rsidP="00EE7B60">
      <w:pPr>
        <w:ind w:left="284" w:hanging="284"/>
        <w:jc w:val="both"/>
        <w:rPr>
          <w:bCs/>
          <w:szCs w:val="22"/>
          <w:highlight w:val="yellow"/>
        </w:rPr>
      </w:pPr>
      <w:proofErr w:type="spellStart"/>
      <w:r w:rsidRPr="000B48F3">
        <w:rPr>
          <w:bCs/>
          <w:szCs w:val="22"/>
        </w:rPr>
        <w:t>Tolman</w:t>
      </w:r>
      <w:proofErr w:type="spellEnd"/>
      <w:r w:rsidRPr="000B48F3">
        <w:rPr>
          <w:bCs/>
          <w:szCs w:val="22"/>
        </w:rPr>
        <w:t xml:space="preserve">, H. L., and D. V. </w:t>
      </w:r>
      <w:proofErr w:type="spellStart"/>
      <w:r w:rsidRPr="000B48F3">
        <w:rPr>
          <w:bCs/>
          <w:szCs w:val="22"/>
        </w:rPr>
        <w:t>Chalikov</w:t>
      </w:r>
      <w:proofErr w:type="spellEnd"/>
      <w:r w:rsidRPr="000B48F3">
        <w:rPr>
          <w:bCs/>
          <w:szCs w:val="22"/>
        </w:rPr>
        <w:t xml:space="preserve"> (1996), Source terms in a third-generation wind wave model, J. Phys. </w:t>
      </w:r>
      <w:proofErr w:type="spellStart"/>
      <w:r w:rsidRPr="000B48F3">
        <w:rPr>
          <w:bCs/>
          <w:szCs w:val="22"/>
        </w:rPr>
        <w:t>Oceanogr</w:t>
      </w:r>
      <w:proofErr w:type="spellEnd"/>
      <w:r w:rsidRPr="000B48F3">
        <w:rPr>
          <w:bCs/>
          <w:szCs w:val="22"/>
        </w:rPr>
        <w:t>., 26, 2497–2518</w:t>
      </w:r>
      <w:r w:rsidR="000B48F3" w:rsidRPr="000B48F3">
        <w:rPr>
          <w:bCs/>
          <w:szCs w:val="22"/>
        </w:rPr>
        <w:t>, doi:10.1175/1520-0485(1996)026&lt;</w:t>
      </w:r>
      <w:proofErr w:type="gramStart"/>
      <w:r w:rsidR="000B48F3" w:rsidRPr="000B48F3">
        <w:rPr>
          <w:bCs/>
          <w:szCs w:val="22"/>
        </w:rPr>
        <w:t>2497:STIATG</w:t>
      </w:r>
      <w:proofErr w:type="gramEnd"/>
      <w:r w:rsidR="000B48F3" w:rsidRPr="000B48F3">
        <w:rPr>
          <w:bCs/>
          <w:szCs w:val="22"/>
        </w:rPr>
        <w:t>&gt;2.0.CO;2</w:t>
      </w:r>
    </w:p>
    <w:p w14:paraId="38E109D9" w14:textId="77777777" w:rsidR="00151E4E" w:rsidRDefault="00151E4E" w:rsidP="00067EF1">
      <w:pPr>
        <w:ind w:left="284" w:hanging="284"/>
        <w:jc w:val="both"/>
        <w:rPr>
          <w:bCs/>
          <w:szCs w:val="22"/>
        </w:rPr>
      </w:pPr>
      <w:proofErr w:type="spellStart"/>
      <w:r w:rsidRPr="000B48F3">
        <w:rPr>
          <w:bCs/>
          <w:szCs w:val="22"/>
        </w:rPr>
        <w:t>Tolman</w:t>
      </w:r>
      <w:proofErr w:type="spellEnd"/>
      <w:r w:rsidRPr="000B48F3">
        <w:rPr>
          <w:bCs/>
          <w:szCs w:val="22"/>
        </w:rPr>
        <w:t>, H. L., 2014. User manual and system documentation of WAVEWATCH III version 4.18. NOAA/NWS/NCEP/MMAB Technical Note 316, 194pp</w:t>
      </w:r>
      <w:r>
        <w:rPr>
          <w:bCs/>
          <w:szCs w:val="22"/>
        </w:rPr>
        <w:t xml:space="preserve">, available at: </w:t>
      </w:r>
      <w:hyperlink r:id="rId14" w:history="1">
        <w:r w:rsidRPr="002439A7">
          <w:rPr>
            <w:rStyle w:val="Hyperlink"/>
            <w:bCs/>
            <w:szCs w:val="22"/>
          </w:rPr>
          <w:t>http://polar.ncep.noaa.gov/waves/wavewatch/</w:t>
        </w:r>
      </w:hyperlink>
      <w:r>
        <w:rPr>
          <w:bCs/>
          <w:szCs w:val="22"/>
        </w:rPr>
        <w:t xml:space="preserve"> </w:t>
      </w:r>
    </w:p>
    <w:p w14:paraId="2C439D27" w14:textId="77777777" w:rsidR="004D57F4" w:rsidRDefault="004D57F4" w:rsidP="00067EF1">
      <w:pPr>
        <w:ind w:left="284" w:hanging="284"/>
        <w:jc w:val="both"/>
        <w:rPr>
          <w:bCs/>
          <w:szCs w:val="22"/>
        </w:rPr>
      </w:pPr>
      <w:proofErr w:type="spellStart"/>
      <w:r w:rsidRPr="004D57F4">
        <w:rPr>
          <w:bCs/>
          <w:szCs w:val="22"/>
        </w:rPr>
        <w:t>Wanninkhof</w:t>
      </w:r>
      <w:proofErr w:type="spellEnd"/>
      <w:r w:rsidRPr="004D57F4">
        <w:rPr>
          <w:bCs/>
          <w:szCs w:val="22"/>
        </w:rPr>
        <w:t xml:space="preserve">, R., W. E. Asher, D. T. </w:t>
      </w:r>
      <w:proofErr w:type="spellStart"/>
      <w:r w:rsidRPr="004D57F4">
        <w:rPr>
          <w:bCs/>
          <w:szCs w:val="22"/>
        </w:rPr>
        <w:t>Ho</w:t>
      </w:r>
      <w:proofErr w:type="spellEnd"/>
      <w:r w:rsidRPr="004D57F4">
        <w:rPr>
          <w:bCs/>
          <w:szCs w:val="22"/>
        </w:rPr>
        <w:t xml:space="preserve">, C. Sweeney, W. R. </w:t>
      </w:r>
      <w:proofErr w:type="spellStart"/>
      <w:r w:rsidRPr="004D57F4">
        <w:rPr>
          <w:bCs/>
          <w:szCs w:val="22"/>
        </w:rPr>
        <w:t>McGillis</w:t>
      </w:r>
      <w:proofErr w:type="spellEnd"/>
      <w:r w:rsidRPr="004D57F4">
        <w:rPr>
          <w:bCs/>
          <w:szCs w:val="22"/>
        </w:rPr>
        <w:t xml:space="preserve">, 2009: Advances in quantifying air-sea gas exchange and environmental forcing. </w:t>
      </w:r>
      <w:proofErr w:type="spellStart"/>
      <w:r w:rsidRPr="004D57F4">
        <w:rPr>
          <w:bCs/>
          <w:i/>
          <w:szCs w:val="22"/>
        </w:rPr>
        <w:t>Annu</w:t>
      </w:r>
      <w:proofErr w:type="spellEnd"/>
      <w:r w:rsidRPr="004D57F4">
        <w:rPr>
          <w:bCs/>
          <w:i/>
          <w:szCs w:val="22"/>
        </w:rPr>
        <w:t>. Rev. Mar. Sci.</w:t>
      </w:r>
      <w:r w:rsidRPr="004D57F4">
        <w:rPr>
          <w:bCs/>
          <w:szCs w:val="22"/>
        </w:rPr>
        <w:t xml:space="preserve">, </w:t>
      </w:r>
      <w:r w:rsidRPr="004D57F4">
        <w:rPr>
          <w:b/>
          <w:bCs/>
          <w:szCs w:val="22"/>
        </w:rPr>
        <w:t>1</w:t>
      </w:r>
      <w:r w:rsidRPr="004D57F4">
        <w:rPr>
          <w:bCs/>
          <w:szCs w:val="22"/>
        </w:rPr>
        <w:t>, 213-244.</w:t>
      </w:r>
    </w:p>
    <w:p w14:paraId="38F0BA69" w14:textId="77777777" w:rsidR="00D766E7" w:rsidRDefault="00D766E7" w:rsidP="00067EF1">
      <w:pPr>
        <w:ind w:left="284" w:hanging="284"/>
        <w:jc w:val="both"/>
        <w:rPr>
          <w:bCs/>
          <w:szCs w:val="22"/>
        </w:rPr>
      </w:pPr>
      <w:r w:rsidRPr="00D766E7">
        <w:rPr>
          <w:bCs/>
          <w:szCs w:val="22"/>
        </w:rPr>
        <w:t xml:space="preserve">Woolf, D. K. 2005. Parametrization of gas transfer velocities and sea-state-dependent wave breaking. </w:t>
      </w:r>
      <w:proofErr w:type="spellStart"/>
      <w:r w:rsidRPr="00D766E7">
        <w:rPr>
          <w:bCs/>
          <w:i/>
          <w:szCs w:val="22"/>
        </w:rPr>
        <w:t>Tellus</w:t>
      </w:r>
      <w:proofErr w:type="spellEnd"/>
      <w:r w:rsidRPr="00D766E7">
        <w:rPr>
          <w:bCs/>
          <w:szCs w:val="22"/>
        </w:rPr>
        <w:t>, 57B, 87-94.</w:t>
      </w:r>
    </w:p>
    <w:p w14:paraId="062C0E70" w14:textId="77777777" w:rsidR="0088636F" w:rsidRPr="00720D1F" w:rsidRDefault="0088636F" w:rsidP="0088636F">
      <w:pPr>
        <w:ind w:left="284" w:hanging="284"/>
        <w:jc w:val="both"/>
        <w:rPr>
          <w:szCs w:val="22"/>
        </w:rPr>
      </w:pPr>
      <w:r w:rsidRPr="0088636F">
        <w:rPr>
          <w:szCs w:val="22"/>
        </w:rPr>
        <w:t xml:space="preserve">Yang, M., B. W. </w:t>
      </w:r>
      <w:proofErr w:type="spellStart"/>
      <w:r w:rsidRPr="0088636F">
        <w:rPr>
          <w:szCs w:val="22"/>
        </w:rPr>
        <w:t>Blomquist</w:t>
      </w:r>
      <w:proofErr w:type="spellEnd"/>
      <w:r w:rsidRPr="0088636F">
        <w:rPr>
          <w:szCs w:val="22"/>
        </w:rPr>
        <w:t>, and P. D.</w:t>
      </w:r>
      <w:r>
        <w:rPr>
          <w:szCs w:val="22"/>
        </w:rPr>
        <w:t xml:space="preserve"> </w:t>
      </w:r>
      <w:r w:rsidRPr="0088636F">
        <w:rPr>
          <w:szCs w:val="22"/>
        </w:rPr>
        <w:t>Nightingale (2014), Air-sea exchange</w:t>
      </w:r>
      <w:r>
        <w:rPr>
          <w:szCs w:val="22"/>
        </w:rPr>
        <w:t xml:space="preserve"> </w:t>
      </w:r>
      <w:r w:rsidRPr="0088636F">
        <w:rPr>
          <w:szCs w:val="22"/>
        </w:rPr>
        <w:t>of methanol and acetone during</w:t>
      </w:r>
      <w:r>
        <w:rPr>
          <w:szCs w:val="22"/>
        </w:rPr>
        <w:t xml:space="preserve"> </w:t>
      </w:r>
      <w:proofErr w:type="spellStart"/>
      <w:r w:rsidRPr="0088636F">
        <w:rPr>
          <w:szCs w:val="22"/>
        </w:rPr>
        <w:t>HiWinGS</w:t>
      </w:r>
      <w:proofErr w:type="spellEnd"/>
      <w:r w:rsidRPr="0088636F">
        <w:rPr>
          <w:szCs w:val="22"/>
        </w:rPr>
        <w:t>: Estimation of air phase,</w:t>
      </w:r>
      <w:r>
        <w:rPr>
          <w:szCs w:val="22"/>
        </w:rPr>
        <w:t xml:space="preserve"> </w:t>
      </w:r>
      <w:r w:rsidRPr="0088636F">
        <w:rPr>
          <w:szCs w:val="22"/>
        </w:rPr>
        <w:t>water phase gas transfer velocities,</w:t>
      </w:r>
      <w:r>
        <w:rPr>
          <w:szCs w:val="22"/>
        </w:rPr>
        <w:t xml:space="preserve"> </w:t>
      </w:r>
      <w:r w:rsidRPr="0088636F">
        <w:rPr>
          <w:i/>
          <w:szCs w:val="22"/>
        </w:rPr>
        <w:t xml:space="preserve">J. </w:t>
      </w:r>
      <w:proofErr w:type="spellStart"/>
      <w:r w:rsidRPr="0088636F">
        <w:rPr>
          <w:i/>
          <w:szCs w:val="22"/>
        </w:rPr>
        <w:t>Geophys</w:t>
      </w:r>
      <w:proofErr w:type="spellEnd"/>
      <w:r w:rsidRPr="0088636F">
        <w:rPr>
          <w:i/>
          <w:szCs w:val="22"/>
        </w:rPr>
        <w:t>. Res. Oceans</w:t>
      </w:r>
      <w:r w:rsidRPr="0088636F">
        <w:rPr>
          <w:szCs w:val="22"/>
        </w:rPr>
        <w:t>, 119,</w:t>
      </w:r>
      <w:r>
        <w:rPr>
          <w:szCs w:val="22"/>
        </w:rPr>
        <w:t xml:space="preserve"> </w:t>
      </w:r>
      <w:r w:rsidRPr="0088636F">
        <w:rPr>
          <w:szCs w:val="22"/>
        </w:rPr>
        <w:t>doi:10.1002/2014JC010227.</w:t>
      </w:r>
    </w:p>
    <w:p w14:paraId="63328C51" w14:textId="77777777" w:rsidR="008C1872" w:rsidRDefault="008C1872" w:rsidP="00067EF1">
      <w:pPr>
        <w:widowControl/>
        <w:suppressAutoHyphens w:val="0"/>
        <w:overflowPunct/>
        <w:ind w:left="284" w:hanging="284"/>
        <w:jc w:val="both"/>
        <w:textAlignment w:val="auto"/>
        <w:rPr>
          <w:rFonts w:eastAsiaTheme="minorHAnsi" w:cs="AdvTT182ff89e"/>
          <w:kern w:val="0"/>
          <w:szCs w:val="22"/>
        </w:rPr>
      </w:pPr>
      <w:r w:rsidRPr="00720D1F">
        <w:rPr>
          <w:rFonts w:eastAsiaTheme="minorHAnsi" w:cs="AdvTT182ff89e"/>
          <w:kern w:val="0"/>
          <w:szCs w:val="22"/>
        </w:rPr>
        <w:t xml:space="preserve">Zappa, C. J., M. L. Banner, H. Schultz, J. R. </w:t>
      </w:r>
      <w:proofErr w:type="spellStart"/>
      <w:r w:rsidRPr="00720D1F">
        <w:rPr>
          <w:rFonts w:eastAsiaTheme="minorHAnsi" w:cs="AdvTT182ff89e"/>
          <w:kern w:val="0"/>
          <w:szCs w:val="22"/>
        </w:rPr>
        <w:t>Gemmrich</w:t>
      </w:r>
      <w:proofErr w:type="spellEnd"/>
      <w:r w:rsidRPr="00720D1F">
        <w:rPr>
          <w:rFonts w:eastAsiaTheme="minorHAnsi" w:cs="AdvTT182ff89e"/>
          <w:kern w:val="0"/>
          <w:szCs w:val="22"/>
        </w:rPr>
        <w:t xml:space="preserve">, R. P. Morison, D. A. </w:t>
      </w:r>
      <w:proofErr w:type="spellStart"/>
      <w:r w:rsidRPr="00720D1F">
        <w:rPr>
          <w:rFonts w:eastAsiaTheme="minorHAnsi" w:cs="AdvTT182ff89e"/>
          <w:kern w:val="0"/>
          <w:szCs w:val="22"/>
        </w:rPr>
        <w:t>LeBel</w:t>
      </w:r>
      <w:proofErr w:type="spellEnd"/>
      <w:r w:rsidRPr="00720D1F">
        <w:rPr>
          <w:rFonts w:eastAsiaTheme="minorHAnsi" w:cs="AdvTT182ff89e"/>
          <w:kern w:val="0"/>
          <w:szCs w:val="22"/>
        </w:rPr>
        <w:t xml:space="preserve">, and T. Dickey (2012), An overview of sea state conditions and air-sea fluxes during </w:t>
      </w:r>
      <w:proofErr w:type="spellStart"/>
      <w:r w:rsidRPr="00720D1F">
        <w:rPr>
          <w:rFonts w:eastAsiaTheme="minorHAnsi" w:cs="AdvTT182ff89e"/>
          <w:kern w:val="0"/>
          <w:szCs w:val="22"/>
        </w:rPr>
        <w:t>RaDyO</w:t>
      </w:r>
      <w:proofErr w:type="spellEnd"/>
      <w:r w:rsidRPr="00720D1F">
        <w:rPr>
          <w:rFonts w:eastAsiaTheme="minorHAnsi" w:cs="AdvTT182ff89e"/>
          <w:kern w:val="0"/>
          <w:szCs w:val="22"/>
        </w:rPr>
        <w:t xml:space="preserve">, </w:t>
      </w:r>
      <w:r w:rsidRPr="00720D1F">
        <w:rPr>
          <w:rFonts w:eastAsiaTheme="minorHAnsi" w:cs="AdvTT73b978ed.I"/>
          <w:i/>
          <w:kern w:val="0"/>
          <w:szCs w:val="22"/>
        </w:rPr>
        <w:t xml:space="preserve">J. </w:t>
      </w:r>
      <w:proofErr w:type="spellStart"/>
      <w:r w:rsidRPr="00720D1F">
        <w:rPr>
          <w:rFonts w:eastAsiaTheme="minorHAnsi" w:cs="AdvTT73b978ed.I"/>
          <w:i/>
          <w:kern w:val="0"/>
          <w:szCs w:val="22"/>
        </w:rPr>
        <w:t>Geophys</w:t>
      </w:r>
      <w:proofErr w:type="spellEnd"/>
      <w:r w:rsidRPr="00720D1F">
        <w:rPr>
          <w:rFonts w:eastAsiaTheme="minorHAnsi" w:cs="AdvTT73b978ed.I"/>
          <w:i/>
          <w:kern w:val="0"/>
          <w:szCs w:val="22"/>
        </w:rPr>
        <w:t>. Res.</w:t>
      </w:r>
      <w:r w:rsidRPr="00720D1F">
        <w:rPr>
          <w:rFonts w:eastAsiaTheme="minorHAnsi" w:cs="AdvTT182ff89e"/>
          <w:kern w:val="0"/>
          <w:szCs w:val="22"/>
        </w:rPr>
        <w:t xml:space="preserve">, </w:t>
      </w:r>
      <w:r w:rsidRPr="00720D1F">
        <w:rPr>
          <w:rFonts w:eastAsiaTheme="minorHAnsi" w:cs="AdvTT73b978ed.I"/>
          <w:kern w:val="0"/>
          <w:szCs w:val="22"/>
        </w:rPr>
        <w:t>117</w:t>
      </w:r>
      <w:r w:rsidRPr="00720D1F">
        <w:rPr>
          <w:rFonts w:eastAsiaTheme="minorHAnsi" w:cs="AdvTT182ff89e"/>
          <w:kern w:val="0"/>
          <w:szCs w:val="22"/>
        </w:rPr>
        <w:t>, C00H19, doi:10.1029/2011JC007336.</w:t>
      </w:r>
    </w:p>
    <w:p w14:paraId="253DF105" w14:textId="77777777" w:rsidR="00DE5FFF" w:rsidRPr="00DE5FFF" w:rsidRDefault="00DE5FFF" w:rsidP="00DE5FFF">
      <w:pPr>
        <w:widowControl/>
        <w:suppressAutoHyphens w:val="0"/>
        <w:overflowPunct/>
        <w:ind w:left="284" w:hanging="284"/>
        <w:jc w:val="both"/>
        <w:textAlignment w:val="auto"/>
        <w:rPr>
          <w:rFonts w:eastAsiaTheme="minorHAnsi" w:cs="AdvTT182ff89e"/>
          <w:kern w:val="0"/>
          <w:szCs w:val="22"/>
        </w:rPr>
      </w:pPr>
      <w:r w:rsidRPr="00DE5FFF">
        <w:rPr>
          <w:rFonts w:eastAsiaTheme="minorHAnsi" w:cs="AdvTT182ff89e"/>
          <w:kern w:val="0"/>
          <w:szCs w:val="22"/>
        </w:rPr>
        <w:t xml:space="preserve">Zhao, D., and Toba, Y.: Dependence of whitecap coverage on wind and wind-wave properties, J. </w:t>
      </w:r>
      <w:proofErr w:type="spellStart"/>
      <w:r w:rsidRPr="00DE5FFF">
        <w:rPr>
          <w:rFonts w:eastAsiaTheme="minorHAnsi" w:cs="AdvTT182ff89e"/>
          <w:kern w:val="0"/>
          <w:szCs w:val="22"/>
        </w:rPr>
        <w:t>Oceanogr</w:t>
      </w:r>
      <w:proofErr w:type="spellEnd"/>
      <w:r w:rsidRPr="00DE5FFF">
        <w:rPr>
          <w:rFonts w:eastAsiaTheme="minorHAnsi" w:cs="AdvTT182ff89e"/>
          <w:kern w:val="0"/>
          <w:szCs w:val="22"/>
        </w:rPr>
        <w:t xml:space="preserve">., 57, 603–616, </w:t>
      </w:r>
      <w:proofErr w:type="spellStart"/>
      <w:r w:rsidRPr="00DE5FFF">
        <w:rPr>
          <w:rFonts w:eastAsiaTheme="minorHAnsi" w:cs="AdvTT182ff89e"/>
          <w:kern w:val="0"/>
          <w:szCs w:val="22"/>
        </w:rPr>
        <w:t>doi</w:t>
      </w:r>
      <w:proofErr w:type="spellEnd"/>
      <w:r w:rsidRPr="00DE5FFF">
        <w:rPr>
          <w:rFonts w:eastAsiaTheme="minorHAnsi" w:cs="AdvTT182ff89e"/>
          <w:kern w:val="0"/>
          <w:szCs w:val="22"/>
        </w:rPr>
        <w:t>: 10.1023/A:1021215904955, 2001.</w:t>
      </w:r>
    </w:p>
    <w:p w14:paraId="54540E61" w14:textId="77777777" w:rsidR="00DE5FFF" w:rsidRDefault="00DE5FFF" w:rsidP="00067EF1">
      <w:pPr>
        <w:widowControl/>
        <w:suppressAutoHyphens w:val="0"/>
        <w:overflowPunct/>
        <w:ind w:left="284" w:hanging="284"/>
        <w:jc w:val="both"/>
        <w:textAlignment w:val="auto"/>
        <w:rPr>
          <w:rFonts w:eastAsiaTheme="minorHAnsi" w:cs="AdvTT182ff89e"/>
          <w:kern w:val="0"/>
          <w:szCs w:val="22"/>
        </w:rPr>
      </w:pPr>
    </w:p>
    <w:p w14:paraId="37B8769B" w14:textId="77777777" w:rsidR="00C543EE" w:rsidRPr="00720D1F" w:rsidRDefault="00C543EE" w:rsidP="00067EF1">
      <w:pPr>
        <w:widowControl/>
        <w:suppressAutoHyphens w:val="0"/>
        <w:overflowPunct/>
        <w:ind w:left="284" w:hanging="284"/>
        <w:jc w:val="both"/>
        <w:textAlignment w:val="auto"/>
        <w:rPr>
          <w:szCs w:val="22"/>
        </w:rPr>
      </w:pPr>
    </w:p>
    <w:p w14:paraId="3AAAEA35" w14:textId="77777777" w:rsidR="00DF76E8" w:rsidRDefault="00DF76E8">
      <w:pPr>
        <w:widowControl/>
        <w:suppressAutoHyphens w:val="0"/>
        <w:overflowPunct/>
        <w:autoSpaceDE/>
        <w:autoSpaceDN/>
        <w:adjustRightInd/>
        <w:textAlignment w:val="auto"/>
        <w:rPr>
          <w:szCs w:val="22"/>
        </w:rPr>
        <w:sectPr w:rsidR="00DF76E8" w:rsidSect="007F39D8">
          <w:type w:val="continuous"/>
          <w:pgSz w:w="12240" w:h="15840" w:code="1"/>
          <w:pgMar w:top="1440" w:right="1440" w:bottom="1440" w:left="1440" w:header="708" w:footer="708" w:gutter="0"/>
          <w:lnNumType w:countBy="1" w:restart="continuous"/>
          <w:cols w:space="708"/>
          <w:docGrid w:linePitch="360"/>
        </w:sectPr>
      </w:pPr>
    </w:p>
    <w:p w14:paraId="49E7BB2F" w14:textId="77777777" w:rsidR="00DF76E8" w:rsidRPr="00DF76E8" w:rsidRDefault="00DF76E8">
      <w:pPr>
        <w:widowControl/>
        <w:suppressAutoHyphens w:val="0"/>
        <w:overflowPunct/>
        <w:autoSpaceDE/>
        <w:autoSpaceDN/>
        <w:adjustRightInd/>
        <w:textAlignment w:val="auto"/>
        <w:rPr>
          <w:szCs w:val="22"/>
        </w:rPr>
      </w:pPr>
    </w:p>
    <w:p w14:paraId="5A04E24C" w14:textId="77777777" w:rsidR="00C543EE" w:rsidRDefault="00C543EE" w:rsidP="00067EF1">
      <w:pPr>
        <w:widowControl/>
        <w:suppressAutoHyphens w:val="0"/>
        <w:overflowPunct/>
        <w:autoSpaceDE/>
        <w:autoSpaceDN/>
        <w:adjustRightInd/>
        <w:jc w:val="both"/>
        <w:textAlignment w:val="auto"/>
        <w:rPr>
          <w:szCs w:val="22"/>
        </w:rPr>
      </w:pPr>
      <w:r w:rsidRPr="00C543EE">
        <w:rPr>
          <w:b/>
          <w:szCs w:val="22"/>
        </w:rPr>
        <w:t>Table 1</w:t>
      </w:r>
      <w:r>
        <w:rPr>
          <w:szCs w:val="22"/>
        </w:rPr>
        <w:t xml:space="preserve">. </w:t>
      </w:r>
      <w:proofErr w:type="spellStart"/>
      <w:r w:rsidR="00B62822">
        <w:rPr>
          <w:szCs w:val="22"/>
        </w:rPr>
        <w:t>Waverider</w:t>
      </w:r>
      <w:proofErr w:type="spellEnd"/>
      <w:r w:rsidR="00B62822">
        <w:rPr>
          <w:szCs w:val="22"/>
        </w:rPr>
        <w:t xml:space="preserve"> b</w:t>
      </w:r>
      <w:r>
        <w:rPr>
          <w:szCs w:val="22"/>
        </w:rPr>
        <w:t>uoy deploym</w:t>
      </w:r>
      <w:r w:rsidR="006571F3">
        <w:rPr>
          <w:szCs w:val="22"/>
        </w:rPr>
        <w:t xml:space="preserve">ent stations with nominal start and end times, location, and mean </w:t>
      </w:r>
      <w:r w:rsidR="00D66C78">
        <w:rPr>
          <w:szCs w:val="22"/>
        </w:rPr>
        <w:t>conditions. All times are UTC.</w:t>
      </w:r>
    </w:p>
    <w:p w14:paraId="086A70DA" w14:textId="77777777" w:rsidR="00C543EE" w:rsidRDefault="00C543EE" w:rsidP="00067EF1">
      <w:pPr>
        <w:widowControl/>
        <w:suppressAutoHyphens w:val="0"/>
        <w:overflowPunct/>
        <w:autoSpaceDE/>
        <w:autoSpaceDN/>
        <w:adjustRightInd/>
        <w:jc w:val="both"/>
        <w:textAlignment w:val="auto"/>
        <w:rPr>
          <w:szCs w:val="22"/>
        </w:rPr>
      </w:pPr>
    </w:p>
    <w:p w14:paraId="76781C9B" w14:textId="77777777" w:rsidR="00F47BF3" w:rsidRPr="00C744DA" w:rsidRDefault="00C744DA" w:rsidP="00067EF1">
      <w:pPr>
        <w:widowControl/>
        <w:suppressAutoHyphens w:val="0"/>
        <w:overflowPunct/>
        <w:autoSpaceDE/>
        <w:autoSpaceDN/>
        <w:adjustRightInd/>
        <w:jc w:val="both"/>
        <w:textAlignment w:val="auto"/>
        <w:rPr>
          <w:i/>
          <w:szCs w:val="22"/>
        </w:rPr>
      </w:pPr>
      <w:r w:rsidRPr="00C744DA">
        <w:rPr>
          <w:i/>
          <w:szCs w:val="22"/>
        </w:rPr>
        <w:t xml:space="preserve">What other </w:t>
      </w:r>
      <w:proofErr w:type="gramStart"/>
      <w:r w:rsidRPr="00C744DA">
        <w:rPr>
          <w:i/>
          <w:szCs w:val="22"/>
        </w:rPr>
        <w:t>details?...</w:t>
      </w:r>
      <w:proofErr w:type="gramEnd"/>
      <w:r w:rsidRPr="00C744DA">
        <w:rPr>
          <w:i/>
          <w:szCs w:val="22"/>
        </w:rPr>
        <w:t xml:space="preserve">U10 range, </w:t>
      </w:r>
      <w:r w:rsidR="00F47BF3" w:rsidRPr="00C744DA">
        <w:rPr>
          <w:i/>
          <w:szCs w:val="22"/>
        </w:rPr>
        <w:t xml:space="preserve">Hs range, </w:t>
      </w:r>
      <w:proofErr w:type="spellStart"/>
      <w:r w:rsidR="00F47BF3" w:rsidRPr="00C744DA">
        <w:rPr>
          <w:i/>
          <w:szCs w:val="22"/>
        </w:rPr>
        <w:t>Tp</w:t>
      </w:r>
      <w:proofErr w:type="spellEnd"/>
      <w:r w:rsidR="00F47BF3" w:rsidRPr="00C744DA">
        <w:rPr>
          <w:i/>
          <w:szCs w:val="22"/>
        </w:rPr>
        <w:t xml:space="preserve"> range </w:t>
      </w:r>
      <w:r w:rsidRPr="00C744DA">
        <w:rPr>
          <w:i/>
          <w:szCs w:val="22"/>
        </w:rPr>
        <w:t xml:space="preserve"> ?...do they help any. U &amp; Hs time series in Fig 2.</w:t>
      </w:r>
    </w:p>
    <w:tbl>
      <w:tblPr>
        <w:tblStyle w:val="TableGrid"/>
        <w:tblW w:w="14142" w:type="dxa"/>
        <w:tblLayout w:type="fixed"/>
        <w:tblLook w:val="04A0" w:firstRow="1" w:lastRow="0" w:firstColumn="1" w:lastColumn="0" w:noHBand="0" w:noVBand="1"/>
      </w:tblPr>
      <w:tblGrid>
        <w:gridCol w:w="959"/>
        <w:gridCol w:w="2126"/>
        <w:gridCol w:w="2126"/>
        <w:gridCol w:w="2127"/>
        <w:gridCol w:w="1134"/>
        <w:gridCol w:w="1134"/>
        <w:gridCol w:w="1275"/>
        <w:gridCol w:w="851"/>
        <w:gridCol w:w="2410"/>
      </w:tblGrid>
      <w:tr w:rsidR="005D6037" w14:paraId="6B197142" w14:textId="77777777" w:rsidTr="005D6037">
        <w:tc>
          <w:tcPr>
            <w:tcW w:w="959" w:type="dxa"/>
          </w:tcPr>
          <w:p w14:paraId="78EE5619" w14:textId="77777777" w:rsidR="005D6037" w:rsidRPr="00DF76E8" w:rsidRDefault="005D6037" w:rsidP="006571F3">
            <w:pPr>
              <w:widowControl/>
              <w:suppressAutoHyphens w:val="0"/>
              <w:overflowPunct/>
              <w:autoSpaceDE/>
              <w:autoSpaceDN/>
              <w:adjustRightInd/>
              <w:jc w:val="center"/>
              <w:textAlignment w:val="auto"/>
              <w:rPr>
                <w:b/>
                <w:szCs w:val="22"/>
              </w:rPr>
            </w:pPr>
            <w:r w:rsidRPr="00DF76E8">
              <w:rPr>
                <w:b/>
                <w:szCs w:val="22"/>
              </w:rPr>
              <w:t>Station</w:t>
            </w:r>
          </w:p>
        </w:tc>
        <w:tc>
          <w:tcPr>
            <w:tcW w:w="2126" w:type="dxa"/>
          </w:tcPr>
          <w:p w14:paraId="6A69FD95" w14:textId="77777777" w:rsidR="005D6037" w:rsidRPr="00DF76E8" w:rsidRDefault="005D6037" w:rsidP="006571F3">
            <w:pPr>
              <w:widowControl/>
              <w:suppressAutoHyphens w:val="0"/>
              <w:overflowPunct/>
              <w:autoSpaceDE/>
              <w:autoSpaceDN/>
              <w:adjustRightInd/>
              <w:jc w:val="center"/>
              <w:textAlignment w:val="auto"/>
              <w:rPr>
                <w:b/>
                <w:szCs w:val="22"/>
              </w:rPr>
            </w:pPr>
            <w:r w:rsidRPr="00DF76E8">
              <w:rPr>
                <w:b/>
                <w:szCs w:val="22"/>
              </w:rPr>
              <w:t>Start time</w:t>
            </w:r>
          </w:p>
        </w:tc>
        <w:tc>
          <w:tcPr>
            <w:tcW w:w="2126" w:type="dxa"/>
          </w:tcPr>
          <w:p w14:paraId="7F322ABF" w14:textId="77777777" w:rsidR="005D6037" w:rsidRPr="00DF76E8" w:rsidRDefault="005D6037" w:rsidP="006571F3">
            <w:pPr>
              <w:widowControl/>
              <w:suppressAutoHyphens w:val="0"/>
              <w:overflowPunct/>
              <w:autoSpaceDE/>
              <w:autoSpaceDN/>
              <w:adjustRightInd/>
              <w:jc w:val="center"/>
              <w:textAlignment w:val="auto"/>
              <w:rPr>
                <w:b/>
                <w:szCs w:val="22"/>
              </w:rPr>
            </w:pPr>
            <w:r w:rsidRPr="00DF76E8">
              <w:rPr>
                <w:b/>
                <w:szCs w:val="22"/>
              </w:rPr>
              <w:t>End time</w:t>
            </w:r>
          </w:p>
        </w:tc>
        <w:tc>
          <w:tcPr>
            <w:tcW w:w="2127" w:type="dxa"/>
          </w:tcPr>
          <w:p w14:paraId="429ED7A0" w14:textId="77777777" w:rsidR="005D6037" w:rsidRPr="00DF76E8" w:rsidRDefault="005D6037" w:rsidP="006571F3">
            <w:pPr>
              <w:widowControl/>
              <w:suppressAutoHyphens w:val="0"/>
              <w:overflowPunct/>
              <w:autoSpaceDE/>
              <w:autoSpaceDN/>
              <w:adjustRightInd/>
              <w:jc w:val="center"/>
              <w:textAlignment w:val="auto"/>
              <w:rPr>
                <w:b/>
                <w:szCs w:val="22"/>
              </w:rPr>
            </w:pPr>
            <w:proofErr w:type="spellStart"/>
            <w:r>
              <w:rPr>
                <w:b/>
                <w:szCs w:val="22"/>
              </w:rPr>
              <w:t>DoY</w:t>
            </w:r>
            <w:proofErr w:type="spellEnd"/>
          </w:p>
        </w:tc>
        <w:tc>
          <w:tcPr>
            <w:tcW w:w="1134" w:type="dxa"/>
          </w:tcPr>
          <w:p w14:paraId="62C2E0E0" w14:textId="77777777" w:rsidR="005D6037" w:rsidRPr="00DF76E8" w:rsidRDefault="005D6037" w:rsidP="000052A3">
            <w:pPr>
              <w:widowControl/>
              <w:suppressAutoHyphens w:val="0"/>
              <w:overflowPunct/>
              <w:autoSpaceDE/>
              <w:autoSpaceDN/>
              <w:adjustRightInd/>
              <w:jc w:val="center"/>
              <w:textAlignment w:val="auto"/>
              <w:rPr>
                <w:b/>
                <w:szCs w:val="22"/>
              </w:rPr>
            </w:pPr>
            <w:proofErr w:type="spellStart"/>
            <w:r w:rsidRPr="00DF76E8">
              <w:rPr>
                <w:b/>
                <w:szCs w:val="22"/>
              </w:rPr>
              <w:t>Lat</w:t>
            </w:r>
            <w:proofErr w:type="spellEnd"/>
          </w:p>
        </w:tc>
        <w:tc>
          <w:tcPr>
            <w:tcW w:w="1134" w:type="dxa"/>
          </w:tcPr>
          <w:p w14:paraId="6939E3B7" w14:textId="77777777" w:rsidR="005D6037" w:rsidRPr="00DF76E8" w:rsidRDefault="005D6037" w:rsidP="000052A3">
            <w:pPr>
              <w:widowControl/>
              <w:suppressAutoHyphens w:val="0"/>
              <w:overflowPunct/>
              <w:autoSpaceDE/>
              <w:autoSpaceDN/>
              <w:adjustRightInd/>
              <w:jc w:val="center"/>
              <w:textAlignment w:val="auto"/>
              <w:rPr>
                <w:b/>
                <w:szCs w:val="22"/>
              </w:rPr>
            </w:pPr>
            <w:r>
              <w:rPr>
                <w:b/>
                <w:szCs w:val="22"/>
              </w:rPr>
              <w:t>L</w:t>
            </w:r>
            <w:r w:rsidRPr="00DF76E8">
              <w:rPr>
                <w:b/>
                <w:szCs w:val="22"/>
              </w:rPr>
              <w:t>on</w:t>
            </w:r>
          </w:p>
        </w:tc>
        <w:tc>
          <w:tcPr>
            <w:tcW w:w="1275" w:type="dxa"/>
          </w:tcPr>
          <w:p w14:paraId="6CE1C45C" w14:textId="77777777" w:rsidR="005D6037" w:rsidRPr="00DF76E8" w:rsidRDefault="005D6037" w:rsidP="006571F3">
            <w:pPr>
              <w:widowControl/>
              <w:suppressAutoHyphens w:val="0"/>
              <w:overflowPunct/>
              <w:autoSpaceDE/>
              <w:autoSpaceDN/>
              <w:adjustRightInd/>
              <w:jc w:val="center"/>
              <w:textAlignment w:val="auto"/>
              <w:rPr>
                <w:b/>
                <w:szCs w:val="22"/>
              </w:rPr>
            </w:pPr>
          </w:p>
        </w:tc>
        <w:tc>
          <w:tcPr>
            <w:tcW w:w="851" w:type="dxa"/>
          </w:tcPr>
          <w:p w14:paraId="2C36F84E" w14:textId="77777777" w:rsidR="005D6037" w:rsidRPr="00DF76E8" w:rsidRDefault="005D6037" w:rsidP="006571F3">
            <w:pPr>
              <w:widowControl/>
              <w:suppressAutoHyphens w:val="0"/>
              <w:overflowPunct/>
              <w:autoSpaceDE/>
              <w:autoSpaceDN/>
              <w:adjustRightInd/>
              <w:jc w:val="center"/>
              <w:textAlignment w:val="auto"/>
              <w:rPr>
                <w:b/>
                <w:szCs w:val="22"/>
              </w:rPr>
            </w:pPr>
          </w:p>
        </w:tc>
        <w:tc>
          <w:tcPr>
            <w:tcW w:w="2410" w:type="dxa"/>
          </w:tcPr>
          <w:p w14:paraId="53E09DFA" w14:textId="77777777" w:rsidR="005D6037" w:rsidRPr="00DF76E8" w:rsidRDefault="005D6037" w:rsidP="006571F3">
            <w:pPr>
              <w:widowControl/>
              <w:suppressAutoHyphens w:val="0"/>
              <w:overflowPunct/>
              <w:autoSpaceDE/>
              <w:autoSpaceDN/>
              <w:adjustRightInd/>
              <w:jc w:val="center"/>
              <w:textAlignment w:val="auto"/>
              <w:rPr>
                <w:b/>
                <w:szCs w:val="22"/>
              </w:rPr>
            </w:pPr>
          </w:p>
        </w:tc>
      </w:tr>
      <w:tr w:rsidR="005D6037" w14:paraId="3A0AC6C2" w14:textId="77777777" w:rsidTr="005D6037">
        <w:tc>
          <w:tcPr>
            <w:tcW w:w="959" w:type="dxa"/>
          </w:tcPr>
          <w:p w14:paraId="4A1AF154" w14:textId="77777777" w:rsidR="005D6037" w:rsidRDefault="005D6037" w:rsidP="006571F3">
            <w:pPr>
              <w:widowControl/>
              <w:suppressAutoHyphens w:val="0"/>
              <w:overflowPunct/>
              <w:autoSpaceDE/>
              <w:autoSpaceDN/>
              <w:adjustRightInd/>
              <w:jc w:val="center"/>
              <w:textAlignment w:val="auto"/>
              <w:rPr>
                <w:szCs w:val="22"/>
              </w:rPr>
            </w:pPr>
          </w:p>
        </w:tc>
        <w:tc>
          <w:tcPr>
            <w:tcW w:w="2126" w:type="dxa"/>
          </w:tcPr>
          <w:p w14:paraId="06A90334" w14:textId="77777777" w:rsidR="005D6037" w:rsidRDefault="005D6037" w:rsidP="006571F3">
            <w:pPr>
              <w:widowControl/>
              <w:suppressAutoHyphens w:val="0"/>
              <w:overflowPunct/>
              <w:autoSpaceDE/>
              <w:autoSpaceDN/>
              <w:adjustRightInd/>
              <w:jc w:val="center"/>
              <w:textAlignment w:val="auto"/>
              <w:rPr>
                <w:szCs w:val="22"/>
              </w:rPr>
            </w:pPr>
          </w:p>
        </w:tc>
        <w:tc>
          <w:tcPr>
            <w:tcW w:w="2126" w:type="dxa"/>
          </w:tcPr>
          <w:p w14:paraId="1CEC93A5" w14:textId="77777777" w:rsidR="005D6037" w:rsidRDefault="005D6037" w:rsidP="006571F3">
            <w:pPr>
              <w:widowControl/>
              <w:suppressAutoHyphens w:val="0"/>
              <w:overflowPunct/>
              <w:autoSpaceDE/>
              <w:autoSpaceDN/>
              <w:adjustRightInd/>
              <w:jc w:val="center"/>
              <w:textAlignment w:val="auto"/>
              <w:rPr>
                <w:szCs w:val="22"/>
              </w:rPr>
            </w:pPr>
          </w:p>
        </w:tc>
        <w:tc>
          <w:tcPr>
            <w:tcW w:w="2127" w:type="dxa"/>
          </w:tcPr>
          <w:p w14:paraId="3AE8EBCC" w14:textId="77777777" w:rsidR="005D6037" w:rsidRDefault="005D6037" w:rsidP="006571F3">
            <w:pPr>
              <w:widowControl/>
              <w:suppressAutoHyphens w:val="0"/>
              <w:overflowPunct/>
              <w:autoSpaceDE/>
              <w:autoSpaceDN/>
              <w:adjustRightInd/>
              <w:jc w:val="center"/>
              <w:textAlignment w:val="auto"/>
              <w:rPr>
                <w:szCs w:val="22"/>
              </w:rPr>
            </w:pPr>
          </w:p>
        </w:tc>
        <w:tc>
          <w:tcPr>
            <w:tcW w:w="1134" w:type="dxa"/>
          </w:tcPr>
          <w:p w14:paraId="14AAB632" w14:textId="77777777" w:rsidR="005D6037" w:rsidRDefault="005D6037" w:rsidP="000052A3">
            <w:pPr>
              <w:widowControl/>
              <w:suppressAutoHyphens w:val="0"/>
              <w:overflowPunct/>
              <w:autoSpaceDE/>
              <w:autoSpaceDN/>
              <w:adjustRightInd/>
              <w:jc w:val="center"/>
              <w:textAlignment w:val="auto"/>
              <w:rPr>
                <w:szCs w:val="22"/>
              </w:rPr>
            </w:pPr>
          </w:p>
        </w:tc>
        <w:tc>
          <w:tcPr>
            <w:tcW w:w="1134" w:type="dxa"/>
          </w:tcPr>
          <w:p w14:paraId="741C61C5" w14:textId="77777777" w:rsidR="005D6037" w:rsidRDefault="005D6037" w:rsidP="000052A3">
            <w:pPr>
              <w:widowControl/>
              <w:suppressAutoHyphens w:val="0"/>
              <w:overflowPunct/>
              <w:autoSpaceDE/>
              <w:autoSpaceDN/>
              <w:adjustRightInd/>
              <w:jc w:val="center"/>
              <w:textAlignment w:val="auto"/>
              <w:rPr>
                <w:szCs w:val="22"/>
              </w:rPr>
            </w:pPr>
          </w:p>
        </w:tc>
        <w:tc>
          <w:tcPr>
            <w:tcW w:w="1275" w:type="dxa"/>
          </w:tcPr>
          <w:p w14:paraId="7FDFB8F3" w14:textId="77777777" w:rsidR="005D6037" w:rsidRDefault="005D6037" w:rsidP="006571F3">
            <w:pPr>
              <w:widowControl/>
              <w:suppressAutoHyphens w:val="0"/>
              <w:overflowPunct/>
              <w:autoSpaceDE/>
              <w:autoSpaceDN/>
              <w:adjustRightInd/>
              <w:jc w:val="center"/>
              <w:textAlignment w:val="auto"/>
              <w:rPr>
                <w:szCs w:val="22"/>
              </w:rPr>
            </w:pPr>
          </w:p>
        </w:tc>
        <w:tc>
          <w:tcPr>
            <w:tcW w:w="851" w:type="dxa"/>
          </w:tcPr>
          <w:p w14:paraId="44C7422E" w14:textId="77777777" w:rsidR="005D6037" w:rsidRDefault="005D6037" w:rsidP="006571F3">
            <w:pPr>
              <w:widowControl/>
              <w:suppressAutoHyphens w:val="0"/>
              <w:overflowPunct/>
              <w:autoSpaceDE/>
              <w:autoSpaceDN/>
              <w:adjustRightInd/>
              <w:jc w:val="center"/>
              <w:textAlignment w:val="auto"/>
              <w:rPr>
                <w:szCs w:val="22"/>
              </w:rPr>
            </w:pPr>
          </w:p>
        </w:tc>
        <w:tc>
          <w:tcPr>
            <w:tcW w:w="2410" w:type="dxa"/>
          </w:tcPr>
          <w:p w14:paraId="2B42BAF3" w14:textId="77777777" w:rsidR="005D6037" w:rsidRDefault="005D6037" w:rsidP="006571F3">
            <w:pPr>
              <w:widowControl/>
              <w:suppressAutoHyphens w:val="0"/>
              <w:overflowPunct/>
              <w:autoSpaceDE/>
              <w:autoSpaceDN/>
              <w:adjustRightInd/>
              <w:jc w:val="center"/>
              <w:textAlignment w:val="auto"/>
              <w:rPr>
                <w:szCs w:val="22"/>
              </w:rPr>
            </w:pPr>
          </w:p>
        </w:tc>
      </w:tr>
      <w:tr w:rsidR="005D6037" w14:paraId="1F1A110A" w14:textId="77777777" w:rsidTr="005D6037">
        <w:tc>
          <w:tcPr>
            <w:tcW w:w="959" w:type="dxa"/>
          </w:tcPr>
          <w:p w14:paraId="4A77C915" w14:textId="77777777" w:rsidR="005D6037" w:rsidRDefault="005D6037" w:rsidP="006571F3">
            <w:pPr>
              <w:widowControl/>
              <w:suppressAutoHyphens w:val="0"/>
              <w:overflowPunct/>
              <w:autoSpaceDE/>
              <w:autoSpaceDN/>
              <w:adjustRightInd/>
              <w:jc w:val="center"/>
              <w:textAlignment w:val="auto"/>
              <w:rPr>
                <w:szCs w:val="22"/>
              </w:rPr>
            </w:pPr>
            <w:r>
              <w:rPr>
                <w:szCs w:val="22"/>
              </w:rPr>
              <w:t>1</w:t>
            </w:r>
          </w:p>
        </w:tc>
        <w:tc>
          <w:tcPr>
            <w:tcW w:w="2126" w:type="dxa"/>
          </w:tcPr>
          <w:p w14:paraId="706A04D7" w14:textId="77777777" w:rsidR="005D6037" w:rsidRDefault="005D6037" w:rsidP="006571F3">
            <w:pPr>
              <w:widowControl/>
              <w:suppressAutoHyphens w:val="0"/>
              <w:overflowPunct/>
              <w:autoSpaceDE/>
              <w:autoSpaceDN/>
              <w:adjustRightInd/>
              <w:jc w:val="center"/>
              <w:textAlignment w:val="auto"/>
              <w:rPr>
                <w:szCs w:val="22"/>
              </w:rPr>
            </w:pPr>
            <w:r>
              <w:rPr>
                <w:szCs w:val="22"/>
              </w:rPr>
              <w:t>2013/10/11 03:00</w:t>
            </w:r>
          </w:p>
        </w:tc>
        <w:tc>
          <w:tcPr>
            <w:tcW w:w="2126" w:type="dxa"/>
          </w:tcPr>
          <w:p w14:paraId="2E48A09F" w14:textId="77777777" w:rsidR="005D6037" w:rsidRDefault="005D6037" w:rsidP="006571F3">
            <w:pPr>
              <w:widowControl/>
              <w:suppressAutoHyphens w:val="0"/>
              <w:overflowPunct/>
              <w:autoSpaceDE/>
              <w:autoSpaceDN/>
              <w:adjustRightInd/>
              <w:jc w:val="center"/>
              <w:textAlignment w:val="auto"/>
              <w:rPr>
                <w:szCs w:val="22"/>
              </w:rPr>
            </w:pPr>
            <w:r>
              <w:rPr>
                <w:szCs w:val="22"/>
              </w:rPr>
              <w:t xml:space="preserve">2013/10/13 17:00 </w:t>
            </w:r>
          </w:p>
        </w:tc>
        <w:tc>
          <w:tcPr>
            <w:tcW w:w="2127" w:type="dxa"/>
          </w:tcPr>
          <w:p w14:paraId="3346B89F" w14:textId="77777777" w:rsidR="005D6037" w:rsidRDefault="005D6037" w:rsidP="006571F3">
            <w:pPr>
              <w:widowControl/>
              <w:suppressAutoHyphens w:val="0"/>
              <w:overflowPunct/>
              <w:autoSpaceDE/>
              <w:autoSpaceDN/>
              <w:adjustRightInd/>
              <w:jc w:val="center"/>
              <w:textAlignment w:val="auto"/>
              <w:rPr>
                <w:szCs w:val="22"/>
              </w:rPr>
            </w:pPr>
            <w:r>
              <w:rPr>
                <w:szCs w:val="22"/>
              </w:rPr>
              <w:t>284.125 – 286.708</w:t>
            </w:r>
          </w:p>
        </w:tc>
        <w:tc>
          <w:tcPr>
            <w:tcW w:w="1134" w:type="dxa"/>
          </w:tcPr>
          <w:p w14:paraId="3B2582D4" w14:textId="77777777" w:rsidR="005D6037" w:rsidRDefault="005D6037" w:rsidP="000052A3">
            <w:pPr>
              <w:widowControl/>
              <w:suppressAutoHyphens w:val="0"/>
              <w:overflowPunct/>
              <w:autoSpaceDE/>
              <w:autoSpaceDN/>
              <w:adjustRightInd/>
              <w:jc w:val="center"/>
              <w:textAlignment w:val="auto"/>
              <w:rPr>
                <w:szCs w:val="22"/>
              </w:rPr>
            </w:pPr>
            <w:r>
              <w:rPr>
                <w:szCs w:val="22"/>
              </w:rPr>
              <w:t>58°N</w:t>
            </w:r>
          </w:p>
        </w:tc>
        <w:tc>
          <w:tcPr>
            <w:tcW w:w="1134" w:type="dxa"/>
          </w:tcPr>
          <w:p w14:paraId="2918DB67" w14:textId="77777777" w:rsidR="005D6037" w:rsidRDefault="005D6037" w:rsidP="000052A3">
            <w:pPr>
              <w:widowControl/>
              <w:suppressAutoHyphens w:val="0"/>
              <w:overflowPunct/>
              <w:autoSpaceDE/>
              <w:autoSpaceDN/>
              <w:adjustRightInd/>
              <w:jc w:val="center"/>
              <w:textAlignment w:val="auto"/>
              <w:rPr>
                <w:szCs w:val="22"/>
              </w:rPr>
            </w:pPr>
            <w:r>
              <w:rPr>
                <w:szCs w:val="22"/>
              </w:rPr>
              <w:t>48°W</w:t>
            </w:r>
          </w:p>
        </w:tc>
        <w:tc>
          <w:tcPr>
            <w:tcW w:w="1275" w:type="dxa"/>
          </w:tcPr>
          <w:p w14:paraId="39A5D6D6" w14:textId="77777777" w:rsidR="005D6037" w:rsidRDefault="005D6037" w:rsidP="006571F3">
            <w:pPr>
              <w:widowControl/>
              <w:suppressAutoHyphens w:val="0"/>
              <w:overflowPunct/>
              <w:autoSpaceDE/>
              <w:autoSpaceDN/>
              <w:adjustRightInd/>
              <w:jc w:val="center"/>
              <w:textAlignment w:val="auto"/>
              <w:rPr>
                <w:szCs w:val="22"/>
              </w:rPr>
            </w:pPr>
          </w:p>
        </w:tc>
        <w:tc>
          <w:tcPr>
            <w:tcW w:w="851" w:type="dxa"/>
          </w:tcPr>
          <w:p w14:paraId="2A2F901B" w14:textId="77777777" w:rsidR="005D6037" w:rsidRDefault="005D6037" w:rsidP="006571F3">
            <w:pPr>
              <w:widowControl/>
              <w:suppressAutoHyphens w:val="0"/>
              <w:overflowPunct/>
              <w:autoSpaceDE/>
              <w:autoSpaceDN/>
              <w:adjustRightInd/>
              <w:jc w:val="center"/>
              <w:textAlignment w:val="auto"/>
              <w:rPr>
                <w:szCs w:val="22"/>
              </w:rPr>
            </w:pPr>
          </w:p>
        </w:tc>
        <w:tc>
          <w:tcPr>
            <w:tcW w:w="2410" w:type="dxa"/>
          </w:tcPr>
          <w:p w14:paraId="7DB836C5" w14:textId="77777777" w:rsidR="005D6037" w:rsidRDefault="005D6037" w:rsidP="006571F3">
            <w:pPr>
              <w:widowControl/>
              <w:suppressAutoHyphens w:val="0"/>
              <w:overflowPunct/>
              <w:autoSpaceDE/>
              <w:autoSpaceDN/>
              <w:adjustRightInd/>
              <w:jc w:val="center"/>
              <w:textAlignment w:val="auto"/>
              <w:rPr>
                <w:szCs w:val="22"/>
              </w:rPr>
            </w:pPr>
          </w:p>
        </w:tc>
      </w:tr>
      <w:tr w:rsidR="005D6037" w14:paraId="186FD303" w14:textId="77777777" w:rsidTr="005D6037">
        <w:tc>
          <w:tcPr>
            <w:tcW w:w="959" w:type="dxa"/>
          </w:tcPr>
          <w:p w14:paraId="460C6EA5" w14:textId="77777777" w:rsidR="005D6037" w:rsidRDefault="005D6037" w:rsidP="006571F3">
            <w:pPr>
              <w:widowControl/>
              <w:suppressAutoHyphens w:val="0"/>
              <w:overflowPunct/>
              <w:autoSpaceDE/>
              <w:autoSpaceDN/>
              <w:adjustRightInd/>
              <w:jc w:val="center"/>
              <w:textAlignment w:val="auto"/>
              <w:rPr>
                <w:szCs w:val="22"/>
              </w:rPr>
            </w:pPr>
            <w:r>
              <w:rPr>
                <w:szCs w:val="22"/>
              </w:rPr>
              <w:t>2</w:t>
            </w:r>
          </w:p>
        </w:tc>
        <w:tc>
          <w:tcPr>
            <w:tcW w:w="2126" w:type="dxa"/>
          </w:tcPr>
          <w:p w14:paraId="65FD8AC1" w14:textId="77777777" w:rsidR="005D6037" w:rsidRDefault="005D6037" w:rsidP="006571F3">
            <w:pPr>
              <w:widowControl/>
              <w:suppressAutoHyphens w:val="0"/>
              <w:overflowPunct/>
              <w:autoSpaceDE/>
              <w:autoSpaceDN/>
              <w:adjustRightInd/>
              <w:jc w:val="center"/>
              <w:textAlignment w:val="auto"/>
              <w:rPr>
                <w:szCs w:val="22"/>
              </w:rPr>
            </w:pPr>
            <w:r>
              <w:rPr>
                <w:szCs w:val="22"/>
              </w:rPr>
              <w:t>2013/10/14 12:00</w:t>
            </w:r>
          </w:p>
        </w:tc>
        <w:tc>
          <w:tcPr>
            <w:tcW w:w="2126" w:type="dxa"/>
          </w:tcPr>
          <w:p w14:paraId="4AC0EDA6" w14:textId="77777777" w:rsidR="005D6037" w:rsidRDefault="005D6037" w:rsidP="006571F3">
            <w:pPr>
              <w:widowControl/>
              <w:suppressAutoHyphens w:val="0"/>
              <w:overflowPunct/>
              <w:autoSpaceDE/>
              <w:autoSpaceDN/>
              <w:adjustRightInd/>
              <w:jc w:val="center"/>
              <w:textAlignment w:val="auto"/>
              <w:rPr>
                <w:szCs w:val="22"/>
              </w:rPr>
            </w:pPr>
            <w:r>
              <w:rPr>
                <w:szCs w:val="22"/>
              </w:rPr>
              <w:t>2013/10/17 12:00</w:t>
            </w:r>
          </w:p>
        </w:tc>
        <w:tc>
          <w:tcPr>
            <w:tcW w:w="2127" w:type="dxa"/>
          </w:tcPr>
          <w:p w14:paraId="6669C37B" w14:textId="77777777" w:rsidR="005D6037" w:rsidRDefault="005D6037" w:rsidP="006571F3">
            <w:pPr>
              <w:widowControl/>
              <w:suppressAutoHyphens w:val="0"/>
              <w:overflowPunct/>
              <w:autoSpaceDE/>
              <w:autoSpaceDN/>
              <w:adjustRightInd/>
              <w:jc w:val="center"/>
              <w:textAlignment w:val="auto"/>
              <w:rPr>
                <w:szCs w:val="22"/>
              </w:rPr>
            </w:pPr>
            <w:r>
              <w:rPr>
                <w:szCs w:val="22"/>
              </w:rPr>
              <w:t>287.500 – 290.500</w:t>
            </w:r>
          </w:p>
        </w:tc>
        <w:tc>
          <w:tcPr>
            <w:tcW w:w="1134" w:type="dxa"/>
          </w:tcPr>
          <w:p w14:paraId="027D3F25" w14:textId="77777777" w:rsidR="005D6037" w:rsidRDefault="005D6037" w:rsidP="000052A3">
            <w:pPr>
              <w:widowControl/>
              <w:suppressAutoHyphens w:val="0"/>
              <w:overflowPunct/>
              <w:autoSpaceDE/>
              <w:autoSpaceDN/>
              <w:adjustRightInd/>
              <w:jc w:val="center"/>
              <w:textAlignment w:val="auto"/>
              <w:rPr>
                <w:szCs w:val="22"/>
              </w:rPr>
            </w:pPr>
            <w:r>
              <w:rPr>
                <w:szCs w:val="22"/>
              </w:rPr>
              <w:t>58°N</w:t>
            </w:r>
          </w:p>
        </w:tc>
        <w:tc>
          <w:tcPr>
            <w:tcW w:w="1134" w:type="dxa"/>
          </w:tcPr>
          <w:p w14:paraId="19EC32C7" w14:textId="77777777" w:rsidR="005D6037" w:rsidRDefault="005D6037" w:rsidP="000052A3">
            <w:pPr>
              <w:widowControl/>
              <w:suppressAutoHyphens w:val="0"/>
              <w:overflowPunct/>
              <w:autoSpaceDE/>
              <w:autoSpaceDN/>
              <w:adjustRightInd/>
              <w:jc w:val="center"/>
              <w:textAlignment w:val="auto"/>
              <w:rPr>
                <w:szCs w:val="22"/>
              </w:rPr>
            </w:pPr>
            <w:r>
              <w:rPr>
                <w:szCs w:val="22"/>
              </w:rPr>
              <w:t>46°W</w:t>
            </w:r>
          </w:p>
        </w:tc>
        <w:tc>
          <w:tcPr>
            <w:tcW w:w="1275" w:type="dxa"/>
          </w:tcPr>
          <w:p w14:paraId="1564C8F3" w14:textId="77777777" w:rsidR="005D6037" w:rsidRDefault="005D6037" w:rsidP="006571F3">
            <w:pPr>
              <w:widowControl/>
              <w:suppressAutoHyphens w:val="0"/>
              <w:overflowPunct/>
              <w:autoSpaceDE/>
              <w:autoSpaceDN/>
              <w:adjustRightInd/>
              <w:jc w:val="center"/>
              <w:textAlignment w:val="auto"/>
              <w:rPr>
                <w:szCs w:val="22"/>
              </w:rPr>
            </w:pPr>
          </w:p>
        </w:tc>
        <w:tc>
          <w:tcPr>
            <w:tcW w:w="851" w:type="dxa"/>
          </w:tcPr>
          <w:p w14:paraId="567DD5C9" w14:textId="77777777" w:rsidR="005D6037" w:rsidRDefault="005D6037" w:rsidP="006571F3">
            <w:pPr>
              <w:widowControl/>
              <w:suppressAutoHyphens w:val="0"/>
              <w:overflowPunct/>
              <w:autoSpaceDE/>
              <w:autoSpaceDN/>
              <w:adjustRightInd/>
              <w:jc w:val="center"/>
              <w:textAlignment w:val="auto"/>
              <w:rPr>
                <w:szCs w:val="22"/>
              </w:rPr>
            </w:pPr>
          </w:p>
        </w:tc>
        <w:tc>
          <w:tcPr>
            <w:tcW w:w="2410" w:type="dxa"/>
          </w:tcPr>
          <w:p w14:paraId="347F731C" w14:textId="77777777" w:rsidR="005D6037" w:rsidRDefault="005D6037" w:rsidP="006571F3">
            <w:pPr>
              <w:widowControl/>
              <w:suppressAutoHyphens w:val="0"/>
              <w:overflowPunct/>
              <w:autoSpaceDE/>
              <w:autoSpaceDN/>
              <w:adjustRightInd/>
              <w:jc w:val="center"/>
              <w:textAlignment w:val="auto"/>
              <w:rPr>
                <w:szCs w:val="22"/>
              </w:rPr>
            </w:pPr>
          </w:p>
        </w:tc>
      </w:tr>
      <w:tr w:rsidR="005D6037" w14:paraId="7694B010" w14:textId="77777777" w:rsidTr="005D6037">
        <w:tc>
          <w:tcPr>
            <w:tcW w:w="959" w:type="dxa"/>
          </w:tcPr>
          <w:p w14:paraId="14FEEBC4" w14:textId="77777777" w:rsidR="005D6037" w:rsidRDefault="005D6037" w:rsidP="006571F3">
            <w:pPr>
              <w:widowControl/>
              <w:suppressAutoHyphens w:val="0"/>
              <w:overflowPunct/>
              <w:autoSpaceDE/>
              <w:autoSpaceDN/>
              <w:adjustRightInd/>
              <w:jc w:val="center"/>
              <w:textAlignment w:val="auto"/>
              <w:rPr>
                <w:szCs w:val="22"/>
              </w:rPr>
            </w:pPr>
            <w:r>
              <w:rPr>
                <w:szCs w:val="22"/>
              </w:rPr>
              <w:t>3</w:t>
            </w:r>
          </w:p>
        </w:tc>
        <w:tc>
          <w:tcPr>
            <w:tcW w:w="2126" w:type="dxa"/>
          </w:tcPr>
          <w:p w14:paraId="12A7713B" w14:textId="77777777" w:rsidR="005D6037" w:rsidRDefault="005D6037" w:rsidP="006571F3">
            <w:pPr>
              <w:widowControl/>
              <w:suppressAutoHyphens w:val="0"/>
              <w:overflowPunct/>
              <w:autoSpaceDE/>
              <w:autoSpaceDN/>
              <w:adjustRightInd/>
              <w:jc w:val="center"/>
              <w:textAlignment w:val="auto"/>
              <w:rPr>
                <w:szCs w:val="22"/>
              </w:rPr>
            </w:pPr>
            <w:r>
              <w:rPr>
                <w:szCs w:val="22"/>
              </w:rPr>
              <w:t>2013/10/18 18:00</w:t>
            </w:r>
          </w:p>
        </w:tc>
        <w:tc>
          <w:tcPr>
            <w:tcW w:w="2126" w:type="dxa"/>
          </w:tcPr>
          <w:p w14:paraId="3CAFB2A9" w14:textId="77777777" w:rsidR="005D6037" w:rsidRDefault="005D6037" w:rsidP="006571F3">
            <w:pPr>
              <w:widowControl/>
              <w:suppressAutoHyphens w:val="0"/>
              <w:overflowPunct/>
              <w:autoSpaceDE/>
              <w:autoSpaceDN/>
              <w:adjustRightInd/>
              <w:jc w:val="center"/>
              <w:textAlignment w:val="auto"/>
              <w:rPr>
                <w:szCs w:val="22"/>
              </w:rPr>
            </w:pPr>
            <w:r>
              <w:rPr>
                <w:szCs w:val="22"/>
              </w:rPr>
              <w:t>2013/10/21 16:00</w:t>
            </w:r>
          </w:p>
        </w:tc>
        <w:tc>
          <w:tcPr>
            <w:tcW w:w="2127" w:type="dxa"/>
          </w:tcPr>
          <w:p w14:paraId="3B65C926" w14:textId="77777777" w:rsidR="005D6037" w:rsidRDefault="005D6037" w:rsidP="006571F3">
            <w:pPr>
              <w:widowControl/>
              <w:suppressAutoHyphens w:val="0"/>
              <w:overflowPunct/>
              <w:autoSpaceDE/>
              <w:autoSpaceDN/>
              <w:adjustRightInd/>
              <w:jc w:val="center"/>
              <w:textAlignment w:val="auto"/>
              <w:rPr>
                <w:szCs w:val="22"/>
              </w:rPr>
            </w:pPr>
            <w:r>
              <w:rPr>
                <w:szCs w:val="22"/>
              </w:rPr>
              <w:t>291.750 – 294.667</w:t>
            </w:r>
          </w:p>
        </w:tc>
        <w:tc>
          <w:tcPr>
            <w:tcW w:w="1134" w:type="dxa"/>
          </w:tcPr>
          <w:p w14:paraId="4AE282C8" w14:textId="77777777" w:rsidR="005D6037" w:rsidRDefault="005D6037" w:rsidP="000052A3">
            <w:pPr>
              <w:widowControl/>
              <w:suppressAutoHyphens w:val="0"/>
              <w:overflowPunct/>
              <w:autoSpaceDE/>
              <w:autoSpaceDN/>
              <w:adjustRightInd/>
              <w:jc w:val="center"/>
              <w:textAlignment w:val="auto"/>
              <w:rPr>
                <w:szCs w:val="22"/>
              </w:rPr>
            </w:pPr>
            <w:r>
              <w:rPr>
                <w:szCs w:val="22"/>
              </w:rPr>
              <w:t>54°N</w:t>
            </w:r>
          </w:p>
        </w:tc>
        <w:tc>
          <w:tcPr>
            <w:tcW w:w="1134" w:type="dxa"/>
          </w:tcPr>
          <w:p w14:paraId="6EC01389" w14:textId="77777777" w:rsidR="005D6037" w:rsidRDefault="005D6037" w:rsidP="000052A3">
            <w:pPr>
              <w:widowControl/>
              <w:suppressAutoHyphens w:val="0"/>
              <w:overflowPunct/>
              <w:autoSpaceDE/>
              <w:autoSpaceDN/>
              <w:adjustRightInd/>
              <w:jc w:val="center"/>
              <w:textAlignment w:val="auto"/>
              <w:rPr>
                <w:szCs w:val="22"/>
              </w:rPr>
            </w:pPr>
            <w:r>
              <w:rPr>
                <w:szCs w:val="22"/>
              </w:rPr>
              <w:t>46°W</w:t>
            </w:r>
          </w:p>
        </w:tc>
        <w:tc>
          <w:tcPr>
            <w:tcW w:w="1275" w:type="dxa"/>
          </w:tcPr>
          <w:p w14:paraId="59BA69A7" w14:textId="77777777" w:rsidR="005D6037" w:rsidRDefault="005D6037" w:rsidP="006571F3">
            <w:pPr>
              <w:widowControl/>
              <w:suppressAutoHyphens w:val="0"/>
              <w:overflowPunct/>
              <w:autoSpaceDE/>
              <w:autoSpaceDN/>
              <w:adjustRightInd/>
              <w:jc w:val="center"/>
              <w:textAlignment w:val="auto"/>
              <w:rPr>
                <w:szCs w:val="22"/>
              </w:rPr>
            </w:pPr>
          </w:p>
        </w:tc>
        <w:tc>
          <w:tcPr>
            <w:tcW w:w="851" w:type="dxa"/>
          </w:tcPr>
          <w:p w14:paraId="5F74014F" w14:textId="77777777" w:rsidR="005D6037" w:rsidRDefault="005D6037" w:rsidP="006571F3">
            <w:pPr>
              <w:widowControl/>
              <w:suppressAutoHyphens w:val="0"/>
              <w:overflowPunct/>
              <w:autoSpaceDE/>
              <w:autoSpaceDN/>
              <w:adjustRightInd/>
              <w:jc w:val="center"/>
              <w:textAlignment w:val="auto"/>
              <w:rPr>
                <w:szCs w:val="22"/>
              </w:rPr>
            </w:pPr>
          </w:p>
        </w:tc>
        <w:tc>
          <w:tcPr>
            <w:tcW w:w="2410" w:type="dxa"/>
          </w:tcPr>
          <w:p w14:paraId="00632525" w14:textId="77777777" w:rsidR="005D6037" w:rsidRDefault="005D6037" w:rsidP="006571F3">
            <w:pPr>
              <w:widowControl/>
              <w:suppressAutoHyphens w:val="0"/>
              <w:overflowPunct/>
              <w:autoSpaceDE/>
              <w:autoSpaceDN/>
              <w:adjustRightInd/>
              <w:jc w:val="center"/>
              <w:textAlignment w:val="auto"/>
              <w:rPr>
                <w:szCs w:val="22"/>
              </w:rPr>
            </w:pPr>
          </w:p>
        </w:tc>
      </w:tr>
      <w:tr w:rsidR="005D6037" w14:paraId="27396E4B" w14:textId="77777777" w:rsidTr="005D6037">
        <w:tc>
          <w:tcPr>
            <w:tcW w:w="959" w:type="dxa"/>
          </w:tcPr>
          <w:p w14:paraId="41335BC9" w14:textId="77777777" w:rsidR="005D6037" w:rsidRDefault="005D6037" w:rsidP="006571F3">
            <w:pPr>
              <w:widowControl/>
              <w:suppressAutoHyphens w:val="0"/>
              <w:overflowPunct/>
              <w:autoSpaceDE/>
              <w:autoSpaceDN/>
              <w:adjustRightInd/>
              <w:jc w:val="center"/>
              <w:textAlignment w:val="auto"/>
              <w:rPr>
                <w:szCs w:val="22"/>
              </w:rPr>
            </w:pPr>
            <w:r>
              <w:rPr>
                <w:szCs w:val="22"/>
              </w:rPr>
              <w:t>4</w:t>
            </w:r>
          </w:p>
        </w:tc>
        <w:tc>
          <w:tcPr>
            <w:tcW w:w="2126" w:type="dxa"/>
          </w:tcPr>
          <w:p w14:paraId="6A550D8D" w14:textId="77777777" w:rsidR="005D6037" w:rsidRDefault="005D6037" w:rsidP="006571F3">
            <w:pPr>
              <w:widowControl/>
              <w:suppressAutoHyphens w:val="0"/>
              <w:overflowPunct/>
              <w:autoSpaceDE/>
              <w:autoSpaceDN/>
              <w:adjustRightInd/>
              <w:jc w:val="center"/>
              <w:textAlignment w:val="auto"/>
              <w:rPr>
                <w:szCs w:val="22"/>
              </w:rPr>
            </w:pPr>
            <w:r>
              <w:rPr>
                <w:szCs w:val="22"/>
              </w:rPr>
              <w:t>2013/10/23 21:00</w:t>
            </w:r>
          </w:p>
        </w:tc>
        <w:tc>
          <w:tcPr>
            <w:tcW w:w="2126" w:type="dxa"/>
          </w:tcPr>
          <w:p w14:paraId="5BF5CAC3" w14:textId="77777777" w:rsidR="005D6037" w:rsidRDefault="005D6037" w:rsidP="006571F3">
            <w:pPr>
              <w:widowControl/>
              <w:suppressAutoHyphens w:val="0"/>
              <w:overflowPunct/>
              <w:autoSpaceDE/>
              <w:autoSpaceDN/>
              <w:adjustRightInd/>
              <w:jc w:val="center"/>
              <w:textAlignment w:val="auto"/>
              <w:rPr>
                <w:szCs w:val="22"/>
              </w:rPr>
            </w:pPr>
            <w:r>
              <w:rPr>
                <w:szCs w:val="22"/>
              </w:rPr>
              <w:t>2013/10/27 18:00</w:t>
            </w:r>
          </w:p>
        </w:tc>
        <w:tc>
          <w:tcPr>
            <w:tcW w:w="2127" w:type="dxa"/>
          </w:tcPr>
          <w:p w14:paraId="7F70944C" w14:textId="77777777" w:rsidR="005D6037" w:rsidRDefault="005D6037" w:rsidP="006571F3">
            <w:pPr>
              <w:widowControl/>
              <w:suppressAutoHyphens w:val="0"/>
              <w:overflowPunct/>
              <w:autoSpaceDE/>
              <w:autoSpaceDN/>
              <w:adjustRightInd/>
              <w:jc w:val="center"/>
              <w:textAlignment w:val="auto"/>
              <w:rPr>
                <w:szCs w:val="22"/>
              </w:rPr>
            </w:pPr>
            <w:r>
              <w:rPr>
                <w:szCs w:val="22"/>
              </w:rPr>
              <w:t>296.875 – 300.500</w:t>
            </w:r>
          </w:p>
        </w:tc>
        <w:tc>
          <w:tcPr>
            <w:tcW w:w="1134" w:type="dxa"/>
          </w:tcPr>
          <w:p w14:paraId="1CF6124F" w14:textId="77777777" w:rsidR="005D6037" w:rsidRDefault="005D6037" w:rsidP="000052A3">
            <w:pPr>
              <w:widowControl/>
              <w:suppressAutoHyphens w:val="0"/>
              <w:overflowPunct/>
              <w:autoSpaceDE/>
              <w:autoSpaceDN/>
              <w:adjustRightInd/>
              <w:jc w:val="center"/>
              <w:textAlignment w:val="auto"/>
              <w:rPr>
                <w:szCs w:val="22"/>
              </w:rPr>
            </w:pPr>
            <w:r>
              <w:rPr>
                <w:szCs w:val="22"/>
              </w:rPr>
              <w:t>53.5°N</w:t>
            </w:r>
          </w:p>
        </w:tc>
        <w:tc>
          <w:tcPr>
            <w:tcW w:w="1134" w:type="dxa"/>
          </w:tcPr>
          <w:p w14:paraId="27292D5A" w14:textId="77777777" w:rsidR="005D6037" w:rsidRDefault="005D6037" w:rsidP="000052A3">
            <w:pPr>
              <w:widowControl/>
              <w:suppressAutoHyphens w:val="0"/>
              <w:overflowPunct/>
              <w:autoSpaceDE/>
              <w:autoSpaceDN/>
              <w:adjustRightInd/>
              <w:jc w:val="center"/>
              <w:textAlignment w:val="auto"/>
              <w:rPr>
                <w:szCs w:val="22"/>
              </w:rPr>
            </w:pPr>
            <w:r>
              <w:rPr>
                <w:szCs w:val="22"/>
              </w:rPr>
              <w:t>45.5°W</w:t>
            </w:r>
          </w:p>
        </w:tc>
        <w:tc>
          <w:tcPr>
            <w:tcW w:w="1275" w:type="dxa"/>
          </w:tcPr>
          <w:p w14:paraId="71BDA890" w14:textId="77777777" w:rsidR="005D6037" w:rsidRDefault="005D6037" w:rsidP="006571F3">
            <w:pPr>
              <w:widowControl/>
              <w:suppressAutoHyphens w:val="0"/>
              <w:overflowPunct/>
              <w:autoSpaceDE/>
              <w:autoSpaceDN/>
              <w:adjustRightInd/>
              <w:jc w:val="center"/>
              <w:textAlignment w:val="auto"/>
              <w:rPr>
                <w:szCs w:val="22"/>
              </w:rPr>
            </w:pPr>
          </w:p>
        </w:tc>
        <w:tc>
          <w:tcPr>
            <w:tcW w:w="851" w:type="dxa"/>
          </w:tcPr>
          <w:p w14:paraId="13F89879" w14:textId="77777777" w:rsidR="005D6037" w:rsidRDefault="005D6037" w:rsidP="006571F3">
            <w:pPr>
              <w:widowControl/>
              <w:suppressAutoHyphens w:val="0"/>
              <w:overflowPunct/>
              <w:autoSpaceDE/>
              <w:autoSpaceDN/>
              <w:adjustRightInd/>
              <w:jc w:val="center"/>
              <w:textAlignment w:val="auto"/>
              <w:rPr>
                <w:szCs w:val="22"/>
              </w:rPr>
            </w:pPr>
          </w:p>
        </w:tc>
        <w:tc>
          <w:tcPr>
            <w:tcW w:w="2410" w:type="dxa"/>
          </w:tcPr>
          <w:p w14:paraId="42FE0CAF" w14:textId="77777777" w:rsidR="005D6037" w:rsidRDefault="005D6037" w:rsidP="006571F3">
            <w:pPr>
              <w:widowControl/>
              <w:suppressAutoHyphens w:val="0"/>
              <w:overflowPunct/>
              <w:autoSpaceDE/>
              <w:autoSpaceDN/>
              <w:adjustRightInd/>
              <w:jc w:val="center"/>
              <w:textAlignment w:val="auto"/>
              <w:rPr>
                <w:szCs w:val="22"/>
              </w:rPr>
            </w:pPr>
          </w:p>
        </w:tc>
      </w:tr>
      <w:tr w:rsidR="005D6037" w14:paraId="1F823B98" w14:textId="77777777" w:rsidTr="005D6037">
        <w:tc>
          <w:tcPr>
            <w:tcW w:w="959" w:type="dxa"/>
          </w:tcPr>
          <w:p w14:paraId="6148E91E" w14:textId="77777777" w:rsidR="005D6037" w:rsidRDefault="005D6037" w:rsidP="006571F3">
            <w:pPr>
              <w:widowControl/>
              <w:suppressAutoHyphens w:val="0"/>
              <w:overflowPunct/>
              <w:autoSpaceDE/>
              <w:autoSpaceDN/>
              <w:adjustRightInd/>
              <w:jc w:val="center"/>
              <w:textAlignment w:val="auto"/>
              <w:rPr>
                <w:szCs w:val="22"/>
              </w:rPr>
            </w:pPr>
            <w:r>
              <w:rPr>
                <w:szCs w:val="22"/>
              </w:rPr>
              <w:t>5</w:t>
            </w:r>
          </w:p>
        </w:tc>
        <w:tc>
          <w:tcPr>
            <w:tcW w:w="2126" w:type="dxa"/>
          </w:tcPr>
          <w:p w14:paraId="452414BE" w14:textId="77777777" w:rsidR="005D6037" w:rsidRDefault="005D6037" w:rsidP="006571F3">
            <w:pPr>
              <w:widowControl/>
              <w:suppressAutoHyphens w:val="0"/>
              <w:overflowPunct/>
              <w:autoSpaceDE/>
              <w:autoSpaceDN/>
              <w:adjustRightInd/>
              <w:jc w:val="center"/>
              <w:textAlignment w:val="auto"/>
              <w:rPr>
                <w:szCs w:val="22"/>
              </w:rPr>
            </w:pPr>
            <w:r>
              <w:rPr>
                <w:szCs w:val="22"/>
              </w:rPr>
              <w:t>2013/10/27 20:00</w:t>
            </w:r>
          </w:p>
        </w:tc>
        <w:tc>
          <w:tcPr>
            <w:tcW w:w="2126" w:type="dxa"/>
          </w:tcPr>
          <w:p w14:paraId="143C85A2" w14:textId="77777777" w:rsidR="005D6037" w:rsidRDefault="005D6037" w:rsidP="006571F3">
            <w:pPr>
              <w:widowControl/>
              <w:suppressAutoHyphens w:val="0"/>
              <w:overflowPunct/>
              <w:autoSpaceDE/>
              <w:autoSpaceDN/>
              <w:adjustRightInd/>
              <w:jc w:val="center"/>
              <w:textAlignment w:val="auto"/>
              <w:rPr>
                <w:szCs w:val="22"/>
              </w:rPr>
            </w:pPr>
            <w:r>
              <w:rPr>
                <w:szCs w:val="22"/>
              </w:rPr>
              <w:t>2013/10/31 12:00</w:t>
            </w:r>
          </w:p>
        </w:tc>
        <w:tc>
          <w:tcPr>
            <w:tcW w:w="2127" w:type="dxa"/>
          </w:tcPr>
          <w:p w14:paraId="70DF4BB3" w14:textId="77777777" w:rsidR="005D6037" w:rsidRDefault="005D6037" w:rsidP="006571F3">
            <w:pPr>
              <w:widowControl/>
              <w:suppressAutoHyphens w:val="0"/>
              <w:overflowPunct/>
              <w:autoSpaceDE/>
              <w:autoSpaceDN/>
              <w:adjustRightInd/>
              <w:jc w:val="center"/>
              <w:textAlignment w:val="auto"/>
              <w:rPr>
                <w:szCs w:val="22"/>
              </w:rPr>
            </w:pPr>
            <w:r>
              <w:rPr>
                <w:szCs w:val="22"/>
              </w:rPr>
              <w:t>300.833 – 304.500</w:t>
            </w:r>
          </w:p>
        </w:tc>
        <w:tc>
          <w:tcPr>
            <w:tcW w:w="1134" w:type="dxa"/>
          </w:tcPr>
          <w:p w14:paraId="4168068B" w14:textId="77777777" w:rsidR="005D6037" w:rsidRDefault="005D6037" w:rsidP="000052A3">
            <w:pPr>
              <w:widowControl/>
              <w:suppressAutoHyphens w:val="0"/>
              <w:overflowPunct/>
              <w:autoSpaceDE/>
              <w:autoSpaceDN/>
              <w:adjustRightInd/>
              <w:jc w:val="center"/>
              <w:textAlignment w:val="auto"/>
              <w:rPr>
                <w:szCs w:val="22"/>
              </w:rPr>
            </w:pPr>
            <w:r>
              <w:rPr>
                <w:szCs w:val="22"/>
              </w:rPr>
              <w:t>53.5°N</w:t>
            </w:r>
          </w:p>
        </w:tc>
        <w:tc>
          <w:tcPr>
            <w:tcW w:w="1134" w:type="dxa"/>
          </w:tcPr>
          <w:p w14:paraId="4ECFC75B" w14:textId="77777777" w:rsidR="005D6037" w:rsidRDefault="005D6037" w:rsidP="000052A3">
            <w:pPr>
              <w:widowControl/>
              <w:suppressAutoHyphens w:val="0"/>
              <w:overflowPunct/>
              <w:autoSpaceDE/>
              <w:autoSpaceDN/>
              <w:adjustRightInd/>
              <w:jc w:val="center"/>
              <w:textAlignment w:val="auto"/>
              <w:rPr>
                <w:szCs w:val="22"/>
              </w:rPr>
            </w:pPr>
            <w:r>
              <w:rPr>
                <w:szCs w:val="22"/>
              </w:rPr>
              <w:t>45°W</w:t>
            </w:r>
          </w:p>
        </w:tc>
        <w:tc>
          <w:tcPr>
            <w:tcW w:w="1275" w:type="dxa"/>
          </w:tcPr>
          <w:p w14:paraId="141FC521" w14:textId="77777777" w:rsidR="005D6037" w:rsidRDefault="005D6037" w:rsidP="006571F3">
            <w:pPr>
              <w:widowControl/>
              <w:suppressAutoHyphens w:val="0"/>
              <w:overflowPunct/>
              <w:autoSpaceDE/>
              <w:autoSpaceDN/>
              <w:adjustRightInd/>
              <w:jc w:val="center"/>
              <w:textAlignment w:val="auto"/>
              <w:rPr>
                <w:szCs w:val="22"/>
              </w:rPr>
            </w:pPr>
          </w:p>
        </w:tc>
        <w:tc>
          <w:tcPr>
            <w:tcW w:w="851" w:type="dxa"/>
          </w:tcPr>
          <w:p w14:paraId="21DA3904" w14:textId="77777777" w:rsidR="005D6037" w:rsidRDefault="005D6037" w:rsidP="006571F3">
            <w:pPr>
              <w:widowControl/>
              <w:suppressAutoHyphens w:val="0"/>
              <w:overflowPunct/>
              <w:autoSpaceDE/>
              <w:autoSpaceDN/>
              <w:adjustRightInd/>
              <w:jc w:val="center"/>
              <w:textAlignment w:val="auto"/>
              <w:rPr>
                <w:szCs w:val="22"/>
              </w:rPr>
            </w:pPr>
          </w:p>
        </w:tc>
        <w:tc>
          <w:tcPr>
            <w:tcW w:w="2410" w:type="dxa"/>
          </w:tcPr>
          <w:p w14:paraId="4BCA0081" w14:textId="77777777" w:rsidR="005D6037" w:rsidRDefault="005D6037" w:rsidP="006571F3">
            <w:pPr>
              <w:widowControl/>
              <w:suppressAutoHyphens w:val="0"/>
              <w:overflowPunct/>
              <w:autoSpaceDE/>
              <w:autoSpaceDN/>
              <w:adjustRightInd/>
              <w:jc w:val="center"/>
              <w:textAlignment w:val="auto"/>
              <w:rPr>
                <w:szCs w:val="22"/>
              </w:rPr>
            </w:pPr>
          </w:p>
        </w:tc>
      </w:tr>
      <w:tr w:rsidR="005D6037" w14:paraId="18BD1BE0" w14:textId="77777777" w:rsidTr="005D6037">
        <w:tc>
          <w:tcPr>
            <w:tcW w:w="959" w:type="dxa"/>
          </w:tcPr>
          <w:p w14:paraId="6234EAD1" w14:textId="77777777" w:rsidR="005D6037" w:rsidRDefault="005D6037" w:rsidP="006571F3">
            <w:pPr>
              <w:widowControl/>
              <w:suppressAutoHyphens w:val="0"/>
              <w:overflowPunct/>
              <w:autoSpaceDE/>
              <w:autoSpaceDN/>
              <w:adjustRightInd/>
              <w:jc w:val="center"/>
              <w:textAlignment w:val="auto"/>
              <w:rPr>
                <w:szCs w:val="22"/>
              </w:rPr>
            </w:pPr>
            <w:r>
              <w:rPr>
                <w:szCs w:val="22"/>
              </w:rPr>
              <w:t>6</w:t>
            </w:r>
          </w:p>
        </w:tc>
        <w:tc>
          <w:tcPr>
            <w:tcW w:w="2126" w:type="dxa"/>
          </w:tcPr>
          <w:p w14:paraId="23214166" w14:textId="77777777" w:rsidR="005D6037" w:rsidRDefault="005D6037" w:rsidP="006571F3">
            <w:pPr>
              <w:widowControl/>
              <w:suppressAutoHyphens w:val="0"/>
              <w:overflowPunct/>
              <w:autoSpaceDE/>
              <w:autoSpaceDN/>
              <w:adjustRightInd/>
              <w:jc w:val="center"/>
              <w:textAlignment w:val="auto"/>
              <w:rPr>
                <w:szCs w:val="22"/>
              </w:rPr>
            </w:pPr>
            <w:r>
              <w:rPr>
                <w:szCs w:val="22"/>
              </w:rPr>
              <w:t>2013/11/01 19:00</w:t>
            </w:r>
          </w:p>
        </w:tc>
        <w:tc>
          <w:tcPr>
            <w:tcW w:w="2126" w:type="dxa"/>
          </w:tcPr>
          <w:p w14:paraId="4DD6A7FE" w14:textId="77777777" w:rsidR="005D6037" w:rsidRDefault="005D6037" w:rsidP="006571F3">
            <w:pPr>
              <w:widowControl/>
              <w:suppressAutoHyphens w:val="0"/>
              <w:overflowPunct/>
              <w:autoSpaceDE/>
              <w:autoSpaceDN/>
              <w:adjustRightInd/>
              <w:jc w:val="center"/>
              <w:textAlignment w:val="auto"/>
              <w:rPr>
                <w:szCs w:val="22"/>
              </w:rPr>
            </w:pPr>
            <w:r>
              <w:rPr>
                <w:szCs w:val="22"/>
              </w:rPr>
              <w:t>2013/11/03 15:00</w:t>
            </w:r>
          </w:p>
        </w:tc>
        <w:tc>
          <w:tcPr>
            <w:tcW w:w="2127" w:type="dxa"/>
          </w:tcPr>
          <w:p w14:paraId="3EF78F1E" w14:textId="77777777" w:rsidR="005D6037" w:rsidRDefault="005D6037" w:rsidP="006571F3">
            <w:pPr>
              <w:widowControl/>
              <w:suppressAutoHyphens w:val="0"/>
              <w:overflowPunct/>
              <w:autoSpaceDE/>
              <w:autoSpaceDN/>
              <w:adjustRightInd/>
              <w:jc w:val="center"/>
              <w:textAlignment w:val="auto"/>
              <w:rPr>
                <w:szCs w:val="22"/>
              </w:rPr>
            </w:pPr>
            <w:r>
              <w:rPr>
                <w:szCs w:val="22"/>
              </w:rPr>
              <w:t>305.792 – 307.625</w:t>
            </w:r>
          </w:p>
        </w:tc>
        <w:tc>
          <w:tcPr>
            <w:tcW w:w="1134" w:type="dxa"/>
          </w:tcPr>
          <w:p w14:paraId="3A3A558E" w14:textId="77777777" w:rsidR="005D6037" w:rsidRDefault="005D6037" w:rsidP="000052A3">
            <w:pPr>
              <w:widowControl/>
              <w:suppressAutoHyphens w:val="0"/>
              <w:overflowPunct/>
              <w:autoSpaceDE/>
              <w:autoSpaceDN/>
              <w:adjustRightInd/>
              <w:jc w:val="center"/>
              <w:textAlignment w:val="auto"/>
              <w:rPr>
                <w:szCs w:val="22"/>
              </w:rPr>
            </w:pPr>
            <w:r>
              <w:rPr>
                <w:szCs w:val="22"/>
              </w:rPr>
              <w:t>52°N</w:t>
            </w:r>
          </w:p>
        </w:tc>
        <w:tc>
          <w:tcPr>
            <w:tcW w:w="1134" w:type="dxa"/>
          </w:tcPr>
          <w:p w14:paraId="6AF0F263" w14:textId="77777777" w:rsidR="005D6037" w:rsidRDefault="005D6037" w:rsidP="000052A3">
            <w:pPr>
              <w:widowControl/>
              <w:suppressAutoHyphens w:val="0"/>
              <w:overflowPunct/>
              <w:autoSpaceDE/>
              <w:autoSpaceDN/>
              <w:adjustRightInd/>
              <w:jc w:val="center"/>
              <w:textAlignment w:val="auto"/>
              <w:rPr>
                <w:szCs w:val="22"/>
              </w:rPr>
            </w:pPr>
            <w:r>
              <w:rPr>
                <w:szCs w:val="22"/>
              </w:rPr>
              <w:t>50°W</w:t>
            </w:r>
          </w:p>
        </w:tc>
        <w:tc>
          <w:tcPr>
            <w:tcW w:w="1275" w:type="dxa"/>
          </w:tcPr>
          <w:p w14:paraId="388FBCF2" w14:textId="77777777" w:rsidR="005D6037" w:rsidRDefault="005D6037" w:rsidP="006571F3">
            <w:pPr>
              <w:widowControl/>
              <w:suppressAutoHyphens w:val="0"/>
              <w:overflowPunct/>
              <w:autoSpaceDE/>
              <w:autoSpaceDN/>
              <w:adjustRightInd/>
              <w:jc w:val="center"/>
              <w:textAlignment w:val="auto"/>
              <w:rPr>
                <w:szCs w:val="22"/>
              </w:rPr>
            </w:pPr>
          </w:p>
        </w:tc>
        <w:tc>
          <w:tcPr>
            <w:tcW w:w="851" w:type="dxa"/>
          </w:tcPr>
          <w:p w14:paraId="7D5068DA" w14:textId="77777777" w:rsidR="005D6037" w:rsidRDefault="005D6037" w:rsidP="006571F3">
            <w:pPr>
              <w:widowControl/>
              <w:suppressAutoHyphens w:val="0"/>
              <w:overflowPunct/>
              <w:autoSpaceDE/>
              <w:autoSpaceDN/>
              <w:adjustRightInd/>
              <w:jc w:val="center"/>
              <w:textAlignment w:val="auto"/>
              <w:rPr>
                <w:szCs w:val="22"/>
              </w:rPr>
            </w:pPr>
          </w:p>
        </w:tc>
        <w:tc>
          <w:tcPr>
            <w:tcW w:w="2410" w:type="dxa"/>
          </w:tcPr>
          <w:p w14:paraId="10D36457" w14:textId="77777777" w:rsidR="005D6037" w:rsidRDefault="005D6037" w:rsidP="006571F3">
            <w:pPr>
              <w:widowControl/>
              <w:suppressAutoHyphens w:val="0"/>
              <w:overflowPunct/>
              <w:autoSpaceDE/>
              <w:autoSpaceDN/>
              <w:adjustRightInd/>
              <w:jc w:val="center"/>
              <w:textAlignment w:val="auto"/>
              <w:rPr>
                <w:szCs w:val="22"/>
              </w:rPr>
            </w:pPr>
          </w:p>
        </w:tc>
      </w:tr>
      <w:tr w:rsidR="005D6037" w14:paraId="76268F3D" w14:textId="77777777" w:rsidTr="005D6037">
        <w:tc>
          <w:tcPr>
            <w:tcW w:w="959" w:type="dxa"/>
          </w:tcPr>
          <w:p w14:paraId="29E311AE" w14:textId="77777777" w:rsidR="005D6037" w:rsidRDefault="005D6037" w:rsidP="006571F3">
            <w:pPr>
              <w:widowControl/>
              <w:suppressAutoHyphens w:val="0"/>
              <w:overflowPunct/>
              <w:autoSpaceDE/>
              <w:autoSpaceDN/>
              <w:adjustRightInd/>
              <w:jc w:val="center"/>
              <w:textAlignment w:val="auto"/>
              <w:rPr>
                <w:szCs w:val="22"/>
              </w:rPr>
            </w:pPr>
            <w:r>
              <w:rPr>
                <w:szCs w:val="22"/>
              </w:rPr>
              <w:t>7</w:t>
            </w:r>
          </w:p>
        </w:tc>
        <w:tc>
          <w:tcPr>
            <w:tcW w:w="2126" w:type="dxa"/>
          </w:tcPr>
          <w:p w14:paraId="072A079F" w14:textId="77777777" w:rsidR="005D6037" w:rsidRDefault="005D6037" w:rsidP="006571F3">
            <w:pPr>
              <w:widowControl/>
              <w:suppressAutoHyphens w:val="0"/>
              <w:overflowPunct/>
              <w:autoSpaceDE/>
              <w:autoSpaceDN/>
              <w:adjustRightInd/>
              <w:jc w:val="center"/>
              <w:textAlignment w:val="auto"/>
              <w:rPr>
                <w:szCs w:val="22"/>
              </w:rPr>
            </w:pPr>
            <w:r>
              <w:rPr>
                <w:szCs w:val="22"/>
              </w:rPr>
              <w:t>2013/11/07 09:00</w:t>
            </w:r>
          </w:p>
        </w:tc>
        <w:tc>
          <w:tcPr>
            <w:tcW w:w="2126" w:type="dxa"/>
          </w:tcPr>
          <w:p w14:paraId="72731635" w14:textId="77777777" w:rsidR="005D6037" w:rsidRDefault="005D6037" w:rsidP="006571F3">
            <w:pPr>
              <w:widowControl/>
              <w:suppressAutoHyphens w:val="0"/>
              <w:overflowPunct/>
              <w:autoSpaceDE/>
              <w:autoSpaceDN/>
              <w:adjustRightInd/>
              <w:jc w:val="center"/>
              <w:textAlignment w:val="auto"/>
              <w:rPr>
                <w:szCs w:val="22"/>
              </w:rPr>
            </w:pPr>
            <w:r>
              <w:rPr>
                <w:szCs w:val="22"/>
              </w:rPr>
              <w:t>2013/11/12 12:00</w:t>
            </w:r>
          </w:p>
        </w:tc>
        <w:tc>
          <w:tcPr>
            <w:tcW w:w="2127" w:type="dxa"/>
          </w:tcPr>
          <w:p w14:paraId="4427D8FA" w14:textId="77777777" w:rsidR="005D6037" w:rsidRDefault="005D6037" w:rsidP="006571F3">
            <w:pPr>
              <w:widowControl/>
              <w:suppressAutoHyphens w:val="0"/>
              <w:overflowPunct/>
              <w:autoSpaceDE/>
              <w:autoSpaceDN/>
              <w:adjustRightInd/>
              <w:jc w:val="center"/>
              <w:textAlignment w:val="auto"/>
              <w:rPr>
                <w:szCs w:val="22"/>
              </w:rPr>
            </w:pPr>
            <w:r>
              <w:rPr>
                <w:szCs w:val="22"/>
              </w:rPr>
              <w:t>311.375 – 316.500</w:t>
            </w:r>
          </w:p>
        </w:tc>
        <w:tc>
          <w:tcPr>
            <w:tcW w:w="1134" w:type="dxa"/>
          </w:tcPr>
          <w:p w14:paraId="47BBD40C" w14:textId="77777777" w:rsidR="005D6037" w:rsidRDefault="005D6037" w:rsidP="000052A3">
            <w:pPr>
              <w:widowControl/>
              <w:suppressAutoHyphens w:val="0"/>
              <w:overflowPunct/>
              <w:autoSpaceDE/>
              <w:autoSpaceDN/>
              <w:adjustRightInd/>
              <w:jc w:val="center"/>
              <w:textAlignment w:val="auto"/>
              <w:rPr>
                <w:szCs w:val="22"/>
              </w:rPr>
            </w:pPr>
            <w:r>
              <w:rPr>
                <w:szCs w:val="22"/>
              </w:rPr>
              <w:t>41°N</w:t>
            </w:r>
          </w:p>
        </w:tc>
        <w:tc>
          <w:tcPr>
            <w:tcW w:w="1134" w:type="dxa"/>
          </w:tcPr>
          <w:p w14:paraId="0BC2B96A" w14:textId="77777777" w:rsidR="005D6037" w:rsidRDefault="005D6037" w:rsidP="000052A3">
            <w:pPr>
              <w:widowControl/>
              <w:suppressAutoHyphens w:val="0"/>
              <w:overflowPunct/>
              <w:autoSpaceDE/>
              <w:autoSpaceDN/>
              <w:adjustRightInd/>
              <w:jc w:val="center"/>
              <w:textAlignment w:val="auto"/>
              <w:rPr>
                <w:szCs w:val="22"/>
              </w:rPr>
            </w:pPr>
            <w:r>
              <w:rPr>
                <w:szCs w:val="22"/>
              </w:rPr>
              <w:t>64°W</w:t>
            </w:r>
          </w:p>
        </w:tc>
        <w:tc>
          <w:tcPr>
            <w:tcW w:w="1275" w:type="dxa"/>
          </w:tcPr>
          <w:p w14:paraId="484FBDF2" w14:textId="77777777" w:rsidR="005D6037" w:rsidRDefault="005D6037" w:rsidP="006571F3">
            <w:pPr>
              <w:widowControl/>
              <w:suppressAutoHyphens w:val="0"/>
              <w:overflowPunct/>
              <w:autoSpaceDE/>
              <w:autoSpaceDN/>
              <w:adjustRightInd/>
              <w:jc w:val="center"/>
              <w:textAlignment w:val="auto"/>
              <w:rPr>
                <w:szCs w:val="22"/>
              </w:rPr>
            </w:pPr>
          </w:p>
        </w:tc>
        <w:tc>
          <w:tcPr>
            <w:tcW w:w="851" w:type="dxa"/>
          </w:tcPr>
          <w:p w14:paraId="3636CDB9" w14:textId="77777777" w:rsidR="005D6037" w:rsidRDefault="005D6037" w:rsidP="006571F3">
            <w:pPr>
              <w:widowControl/>
              <w:suppressAutoHyphens w:val="0"/>
              <w:overflowPunct/>
              <w:autoSpaceDE/>
              <w:autoSpaceDN/>
              <w:adjustRightInd/>
              <w:jc w:val="center"/>
              <w:textAlignment w:val="auto"/>
              <w:rPr>
                <w:szCs w:val="22"/>
              </w:rPr>
            </w:pPr>
          </w:p>
        </w:tc>
        <w:tc>
          <w:tcPr>
            <w:tcW w:w="2410" w:type="dxa"/>
          </w:tcPr>
          <w:p w14:paraId="6F7EFFC1" w14:textId="77777777" w:rsidR="005D6037" w:rsidRDefault="005D6037" w:rsidP="006571F3">
            <w:pPr>
              <w:widowControl/>
              <w:suppressAutoHyphens w:val="0"/>
              <w:overflowPunct/>
              <w:autoSpaceDE/>
              <w:autoSpaceDN/>
              <w:adjustRightInd/>
              <w:jc w:val="center"/>
              <w:textAlignment w:val="auto"/>
              <w:rPr>
                <w:szCs w:val="22"/>
              </w:rPr>
            </w:pPr>
          </w:p>
        </w:tc>
      </w:tr>
      <w:tr w:rsidR="005D6037" w14:paraId="24771BCE" w14:textId="77777777" w:rsidTr="005D6037">
        <w:tc>
          <w:tcPr>
            <w:tcW w:w="959" w:type="dxa"/>
          </w:tcPr>
          <w:p w14:paraId="40520861" w14:textId="77777777" w:rsidR="005D6037" w:rsidRDefault="005D6037" w:rsidP="006571F3">
            <w:pPr>
              <w:widowControl/>
              <w:suppressAutoHyphens w:val="0"/>
              <w:overflowPunct/>
              <w:autoSpaceDE/>
              <w:autoSpaceDN/>
              <w:adjustRightInd/>
              <w:jc w:val="center"/>
              <w:textAlignment w:val="auto"/>
              <w:rPr>
                <w:szCs w:val="22"/>
              </w:rPr>
            </w:pPr>
          </w:p>
        </w:tc>
        <w:tc>
          <w:tcPr>
            <w:tcW w:w="2126" w:type="dxa"/>
          </w:tcPr>
          <w:p w14:paraId="26183666" w14:textId="77777777" w:rsidR="005D6037" w:rsidRDefault="005D6037" w:rsidP="006571F3">
            <w:pPr>
              <w:widowControl/>
              <w:suppressAutoHyphens w:val="0"/>
              <w:overflowPunct/>
              <w:autoSpaceDE/>
              <w:autoSpaceDN/>
              <w:adjustRightInd/>
              <w:jc w:val="center"/>
              <w:textAlignment w:val="auto"/>
              <w:rPr>
                <w:szCs w:val="22"/>
              </w:rPr>
            </w:pPr>
          </w:p>
        </w:tc>
        <w:tc>
          <w:tcPr>
            <w:tcW w:w="2126" w:type="dxa"/>
          </w:tcPr>
          <w:p w14:paraId="09EBB3A3" w14:textId="77777777" w:rsidR="005D6037" w:rsidRDefault="005D6037" w:rsidP="006571F3">
            <w:pPr>
              <w:widowControl/>
              <w:suppressAutoHyphens w:val="0"/>
              <w:overflowPunct/>
              <w:autoSpaceDE/>
              <w:autoSpaceDN/>
              <w:adjustRightInd/>
              <w:jc w:val="center"/>
              <w:textAlignment w:val="auto"/>
              <w:rPr>
                <w:szCs w:val="22"/>
              </w:rPr>
            </w:pPr>
          </w:p>
        </w:tc>
        <w:tc>
          <w:tcPr>
            <w:tcW w:w="2127" w:type="dxa"/>
          </w:tcPr>
          <w:p w14:paraId="325719C1" w14:textId="77777777" w:rsidR="005D6037" w:rsidRDefault="005D6037" w:rsidP="006571F3">
            <w:pPr>
              <w:widowControl/>
              <w:suppressAutoHyphens w:val="0"/>
              <w:overflowPunct/>
              <w:autoSpaceDE/>
              <w:autoSpaceDN/>
              <w:adjustRightInd/>
              <w:jc w:val="center"/>
              <w:textAlignment w:val="auto"/>
              <w:rPr>
                <w:szCs w:val="22"/>
              </w:rPr>
            </w:pPr>
          </w:p>
        </w:tc>
        <w:tc>
          <w:tcPr>
            <w:tcW w:w="1134" w:type="dxa"/>
          </w:tcPr>
          <w:p w14:paraId="5283DB07" w14:textId="77777777" w:rsidR="005D6037" w:rsidRDefault="005D6037" w:rsidP="006571F3">
            <w:pPr>
              <w:widowControl/>
              <w:suppressAutoHyphens w:val="0"/>
              <w:overflowPunct/>
              <w:autoSpaceDE/>
              <w:autoSpaceDN/>
              <w:adjustRightInd/>
              <w:jc w:val="center"/>
              <w:textAlignment w:val="auto"/>
              <w:rPr>
                <w:szCs w:val="22"/>
              </w:rPr>
            </w:pPr>
          </w:p>
        </w:tc>
        <w:tc>
          <w:tcPr>
            <w:tcW w:w="1134" w:type="dxa"/>
          </w:tcPr>
          <w:p w14:paraId="2776742F" w14:textId="77777777" w:rsidR="005D6037" w:rsidRDefault="005D6037" w:rsidP="006571F3">
            <w:pPr>
              <w:widowControl/>
              <w:suppressAutoHyphens w:val="0"/>
              <w:overflowPunct/>
              <w:autoSpaceDE/>
              <w:autoSpaceDN/>
              <w:adjustRightInd/>
              <w:jc w:val="center"/>
              <w:textAlignment w:val="auto"/>
              <w:rPr>
                <w:szCs w:val="22"/>
              </w:rPr>
            </w:pPr>
          </w:p>
        </w:tc>
        <w:tc>
          <w:tcPr>
            <w:tcW w:w="1275" w:type="dxa"/>
          </w:tcPr>
          <w:p w14:paraId="06540459" w14:textId="77777777" w:rsidR="005D6037" w:rsidRDefault="005D6037" w:rsidP="006571F3">
            <w:pPr>
              <w:widowControl/>
              <w:suppressAutoHyphens w:val="0"/>
              <w:overflowPunct/>
              <w:autoSpaceDE/>
              <w:autoSpaceDN/>
              <w:adjustRightInd/>
              <w:jc w:val="center"/>
              <w:textAlignment w:val="auto"/>
              <w:rPr>
                <w:szCs w:val="22"/>
              </w:rPr>
            </w:pPr>
          </w:p>
        </w:tc>
        <w:tc>
          <w:tcPr>
            <w:tcW w:w="851" w:type="dxa"/>
          </w:tcPr>
          <w:p w14:paraId="60377291" w14:textId="77777777" w:rsidR="005D6037" w:rsidRDefault="005D6037" w:rsidP="006571F3">
            <w:pPr>
              <w:widowControl/>
              <w:suppressAutoHyphens w:val="0"/>
              <w:overflowPunct/>
              <w:autoSpaceDE/>
              <w:autoSpaceDN/>
              <w:adjustRightInd/>
              <w:jc w:val="center"/>
              <w:textAlignment w:val="auto"/>
              <w:rPr>
                <w:szCs w:val="22"/>
              </w:rPr>
            </w:pPr>
          </w:p>
        </w:tc>
        <w:tc>
          <w:tcPr>
            <w:tcW w:w="2410" w:type="dxa"/>
          </w:tcPr>
          <w:p w14:paraId="4A331345" w14:textId="77777777" w:rsidR="005D6037" w:rsidRDefault="005D6037" w:rsidP="006571F3">
            <w:pPr>
              <w:widowControl/>
              <w:suppressAutoHyphens w:val="0"/>
              <w:overflowPunct/>
              <w:autoSpaceDE/>
              <w:autoSpaceDN/>
              <w:adjustRightInd/>
              <w:jc w:val="center"/>
              <w:textAlignment w:val="auto"/>
              <w:rPr>
                <w:szCs w:val="22"/>
              </w:rPr>
            </w:pPr>
          </w:p>
        </w:tc>
      </w:tr>
    </w:tbl>
    <w:p w14:paraId="08726A3B" w14:textId="77777777" w:rsidR="00DF76E8" w:rsidRDefault="00DF76E8" w:rsidP="00067EF1">
      <w:pPr>
        <w:widowControl/>
        <w:suppressAutoHyphens w:val="0"/>
        <w:overflowPunct/>
        <w:autoSpaceDE/>
        <w:autoSpaceDN/>
        <w:adjustRightInd/>
        <w:jc w:val="both"/>
        <w:textAlignment w:val="auto"/>
        <w:rPr>
          <w:szCs w:val="22"/>
        </w:rPr>
      </w:pPr>
    </w:p>
    <w:p w14:paraId="28621C59" w14:textId="77777777" w:rsidR="00BE5CA6" w:rsidRDefault="00BE5CA6" w:rsidP="00067EF1">
      <w:pPr>
        <w:widowControl/>
        <w:suppressAutoHyphens w:val="0"/>
        <w:overflowPunct/>
        <w:autoSpaceDE/>
        <w:autoSpaceDN/>
        <w:adjustRightInd/>
        <w:jc w:val="both"/>
        <w:textAlignment w:val="auto"/>
        <w:rPr>
          <w:szCs w:val="22"/>
        </w:rPr>
      </w:pPr>
    </w:p>
    <w:p w14:paraId="56E63DAD" w14:textId="77777777" w:rsidR="00DF76E8" w:rsidRDefault="00DF76E8" w:rsidP="00067EF1">
      <w:pPr>
        <w:widowControl/>
        <w:suppressAutoHyphens w:val="0"/>
        <w:overflowPunct/>
        <w:autoSpaceDE/>
        <w:autoSpaceDN/>
        <w:adjustRightInd/>
        <w:jc w:val="both"/>
        <w:textAlignment w:val="auto"/>
        <w:rPr>
          <w:szCs w:val="22"/>
        </w:rPr>
      </w:pPr>
    </w:p>
    <w:p w14:paraId="59D8EA4A" w14:textId="77777777" w:rsidR="00DF76E8" w:rsidRDefault="00DF76E8" w:rsidP="00067EF1">
      <w:pPr>
        <w:widowControl/>
        <w:suppressAutoHyphens w:val="0"/>
        <w:overflowPunct/>
        <w:autoSpaceDE/>
        <w:autoSpaceDN/>
        <w:adjustRightInd/>
        <w:jc w:val="both"/>
        <w:textAlignment w:val="auto"/>
        <w:rPr>
          <w:szCs w:val="22"/>
        </w:rPr>
      </w:pPr>
    </w:p>
    <w:p w14:paraId="71A10DEB" w14:textId="77777777" w:rsidR="00DF76E8" w:rsidRDefault="00DF76E8" w:rsidP="00067EF1">
      <w:pPr>
        <w:widowControl/>
        <w:suppressAutoHyphens w:val="0"/>
        <w:overflowPunct/>
        <w:autoSpaceDE/>
        <w:autoSpaceDN/>
        <w:adjustRightInd/>
        <w:jc w:val="both"/>
        <w:textAlignment w:val="auto"/>
        <w:sectPr w:rsidR="00DF76E8" w:rsidSect="007F39D8">
          <w:pgSz w:w="16838" w:h="11906" w:orient="landscape" w:code="9"/>
          <w:pgMar w:top="1440" w:right="1440" w:bottom="1440" w:left="1440" w:header="708" w:footer="708" w:gutter="0"/>
          <w:lnNumType w:countBy="1" w:restart="continuous"/>
          <w:cols w:space="708"/>
          <w:docGrid w:linePitch="360"/>
        </w:sectPr>
      </w:pPr>
    </w:p>
    <w:p w14:paraId="4A9FE5EF" w14:textId="77777777" w:rsidR="008C1872" w:rsidRPr="00720D1F" w:rsidRDefault="008C1872" w:rsidP="00067EF1">
      <w:pPr>
        <w:widowControl/>
        <w:suppressAutoHyphens w:val="0"/>
        <w:overflowPunct/>
        <w:autoSpaceDE/>
        <w:autoSpaceDN/>
        <w:adjustRightInd/>
        <w:jc w:val="both"/>
        <w:textAlignment w:val="auto"/>
      </w:pPr>
    </w:p>
    <w:p w14:paraId="7344DB83" w14:textId="77777777" w:rsidR="008C1872" w:rsidRPr="00720D1F" w:rsidRDefault="008C1872" w:rsidP="00CE742D">
      <w:pPr>
        <w:jc w:val="center"/>
      </w:pPr>
    </w:p>
    <w:p w14:paraId="33A61AB0" w14:textId="77777777" w:rsidR="001609E6" w:rsidRDefault="001609E6" w:rsidP="00CE742D">
      <w:pPr>
        <w:jc w:val="center"/>
      </w:pPr>
    </w:p>
    <w:p w14:paraId="065AB393" w14:textId="77777777" w:rsidR="008C1872" w:rsidRDefault="001609E6" w:rsidP="00CE742D">
      <w:pPr>
        <w:jc w:val="center"/>
      </w:pPr>
      <w:r>
        <w:rPr>
          <w:noProof/>
          <w:lang w:val="en-US"/>
        </w:rPr>
        <w:drawing>
          <wp:inline distT="0" distB="0" distL="0" distR="0" wp14:anchorId="29ECF72C" wp14:editId="02D32CFA">
            <wp:extent cx="4554855" cy="4684395"/>
            <wp:effectExtent l="19050" t="0" r="0" b="0"/>
            <wp:docPr id="1" name="Picture 1" descr="D:\papers\HiWinGS - wave field stats\figur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pers\HiWinGS - wave field stats\figures\map.png"/>
                    <pic:cNvPicPr>
                      <a:picLocks noChangeAspect="1" noChangeArrowheads="1"/>
                    </pic:cNvPicPr>
                  </pic:nvPicPr>
                  <pic:blipFill>
                    <a:blip r:embed="rId15" cstate="print"/>
                    <a:srcRect/>
                    <a:stretch>
                      <a:fillRect/>
                    </a:stretch>
                  </pic:blipFill>
                  <pic:spPr bwMode="auto">
                    <a:xfrm>
                      <a:off x="0" y="0"/>
                      <a:ext cx="4554855" cy="4684395"/>
                    </a:xfrm>
                    <a:prstGeom prst="rect">
                      <a:avLst/>
                    </a:prstGeom>
                    <a:noFill/>
                    <a:ln w="9525">
                      <a:noFill/>
                      <a:miter lim="800000"/>
                      <a:headEnd/>
                      <a:tailEnd/>
                    </a:ln>
                  </pic:spPr>
                </pic:pic>
              </a:graphicData>
            </a:graphic>
          </wp:inline>
        </w:drawing>
      </w:r>
    </w:p>
    <w:p w14:paraId="60A7B583" w14:textId="77777777" w:rsidR="00F22A49" w:rsidRPr="00720D1F" w:rsidRDefault="00F22A49" w:rsidP="00CE742D">
      <w:pPr>
        <w:jc w:val="center"/>
      </w:pPr>
    </w:p>
    <w:p w14:paraId="1CEB5BC0" w14:textId="77777777" w:rsidR="008C1872" w:rsidRDefault="008C1872" w:rsidP="00CE742D">
      <w:pPr>
        <w:jc w:val="center"/>
      </w:pPr>
      <w:r w:rsidRPr="00720D1F">
        <w:rPr>
          <w:b/>
        </w:rPr>
        <w:t>Figure 1</w:t>
      </w:r>
      <w:r w:rsidRPr="00720D1F">
        <w:t>.</w:t>
      </w:r>
      <w:r w:rsidR="001609E6">
        <w:t xml:space="preserve"> </w:t>
      </w:r>
      <w:proofErr w:type="spellStart"/>
      <w:r w:rsidR="00B00CE1">
        <w:t>HiWinGS</w:t>
      </w:r>
      <w:proofErr w:type="spellEnd"/>
      <w:r w:rsidR="00B00CE1">
        <w:t xml:space="preserve"> c</w:t>
      </w:r>
      <w:r w:rsidR="001609E6">
        <w:t>ruise track and</w:t>
      </w:r>
      <w:r w:rsidR="00B00CE1">
        <w:t xml:space="preserve"> the</w:t>
      </w:r>
      <w:r w:rsidR="001609E6">
        <w:t xml:space="preserve"> locations of primary measurement stations.</w:t>
      </w:r>
    </w:p>
    <w:p w14:paraId="0C2BA394" w14:textId="77777777" w:rsidR="00CE742D" w:rsidRDefault="00CE742D" w:rsidP="00CE742D">
      <w:pPr>
        <w:jc w:val="center"/>
      </w:pPr>
    </w:p>
    <w:p w14:paraId="012F1B8B" w14:textId="77777777" w:rsidR="004F3EA7" w:rsidRDefault="004F3EA7">
      <w:pPr>
        <w:widowControl/>
        <w:suppressAutoHyphens w:val="0"/>
        <w:overflowPunct/>
        <w:autoSpaceDE/>
        <w:autoSpaceDN/>
        <w:adjustRightInd/>
        <w:textAlignment w:val="auto"/>
      </w:pPr>
      <w:r>
        <w:br w:type="page"/>
      </w:r>
    </w:p>
    <w:p w14:paraId="07404E82" w14:textId="77777777" w:rsidR="00E37C52" w:rsidRDefault="00E37C52" w:rsidP="00E37C52">
      <w:pPr>
        <w:jc w:val="center"/>
      </w:pPr>
    </w:p>
    <w:p w14:paraId="49108EBE" w14:textId="77777777" w:rsidR="00E37C52" w:rsidRDefault="00E37C52" w:rsidP="00E37C52">
      <w:pPr>
        <w:jc w:val="center"/>
      </w:pPr>
      <w:r>
        <w:rPr>
          <w:noProof/>
          <w:lang w:val="en-US"/>
        </w:rPr>
        <w:drawing>
          <wp:inline distT="0" distB="0" distL="0" distR="0" wp14:anchorId="7A712C10" wp14:editId="62B45953">
            <wp:extent cx="5730959" cy="2954547"/>
            <wp:effectExtent l="19050" t="0" r="3091" b="0"/>
            <wp:docPr id="21" name="Picture 13" descr="D:\PROJECTS\HiWinGS\analysis\waves\WW3-WR\20131018\20131020_134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JECTS\HiWinGS\analysis\waves\WW3-WR\20131018\20131020_134500.png"/>
                    <pic:cNvPicPr>
                      <a:picLocks noChangeAspect="1" noChangeArrowheads="1"/>
                    </pic:cNvPicPr>
                  </pic:nvPicPr>
                  <pic:blipFill>
                    <a:blip r:embed="rId16" cstate="print"/>
                    <a:srcRect t="41136"/>
                    <a:stretch>
                      <a:fillRect/>
                    </a:stretch>
                  </pic:blipFill>
                  <pic:spPr bwMode="auto">
                    <a:xfrm>
                      <a:off x="0" y="0"/>
                      <a:ext cx="5730959" cy="2954547"/>
                    </a:xfrm>
                    <a:prstGeom prst="rect">
                      <a:avLst/>
                    </a:prstGeom>
                    <a:noFill/>
                    <a:ln w="9525">
                      <a:noFill/>
                      <a:miter lim="800000"/>
                      <a:headEnd/>
                      <a:tailEnd/>
                    </a:ln>
                  </pic:spPr>
                </pic:pic>
              </a:graphicData>
            </a:graphic>
          </wp:inline>
        </w:drawing>
      </w:r>
    </w:p>
    <w:p w14:paraId="1B40F93D" w14:textId="77777777" w:rsidR="00E37C52" w:rsidRDefault="00E37C52" w:rsidP="00E37C52">
      <w:pPr>
        <w:jc w:val="center"/>
      </w:pPr>
    </w:p>
    <w:p w14:paraId="26A64BAA" w14:textId="77777777" w:rsidR="00E37C52" w:rsidRDefault="00E37C52" w:rsidP="00E37C52">
      <w:pPr>
        <w:jc w:val="center"/>
      </w:pPr>
      <w:r>
        <w:rPr>
          <w:b/>
        </w:rPr>
        <w:t>Figure AA</w:t>
      </w:r>
      <w:r w:rsidRPr="00B41CD1">
        <w:rPr>
          <w:b/>
        </w:rPr>
        <w:t>2</w:t>
      </w:r>
      <w:r>
        <w:t xml:space="preserve">. Example directional wave spectra from the </w:t>
      </w:r>
      <w:proofErr w:type="spellStart"/>
      <w:r>
        <w:t>waverider</w:t>
      </w:r>
      <w:proofErr w:type="spellEnd"/>
      <w:r>
        <w:t xml:space="preserve"> and WAVEWATCH-III model for </w:t>
      </w:r>
      <w:proofErr w:type="spellStart"/>
      <w:r>
        <w:t>DoY</w:t>
      </w:r>
      <w:proofErr w:type="spellEnd"/>
      <w:r>
        <w:t xml:space="preserve"> = 293.573 (2013/10/20 13:45). The dashed red line indicates the wind direction for each; the grey shaded areas indicated the region in which spectral peaks are considered to be wind seas; red dots mark the peak of wind sea partition, black dots mark the peak of the swell partition.</w:t>
      </w:r>
    </w:p>
    <w:p w14:paraId="54B17C91" w14:textId="77777777" w:rsidR="00E37C52" w:rsidRDefault="00E37C52" w:rsidP="00E37C52">
      <w:pPr>
        <w:widowControl/>
        <w:suppressAutoHyphens w:val="0"/>
        <w:overflowPunct/>
        <w:autoSpaceDE/>
        <w:autoSpaceDN/>
        <w:adjustRightInd/>
        <w:textAlignment w:val="auto"/>
      </w:pPr>
      <w:r>
        <w:br w:type="page"/>
      </w:r>
    </w:p>
    <w:p w14:paraId="3804AF47" w14:textId="77777777" w:rsidR="00CE742D" w:rsidRDefault="00CE742D" w:rsidP="00CE742D">
      <w:pPr>
        <w:jc w:val="center"/>
      </w:pPr>
    </w:p>
    <w:p w14:paraId="26C50026" w14:textId="77777777" w:rsidR="004F3EA7" w:rsidRDefault="00D66C78" w:rsidP="00CE742D">
      <w:pPr>
        <w:jc w:val="center"/>
      </w:pPr>
      <w:r>
        <w:rPr>
          <w:noProof/>
          <w:lang w:val="en-US"/>
        </w:rPr>
        <w:drawing>
          <wp:inline distT="0" distB="0" distL="0" distR="0" wp14:anchorId="3BD3AB21" wp14:editId="4258F2FF">
            <wp:extent cx="5495290" cy="5486400"/>
            <wp:effectExtent l="19050" t="0" r="0" b="0"/>
            <wp:docPr id="6" name="Picture 6" descr="D:\PROJECTS\HiWinGS\analysis\waves\waves_paper\figure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S\HiWinGS\analysis\waves\waves_paper\figure_A.png"/>
                    <pic:cNvPicPr>
                      <a:picLocks noChangeAspect="1" noChangeArrowheads="1"/>
                    </pic:cNvPicPr>
                  </pic:nvPicPr>
                  <pic:blipFill>
                    <a:blip r:embed="rId17" cstate="print"/>
                    <a:srcRect/>
                    <a:stretch>
                      <a:fillRect/>
                    </a:stretch>
                  </pic:blipFill>
                  <pic:spPr bwMode="auto">
                    <a:xfrm>
                      <a:off x="0" y="0"/>
                      <a:ext cx="5495290" cy="5486400"/>
                    </a:xfrm>
                    <a:prstGeom prst="rect">
                      <a:avLst/>
                    </a:prstGeom>
                    <a:noFill/>
                    <a:ln w="9525">
                      <a:noFill/>
                      <a:miter lim="800000"/>
                      <a:headEnd/>
                      <a:tailEnd/>
                    </a:ln>
                  </pic:spPr>
                </pic:pic>
              </a:graphicData>
            </a:graphic>
          </wp:inline>
        </w:drawing>
      </w:r>
    </w:p>
    <w:p w14:paraId="6EA384F9" w14:textId="77777777" w:rsidR="004F3EA7" w:rsidRDefault="004F3EA7" w:rsidP="00CE742D">
      <w:pPr>
        <w:jc w:val="center"/>
      </w:pPr>
    </w:p>
    <w:p w14:paraId="12313620" w14:textId="77777777" w:rsidR="004F3EA7" w:rsidRDefault="004F3EA7" w:rsidP="00CE742D">
      <w:pPr>
        <w:jc w:val="center"/>
      </w:pPr>
      <w:r w:rsidRPr="004F3EA7">
        <w:rPr>
          <w:b/>
        </w:rPr>
        <w:t>Figure 2</w:t>
      </w:r>
      <w:r>
        <w:t xml:space="preserve">. 30-minute average wind and wave conditions: (a) 10-m wind speed, (b) wind direction, (c) significant wave height. In each case the observed values are in red, the value from the WAVEWATCH model in black. </w:t>
      </w:r>
      <w:r w:rsidR="00D66C78">
        <w:t xml:space="preserve">The </w:t>
      </w:r>
      <w:proofErr w:type="spellStart"/>
      <w:r w:rsidR="00D66C78">
        <w:t>gray</w:t>
      </w:r>
      <w:proofErr w:type="spellEnd"/>
      <w:r w:rsidR="00D66C78">
        <w:t xml:space="preserve"> patches indicate the nominal times of each station during which the ship was hove to and buoys deployed.</w:t>
      </w:r>
      <w:r w:rsidR="000D5EA5">
        <w:t xml:space="preserve"> </w:t>
      </w:r>
    </w:p>
    <w:p w14:paraId="04F6323C" w14:textId="77777777" w:rsidR="004F3EA7" w:rsidRDefault="004F3EA7">
      <w:pPr>
        <w:widowControl/>
        <w:suppressAutoHyphens w:val="0"/>
        <w:overflowPunct/>
        <w:autoSpaceDE/>
        <w:autoSpaceDN/>
        <w:adjustRightInd/>
        <w:textAlignment w:val="auto"/>
      </w:pPr>
      <w:r>
        <w:br w:type="page"/>
      </w:r>
    </w:p>
    <w:p w14:paraId="73F1DBA5" w14:textId="77777777" w:rsidR="004F3EA7" w:rsidRDefault="004F3EA7" w:rsidP="00CE742D">
      <w:pPr>
        <w:jc w:val="center"/>
      </w:pPr>
    </w:p>
    <w:p w14:paraId="20843D75" w14:textId="77777777" w:rsidR="004F3EA7" w:rsidRDefault="00E3076B" w:rsidP="00CE742D">
      <w:pPr>
        <w:jc w:val="center"/>
      </w:pPr>
      <w:r>
        <w:rPr>
          <w:noProof/>
          <w:lang w:val="en-US"/>
        </w:rPr>
        <w:drawing>
          <wp:inline distT="0" distB="0" distL="0" distR="0" wp14:anchorId="696EEA97" wp14:editId="5F2A8768">
            <wp:extent cx="5727700" cy="4295775"/>
            <wp:effectExtent l="19050" t="0" r="6350" b="0"/>
            <wp:docPr id="4" name="Picture 4" descr="D:\PROJECTS\HiWinGS\analysis\waves\waves_paper\Hs_1D_wr_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HiWinGS\analysis\waves\waves_paper\Hs_1D_wr_ww.png"/>
                    <pic:cNvPicPr>
                      <a:picLocks noChangeAspect="1" noChangeArrowheads="1"/>
                    </pic:cNvPicPr>
                  </pic:nvPicPr>
                  <pic:blipFill>
                    <a:blip r:embed="rId18" cstate="print"/>
                    <a:srcRect/>
                    <a:stretch>
                      <a:fillRect/>
                    </a:stretch>
                  </pic:blipFill>
                  <pic:spPr bwMode="auto">
                    <a:xfrm>
                      <a:off x="0" y="0"/>
                      <a:ext cx="5727700" cy="4295775"/>
                    </a:xfrm>
                    <a:prstGeom prst="rect">
                      <a:avLst/>
                    </a:prstGeom>
                    <a:noFill/>
                    <a:ln w="9525">
                      <a:noFill/>
                      <a:miter lim="800000"/>
                      <a:headEnd/>
                      <a:tailEnd/>
                    </a:ln>
                  </pic:spPr>
                </pic:pic>
              </a:graphicData>
            </a:graphic>
          </wp:inline>
        </w:drawing>
      </w:r>
    </w:p>
    <w:p w14:paraId="0C36765E" w14:textId="77777777" w:rsidR="00E3076B" w:rsidRDefault="00E3076B" w:rsidP="00CE742D">
      <w:pPr>
        <w:jc w:val="center"/>
      </w:pPr>
    </w:p>
    <w:p w14:paraId="2067A4DB" w14:textId="77777777" w:rsidR="004F3EA7" w:rsidRDefault="004F3EA7" w:rsidP="00CE742D">
      <w:pPr>
        <w:jc w:val="center"/>
      </w:pPr>
      <w:r w:rsidRPr="004F3EA7">
        <w:rPr>
          <w:b/>
        </w:rPr>
        <w:t xml:space="preserve">Figure </w:t>
      </w:r>
      <w:r w:rsidR="00C744DA">
        <w:rPr>
          <w:b/>
        </w:rPr>
        <w:t>AA</w:t>
      </w:r>
      <w:r>
        <w:t>.</w:t>
      </w:r>
      <w:r w:rsidR="00E3076B">
        <w:t xml:space="preserve"> Significant wave height, Hs (m), from WAVEWATCH-III and the </w:t>
      </w:r>
      <w:proofErr w:type="spellStart"/>
      <w:r w:rsidR="00E3076B">
        <w:t>waverider</w:t>
      </w:r>
      <w:proofErr w:type="spellEnd"/>
      <w:r w:rsidR="00E3076B">
        <w:t xml:space="preserve">. Points are partitioned by rising (red), falling (blue), and </w:t>
      </w:r>
      <w:commentRangeStart w:id="6"/>
      <w:r w:rsidR="00E3076B">
        <w:t xml:space="preserve">steady </w:t>
      </w:r>
      <w:commentRangeEnd w:id="6"/>
      <w:r w:rsidR="006F00D1">
        <w:rPr>
          <w:rStyle w:val="CommentReference"/>
          <w:rFonts w:ascii="Arial" w:hAnsi="Arial" w:cs="Arial"/>
        </w:rPr>
        <w:commentReference w:id="6"/>
      </w:r>
      <w:r w:rsidR="00E3076B">
        <w:t>(grey) winds. The black dashed line is the 1:1 line, and the grey dashed line the best fit to the entire data set.</w:t>
      </w:r>
    </w:p>
    <w:p w14:paraId="432C1B95" w14:textId="77777777" w:rsidR="00E3076B" w:rsidRDefault="00E3076B">
      <w:pPr>
        <w:widowControl/>
        <w:suppressAutoHyphens w:val="0"/>
        <w:overflowPunct/>
        <w:autoSpaceDE/>
        <w:autoSpaceDN/>
        <w:adjustRightInd/>
        <w:textAlignment w:val="auto"/>
      </w:pPr>
      <w:r>
        <w:br w:type="page"/>
      </w:r>
    </w:p>
    <w:p w14:paraId="0E2AFB8C" w14:textId="77777777" w:rsidR="00E3076B" w:rsidRDefault="00E3076B" w:rsidP="00CE742D">
      <w:pPr>
        <w:jc w:val="center"/>
      </w:pPr>
      <w:bookmarkStart w:id="7" w:name="_GoBack"/>
      <w:bookmarkEnd w:id="7"/>
    </w:p>
    <w:p w14:paraId="2200EA3A" w14:textId="77777777" w:rsidR="00E3076B" w:rsidRDefault="00C6378C" w:rsidP="00CE742D">
      <w:pPr>
        <w:jc w:val="center"/>
      </w:pPr>
      <w:r>
        <w:rPr>
          <w:noProof/>
          <w:lang w:val="en-US"/>
        </w:rPr>
        <w:drawing>
          <wp:inline distT="0" distB="0" distL="0" distR="0" wp14:anchorId="7D9997D7" wp14:editId="08630500">
            <wp:extent cx="5727700" cy="4295775"/>
            <wp:effectExtent l="19050" t="0" r="6350" b="0"/>
            <wp:docPr id="8" name="Picture 8" descr="D:\PROJECTS\HiWinGS\analysis\waves\waves_paper\m0_1D_wr_ww_lo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JECTS\HiWinGS\analysis\waves\waves_paper\m0_1D_wr_ww_loglog.png"/>
                    <pic:cNvPicPr>
                      <a:picLocks noChangeAspect="1" noChangeArrowheads="1"/>
                    </pic:cNvPicPr>
                  </pic:nvPicPr>
                  <pic:blipFill>
                    <a:blip r:embed="rId19" cstate="print"/>
                    <a:srcRect/>
                    <a:stretch>
                      <a:fillRect/>
                    </a:stretch>
                  </pic:blipFill>
                  <pic:spPr bwMode="auto">
                    <a:xfrm>
                      <a:off x="0" y="0"/>
                      <a:ext cx="5727700" cy="4295775"/>
                    </a:xfrm>
                    <a:prstGeom prst="rect">
                      <a:avLst/>
                    </a:prstGeom>
                    <a:noFill/>
                    <a:ln w="9525">
                      <a:noFill/>
                      <a:miter lim="800000"/>
                      <a:headEnd/>
                      <a:tailEnd/>
                    </a:ln>
                  </pic:spPr>
                </pic:pic>
              </a:graphicData>
            </a:graphic>
          </wp:inline>
        </w:drawing>
      </w:r>
    </w:p>
    <w:p w14:paraId="182667AC" w14:textId="77777777" w:rsidR="00E3076B" w:rsidRPr="00C6378C" w:rsidRDefault="00E3076B" w:rsidP="00CE742D">
      <w:pPr>
        <w:jc w:val="center"/>
      </w:pPr>
      <w:r w:rsidRPr="00E3076B">
        <w:rPr>
          <w:b/>
        </w:rPr>
        <w:t xml:space="preserve">Figure </w:t>
      </w:r>
      <w:r w:rsidR="00C744DA">
        <w:rPr>
          <w:b/>
        </w:rPr>
        <w:t>BB</w:t>
      </w:r>
      <w:r>
        <w:t xml:space="preserve">. As figure 3, but for the total spectral energy over the common frequency range of the </w:t>
      </w:r>
      <w:proofErr w:type="spellStart"/>
      <w:r>
        <w:t>waverider</w:t>
      </w:r>
      <w:proofErr w:type="spellEnd"/>
      <w:r>
        <w:t xml:space="preserve"> and wave model.</w:t>
      </w:r>
      <w:r w:rsidR="00C6378C">
        <w:t xml:space="preserve"> The grey dashed line is the linear best fit of log</w:t>
      </w:r>
      <w:r w:rsidR="00C6378C">
        <w:rPr>
          <w:vertAlign w:val="subscript"/>
        </w:rPr>
        <w:t>10</w:t>
      </w:r>
      <w:r w:rsidR="00C6378C">
        <w:t>(energy)</w:t>
      </w:r>
    </w:p>
    <w:p w14:paraId="1463F898" w14:textId="77777777" w:rsidR="00E3076B" w:rsidRDefault="00E3076B" w:rsidP="00CE742D">
      <w:pPr>
        <w:jc w:val="center"/>
      </w:pPr>
    </w:p>
    <w:p w14:paraId="5A44A128" w14:textId="77777777" w:rsidR="00E3076B" w:rsidRDefault="00E3076B">
      <w:pPr>
        <w:widowControl/>
        <w:suppressAutoHyphens w:val="0"/>
        <w:overflowPunct/>
        <w:autoSpaceDE/>
        <w:autoSpaceDN/>
        <w:adjustRightInd/>
        <w:textAlignment w:val="auto"/>
      </w:pPr>
      <w:r>
        <w:br w:type="page"/>
      </w:r>
    </w:p>
    <w:p w14:paraId="15E74F61" w14:textId="77777777" w:rsidR="00E3076B" w:rsidRDefault="00E3076B" w:rsidP="00CE742D">
      <w:pPr>
        <w:jc w:val="center"/>
      </w:pPr>
      <w:r>
        <w:rPr>
          <w:noProof/>
          <w:lang w:val="en-US"/>
        </w:rPr>
        <w:lastRenderedPageBreak/>
        <w:drawing>
          <wp:inline distT="0" distB="0" distL="0" distR="0" wp14:anchorId="59C38812" wp14:editId="3D4807C9">
            <wp:extent cx="5727700" cy="4295775"/>
            <wp:effectExtent l="19050" t="0" r="6350" b="0"/>
            <wp:docPr id="2" name="Picture 6" descr="D:\PROJECTS\HiWinGS\analysis\waves\waves_paper\Sp_1D_wr_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S\HiWinGS\analysis\waves\waves_paper\Sp_1D_wr_ww.png"/>
                    <pic:cNvPicPr>
                      <a:picLocks noChangeAspect="1" noChangeArrowheads="1"/>
                    </pic:cNvPicPr>
                  </pic:nvPicPr>
                  <pic:blipFill>
                    <a:blip r:embed="rId20" cstate="print"/>
                    <a:srcRect/>
                    <a:stretch>
                      <a:fillRect/>
                    </a:stretch>
                  </pic:blipFill>
                  <pic:spPr bwMode="auto">
                    <a:xfrm>
                      <a:off x="0" y="0"/>
                      <a:ext cx="5727700" cy="4295775"/>
                    </a:xfrm>
                    <a:prstGeom prst="rect">
                      <a:avLst/>
                    </a:prstGeom>
                    <a:noFill/>
                    <a:ln w="9525">
                      <a:noFill/>
                      <a:miter lim="800000"/>
                      <a:headEnd/>
                      <a:tailEnd/>
                    </a:ln>
                  </pic:spPr>
                </pic:pic>
              </a:graphicData>
            </a:graphic>
          </wp:inline>
        </w:drawing>
      </w:r>
    </w:p>
    <w:p w14:paraId="65DCF987" w14:textId="77777777" w:rsidR="00E3076B" w:rsidRDefault="00E3076B" w:rsidP="00CE742D">
      <w:pPr>
        <w:jc w:val="center"/>
      </w:pPr>
      <w:r w:rsidRPr="00E3076B">
        <w:rPr>
          <w:b/>
        </w:rPr>
        <w:t xml:space="preserve">Figure </w:t>
      </w:r>
      <w:r w:rsidR="00C744DA">
        <w:rPr>
          <w:b/>
        </w:rPr>
        <w:t>CC</w:t>
      </w:r>
      <w:r>
        <w:t>. As figure 3 but for the energy at the (1D) spectral peak. The grey dashed line is the linear best fit of log</w:t>
      </w:r>
      <w:r>
        <w:rPr>
          <w:vertAlign w:val="subscript"/>
        </w:rPr>
        <w:t>10</w:t>
      </w:r>
      <w:r>
        <w:t>(</w:t>
      </w:r>
      <w:proofErr w:type="spellStart"/>
      <w:r>
        <w:t>Sp</w:t>
      </w:r>
      <w:proofErr w:type="spellEnd"/>
      <w:r>
        <w:t>)</w:t>
      </w:r>
    </w:p>
    <w:p w14:paraId="695DA035" w14:textId="77777777" w:rsidR="00E3076B" w:rsidRDefault="00E3076B" w:rsidP="00CE742D">
      <w:pPr>
        <w:jc w:val="center"/>
      </w:pPr>
    </w:p>
    <w:p w14:paraId="47D80E3C" w14:textId="77777777" w:rsidR="00E3076B" w:rsidRDefault="00E3076B">
      <w:pPr>
        <w:widowControl/>
        <w:suppressAutoHyphens w:val="0"/>
        <w:overflowPunct/>
        <w:autoSpaceDE/>
        <w:autoSpaceDN/>
        <w:adjustRightInd/>
        <w:textAlignment w:val="auto"/>
      </w:pPr>
      <w:r>
        <w:br w:type="page"/>
      </w:r>
    </w:p>
    <w:p w14:paraId="46A6ECBD" w14:textId="77777777" w:rsidR="00E3076B" w:rsidRDefault="00E3076B" w:rsidP="00CE742D">
      <w:pPr>
        <w:jc w:val="center"/>
      </w:pPr>
      <w:r>
        <w:rPr>
          <w:noProof/>
          <w:lang w:val="en-US"/>
        </w:rPr>
        <w:lastRenderedPageBreak/>
        <w:drawing>
          <wp:inline distT="0" distB="0" distL="0" distR="0" wp14:anchorId="0F5F7D6B" wp14:editId="5D5B2BB7">
            <wp:extent cx="5727700" cy="4295775"/>
            <wp:effectExtent l="19050" t="0" r="6350" b="0"/>
            <wp:docPr id="3" name="Picture 7" descr="D:\PROJECTS\HiWinGS\analysis\waves\waves_paper\Tp_1D_wr_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S\HiWinGS\analysis\waves\waves_paper\Tp_1D_wr_ww.png"/>
                    <pic:cNvPicPr>
                      <a:picLocks noChangeAspect="1" noChangeArrowheads="1"/>
                    </pic:cNvPicPr>
                  </pic:nvPicPr>
                  <pic:blipFill>
                    <a:blip r:embed="rId21" cstate="print"/>
                    <a:srcRect/>
                    <a:stretch>
                      <a:fillRect/>
                    </a:stretch>
                  </pic:blipFill>
                  <pic:spPr bwMode="auto">
                    <a:xfrm>
                      <a:off x="0" y="0"/>
                      <a:ext cx="5727700" cy="4295775"/>
                    </a:xfrm>
                    <a:prstGeom prst="rect">
                      <a:avLst/>
                    </a:prstGeom>
                    <a:noFill/>
                    <a:ln w="9525">
                      <a:noFill/>
                      <a:miter lim="800000"/>
                      <a:headEnd/>
                      <a:tailEnd/>
                    </a:ln>
                  </pic:spPr>
                </pic:pic>
              </a:graphicData>
            </a:graphic>
          </wp:inline>
        </w:drawing>
      </w:r>
    </w:p>
    <w:p w14:paraId="0CD4D971" w14:textId="77777777" w:rsidR="00E3076B" w:rsidRDefault="00E3076B" w:rsidP="00CE742D">
      <w:pPr>
        <w:jc w:val="center"/>
        <w:rPr>
          <w:b/>
        </w:rPr>
      </w:pPr>
    </w:p>
    <w:p w14:paraId="5CA6822A" w14:textId="77777777" w:rsidR="00E3076B" w:rsidRDefault="00E3076B" w:rsidP="00CE742D">
      <w:pPr>
        <w:jc w:val="center"/>
      </w:pPr>
      <w:r w:rsidRPr="00E3076B">
        <w:rPr>
          <w:b/>
        </w:rPr>
        <w:t xml:space="preserve">Figure </w:t>
      </w:r>
      <w:r w:rsidR="006F00D1">
        <w:rPr>
          <w:rStyle w:val="CommentReference"/>
          <w:rFonts w:ascii="Arial" w:hAnsi="Arial" w:cs="Arial"/>
        </w:rPr>
        <w:commentReference w:id="8"/>
      </w:r>
      <w:r w:rsidR="00C744DA">
        <w:rPr>
          <w:b/>
        </w:rPr>
        <w:t>DD</w:t>
      </w:r>
      <w:r>
        <w:t>. As figure 3 but for the period of the spectral peak.</w:t>
      </w:r>
    </w:p>
    <w:p w14:paraId="7ADC7559" w14:textId="77777777" w:rsidR="00083059" w:rsidRDefault="00083059">
      <w:pPr>
        <w:widowControl/>
        <w:suppressAutoHyphens w:val="0"/>
        <w:overflowPunct/>
        <w:autoSpaceDE/>
        <w:autoSpaceDN/>
        <w:adjustRightInd/>
        <w:textAlignment w:val="auto"/>
      </w:pPr>
      <w:r>
        <w:br w:type="page"/>
      </w:r>
    </w:p>
    <w:p w14:paraId="768ECD57" w14:textId="77777777" w:rsidR="00083059" w:rsidRDefault="00AB7482" w:rsidP="00CE742D">
      <w:pPr>
        <w:jc w:val="center"/>
      </w:pPr>
      <w:r>
        <w:rPr>
          <w:noProof/>
          <w:lang w:val="en-US"/>
        </w:rPr>
        <w:lastRenderedPageBreak/>
        <w:drawing>
          <wp:inline distT="0" distB="0" distL="0" distR="0" wp14:anchorId="0DA8EE04" wp14:editId="24BFBD76">
            <wp:extent cx="3600000" cy="3600504"/>
            <wp:effectExtent l="19050" t="0" r="450" b="0"/>
            <wp:docPr id="9" name="Picture 9" descr="D:\PROJECTS\HiWinGS\analysis\waves\waves_paper\eg-1D-spectra-20131015_014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OJECTS\HiWinGS\analysis\waves\waves_paper\eg-1D-spectra-20131015_014500.png"/>
                    <pic:cNvPicPr>
                      <a:picLocks noChangeAspect="1" noChangeArrowheads="1"/>
                    </pic:cNvPicPr>
                  </pic:nvPicPr>
                  <pic:blipFill>
                    <a:blip r:embed="rId22" cstate="print"/>
                    <a:srcRect/>
                    <a:stretch>
                      <a:fillRect/>
                    </a:stretch>
                  </pic:blipFill>
                  <pic:spPr bwMode="auto">
                    <a:xfrm>
                      <a:off x="0" y="0"/>
                      <a:ext cx="3600000" cy="3600504"/>
                    </a:xfrm>
                    <a:prstGeom prst="rect">
                      <a:avLst/>
                    </a:prstGeom>
                    <a:noFill/>
                    <a:ln w="9525">
                      <a:noFill/>
                      <a:miter lim="800000"/>
                      <a:headEnd/>
                      <a:tailEnd/>
                    </a:ln>
                  </pic:spPr>
                </pic:pic>
              </a:graphicData>
            </a:graphic>
          </wp:inline>
        </w:drawing>
      </w:r>
    </w:p>
    <w:p w14:paraId="5F68861A" w14:textId="77777777" w:rsidR="00083059" w:rsidRDefault="00083059" w:rsidP="00CE742D">
      <w:pPr>
        <w:jc w:val="center"/>
      </w:pPr>
    </w:p>
    <w:p w14:paraId="47ED8B41" w14:textId="77777777" w:rsidR="00083059" w:rsidRDefault="00083059" w:rsidP="00CE742D">
      <w:pPr>
        <w:jc w:val="center"/>
      </w:pPr>
      <w:r w:rsidRPr="00083059">
        <w:rPr>
          <w:b/>
        </w:rPr>
        <w:t xml:space="preserve">Figure </w:t>
      </w:r>
      <w:r w:rsidR="00C744DA">
        <w:rPr>
          <w:b/>
        </w:rPr>
        <w:t>EE</w:t>
      </w:r>
      <w:r>
        <w:t>.</w:t>
      </w:r>
      <w:r w:rsidR="00AB7482">
        <w:t xml:space="preserve"> Example of typical 1-dimensional spectra close to the peak of the storm during station 3, at </w:t>
      </w:r>
      <w:proofErr w:type="spellStart"/>
      <w:r w:rsidR="00AB7482">
        <w:t>DoY</w:t>
      </w:r>
      <w:proofErr w:type="spellEnd"/>
      <w:r w:rsidR="00AB7482">
        <w:t xml:space="preserve"> = 288.0729 (2013/10/15 01:45). The solid vertical lines mark the frequencies of the spectral peaks; the dotted vertical line indicates the high frequency limit of the </w:t>
      </w:r>
      <w:proofErr w:type="spellStart"/>
      <w:r w:rsidR="00AB7482">
        <w:t>wverider</w:t>
      </w:r>
      <w:proofErr w:type="spellEnd"/>
      <w:r w:rsidR="00AB7482">
        <w:t xml:space="preserve">, at which the WW3 spectra are truncated before calculating wave statistics. </w:t>
      </w:r>
      <w:proofErr w:type="spellStart"/>
      <w:r w:rsidR="00AB7482">
        <w:t>Hs</w:t>
      </w:r>
      <w:r w:rsidR="00AB7482">
        <w:rPr>
          <w:vertAlign w:val="subscript"/>
        </w:rPr>
        <w:t>WW</w:t>
      </w:r>
      <w:proofErr w:type="spellEnd"/>
      <w:r w:rsidR="00AB7482">
        <w:t xml:space="preserve"> = 5.3 m, </w:t>
      </w:r>
      <w:proofErr w:type="spellStart"/>
      <w:r w:rsidR="00AB7482">
        <w:t>Hs</w:t>
      </w:r>
      <w:r w:rsidR="00AB7482">
        <w:rPr>
          <w:vertAlign w:val="subscript"/>
        </w:rPr>
        <w:t>WR</w:t>
      </w:r>
      <w:proofErr w:type="spellEnd"/>
      <w:r w:rsidR="00AB7482">
        <w:t xml:space="preserve"> = 6.4 m; </w:t>
      </w:r>
      <w:proofErr w:type="spellStart"/>
      <w:r w:rsidR="00AB7482">
        <w:t>Tp</w:t>
      </w:r>
      <w:r w:rsidR="00AB7482">
        <w:rPr>
          <w:vertAlign w:val="subscript"/>
        </w:rPr>
        <w:t>WW</w:t>
      </w:r>
      <w:proofErr w:type="spellEnd"/>
      <w:r w:rsidR="00AB7482">
        <w:t xml:space="preserve"> = 9.4 s, </w:t>
      </w:r>
      <w:proofErr w:type="spellStart"/>
      <w:r w:rsidR="00AB7482">
        <w:t>Tp</w:t>
      </w:r>
      <w:r w:rsidR="00AB7482">
        <w:rPr>
          <w:vertAlign w:val="subscript"/>
        </w:rPr>
        <w:t>WR</w:t>
      </w:r>
      <w:proofErr w:type="spellEnd"/>
      <w:r w:rsidR="00AB7482" w:rsidRPr="00AB7482">
        <w:t xml:space="preserve"> =</w:t>
      </w:r>
      <w:r w:rsidR="00AB7482">
        <w:t xml:space="preserve"> 12.5 s; </w:t>
      </w:r>
      <w:proofErr w:type="spellStart"/>
      <w:r w:rsidR="00AB7482">
        <w:t>Sp</w:t>
      </w:r>
      <w:r w:rsidR="00AB7482">
        <w:rPr>
          <w:vertAlign w:val="subscript"/>
        </w:rPr>
        <w:t>WW</w:t>
      </w:r>
      <w:proofErr w:type="spellEnd"/>
      <w:r w:rsidR="00AB7482">
        <w:t xml:space="preserve"> = 37.0 m</w:t>
      </w:r>
      <w:r w:rsidR="00AB7482" w:rsidRPr="00AB7482">
        <w:rPr>
          <w:vertAlign w:val="superscript"/>
        </w:rPr>
        <w:t>2</w:t>
      </w:r>
      <w:r w:rsidR="00AB7482">
        <w:t xml:space="preserve"> s, </w:t>
      </w:r>
      <w:proofErr w:type="spellStart"/>
      <w:r w:rsidR="00AB7482">
        <w:t>Sp</w:t>
      </w:r>
      <w:r w:rsidR="00AB7482">
        <w:rPr>
          <w:vertAlign w:val="subscript"/>
        </w:rPr>
        <w:t>WR</w:t>
      </w:r>
      <w:proofErr w:type="spellEnd"/>
      <w:r w:rsidR="00AB7482">
        <w:t xml:space="preserve"> = 71.6 m</w:t>
      </w:r>
      <w:r w:rsidR="00AB7482">
        <w:rPr>
          <w:vertAlign w:val="superscript"/>
        </w:rPr>
        <w:t>2</w:t>
      </w:r>
      <w:r w:rsidR="00AB7482">
        <w:t xml:space="preserve"> s.</w:t>
      </w:r>
    </w:p>
    <w:p w14:paraId="7F042775" w14:textId="77777777" w:rsidR="008D5942" w:rsidRDefault="008D5942" w:rsidP="00CE742D">
      <w:pPr>
        <w:jc w:val="center"/>
      </w:pPr>
    </w:p>
    <w:p w14:paraId="5D6AB474" w14:textId="77777777" w:rsidR="008D5942" w:rsidRDefault="008D5942">
      <w:pPr>
        <w:widowControl/>
        <w:suppressAutoHyphens w:val="0"/>
        <w:overflowPunct/>
        <w:autoSpaceDE/>
        <w:autoSpaceDN/>
        <w:adjustRightInd/>
        <w:textAlignment w:val="auto"/>
      </w:pPr>
      <w:r>
        <w:br w:type="page"/>
      </w:r>
    </w:p>
    <w:p w14:paraId="6199B735" w14:textId="77777777" w:rsidR="00B41CD1" w:rsidRDefault="00B41CD1" w:rsidP="00CE742D">
      <w:pPr>
        <w:jc w:val="center"/>
      </w:pPr>
    </w:p>
    <w:p w14:paraId="611649C3" w14:textId="77777777" w:rsidR="008D5942" w:rsidRDefault="008D5942" w:rsidP="00CE742D">
      <w:pPr>
        <w:jc w:val="center"/>
      </w:pPr>
      <w:r>
        <w:rPr>
          <w:noProof/>
          <w:lang w:val="en-US"/>
        </w:rPr>
        <w:drawing>
          <wp:inline distT="0" distB="0" distL="0" distR="0" wp14:anchorId="6AD41F92" wp14:editId="66CC1DB8">
            <wp:extent cx="5727700" cy="4295775"/>
            <wp:effectExtent l="19050" t="0" r="6350" b="0"/>
            <wp:docPr id="10" name="Picture 10" descr="D:\PROJECTS\HiWinGS\analysis\waves\waves_paper\windsea_and_swell_Hs_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JECTS\HiWinGS\analysis\waves\waves_paper\windsea_and_swell_Hs_timeseries.png"/>
                    <pic:cNvPicPr>
                      <a:picLocks noChangeAspect="1" noChangeArrowheads="1"/>
                    </pic:cNvPicPr>
                  </pic:nvPicPr>
                  <pic:blipFill>
                    <a:blip r:embed="rId23" cstate="print"/>
                    <a:srcRect/>
                    <a:stretch>
                      <a:fillRect/>
                    </a:stretch>
                  </pic:blipFill>
                  <pic:spPr bwMode="auto">
                    <a:xfrm>
                      <a:off x="0" y="0"/>
                      <a:ext cx="5727700" cy="4295775"/>
                    </a:xfrm>
                    <a:prstGeom prst="rect">
                      <a:avLst/>
                    </a:prstGeom>
                    <a:noFill/>
                    <a:ln w="9525">
                      <a:noFill/>
                      <a:miter lim="800000"/>
                      <a:headEnd/>
                      <a:tailEnd/>
                    </a:ln>
                  </pic:spPr>
                </pic:pic>
              </a:graphicData>
            </a:graphic>
          </wp:inline>
        </w:drawing>
      </w:r>
    </w:p>
    <w:p w14:paraId="2F18B20E" w14:textId="77777777" w:rsidR="008D5942" w:rsidRPr="00AB7482" w:rsidRDefault="008D5942" w:rsidP="00CE742D">
      <w:pPr>
        <w:jc w:val="center"/>
      </w:pPr>
      <w:r w:rsidRPr="008D5942">
        <w:rPr>
          <w:b/>
        </w:rPr>
        <w:t>Figure FF</w:t>
      </w:r>
      <w:r>
        <w:t>. Time series of the significant wave height for the (a) wind</w:t>
      </w:r>
      <w:r w:rsidR="00E3067A">
        <w:t xml:space="preserve"> </w:t>
      </w:r>
      <w:r>
        <w:t xml:space="preserve">sea, and (b) swell partitions of the directional wave spectra for the </w:t>
      </w:r>
      <w:proofErr w:type="spellStart"/>
      <w:r>
        <w:t>waverider</w:t>
      </w:r>
      <w:proofErr w:type="spellEnd"/>
      <w:r>
        <w:t xml:space="preserve"> and WW3. Grey patches indicate the nominal station times during which the </w:t>
      </w:r>
      <w:proofErr w:type="spellStart"/>
      <w:r>
        <w:t>waverider</w:t>
      </w:r>
      <w:proofErr w:type="spellEnd"/>
      <w:r>
        <w:t xml:space="preserve"> was deployed.</w:t>
      </w:r>
    </w:p>
    <w:p w14:paraId="6173925C" w14:textId="77777777" w:rsidR="00E3076B" w:rsidRDefault="00E3076B" w:rsidP="00CE742D">
      <w:pPr>
        <w:jc w:val="center"/>
      </w:pPr>
    </w:p>
    <w:p w14:paraId="29C2B402" w14:textId="77777777" w:rsidR="00E3067A" w:rsidRDefault="00E3067A">
      <w:pPr>
        <w:widowControl/>
        <w:suppressAutoHyphens w:val="0"/>
        <w:overflowPunct/>
        <w:autoSpaceDE/>
        <w:autoSpaceDN/>
        <w:adjustRightInd/>
        <w:textAlignment w:val="auto"/>
      </w:pPr>
      <w:r>
        <w:br w:type="page"/>
      </w:r>
    </w:p>
    <w:p w14:paraId="2D806960" w14:textId="77777777" w:rsidR="00E3067A" w:rsidRDefault="00E3067A" w:rsidP="00CE742D">
      <w:pPr>
        <w:jc w:val="center"/>
      </w:pPr>
    </w:p>
    <w:p w14:paraId="325747A4" w14:textId="77777777" w:rsidR="00E3067A" w:rsidRDefault="00E3067A" w:rsidP="00CE742D">
      <w:pPr>
        <w:jc w:val="center"/>
      </w:pPr>
      <w:r>
        <w:rPr>
          <w:noProof/>
          <w:lang w:val="en-US"/>
        </w:rPr>
        <w:drawing>
          <wp:inline distT="0" distB="0" distL="0" distR="0" wp14:anchorId="3F9D1B72" wp14:editId="0932CB12">
            <wp:extent cx="2700000" cy="2026446"/>
            <wp:effectExtent l="19050" t="0" r="5100" b="0"/>
            <wp:docPr id="5" name="Picture 4" descr="D:\PROJECTS\HiWinGS\analysis\waves\waves_paper\Hs_windsea_WW_vs_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HiWinGS\analysis\waves\waves_paper\Hs_windsea_WW_vs_WR.png"/>
                    <pic:cNvPicPr>
                      <a:picLocks noChangeAspect="1" noChangeArrowheads="1"/>
                    </pic:cNvPicPr>
                  </pic:nvPicPr>
                  <pic:blipFill>
                    <a:blip r:embed="rId24" cstate="print"/>
                    <a:srcRect/>
                    <a:stretch>
                      <a:fillRect/>
                    </a:stretch>
                  </pic:blipFill>
                  <pic:spPr bwMode="auto">
                    <a:xfrm>
                      <a:off x="0" y="0"/>
                      <a:ext cx="2700000" cy="2026446"/>
                    </a:xfrm>
                    <a:prstGeom prst="rect">
                      <a:avLst/>
                    </a:prstGeom>
                    <a:noFill/>
                    <a:ln w="9525">
                      <a:noFill/>
                      <a:miter lim="800000"/>
                      <a:headEnd/>
                      <a:tailEnd/>
                    </a:ln>
                  </pic:spPr>
                </pic:pic>
              </a:graphicData>
            </a:graphic>
          </wp:inline>
        </w:drawing>
      </w:r>
      <w:r>
        <w:rPr>
          <w:noProof/>
          <w:lang w:val="en-US"/>
        </w:rPr>
        <w:drawing>
          <wp:inline distT="0" distB="0" distL="0" distR="0" wp14:anchorId="7CA51F2B" wp14:editId="65A9A636">
            <wp:extent cx="2700000" cy="2026446"/>
            <wp:effectExtent l="19050" t="0" r="5100" b="0"/>
            <wp:docPr id="7" name="Picture 5" descr="D:\PROJECTS\HiWinGS\analysis\waves\waves_paper\Hs_swell_WW_vs_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S\HiWinGS\analysis\waves\waves_paper\Hs_swell_WW_vs_WR.png"/>
                    <pic:cNvPicPr>
                      <a:picLocks noChangeAspect="1" noChangeArrowheads="1"/>
                    </pic:cNvPicPr>
                  </pic:nvPicPr>
                  <pic:blipFill>
                    <a:blip r:embed="rId25" cstate="print"/>
                    <a:srcRect/>
                    <a:stretch>
                      <a:fillRect/>
                    </a:stretch>
                  </pic:blipFill>
                  <pic:spPr bwMode="auto">
                    <a:xfrm>
                      <a:off x="0" y="0"/>
                      <a:ext cx="2700000" cy="2026446"/>
                    </a:xfrm>
                    <a:prstGeom prst="rect">
                      <a:avLst/>
                    </a:prstGeom>
                    <a:noFill/>
                    <a:ln w="9525">
                      <a:noFill/>
                      <a:miter lim="800000"/>
                      <a:headEnd/>
                      <a:tailEnd/>
                    </a:ln>
                  </pic:spPr>
                </pic:pic>
              </a:graphicData>
            </a:graphic>
          </wp:inline>
        </w:drawing>
      </w:r>
    </w:p>
    <w:p w14:paraId="59642828" w14:textId="77777777" w:rsidR="00E3067A" w:rsidRDefault="00E3067A" w:rsidP="00CE742D">
      <w:pPr>
        <w:jc w:val="center"/>
      </w:pPr>
    </w:p>
    <w:p w14:paraId="72656E9B" w14:textId="77777777" w:rsidR="00E3067A" w:rsidRDefault="00E3067A" w:rsidP="00CE742D">
      <w:pPr>
        <w:jc w:val="center"/>
      </w:pPr>
      <w:r w:rsidRPr="00E3067A">
        <w:rPr>
          <w:b/>
        </w:rPr>
        <w:t>Figure GG</w:t>
      </w:r>
      <w:r>
        <w:t xml:space="preserve">. The significant wave height from (a) </w:t>
      </w:r>
      <w:proofErr w:type="spellStart"/>
      <w:r>
        <w:t>windsea</w:t>
      </w:r>
      <w:proofErr w:type="spellEnd"/>
      <w:r>
        <w:t xml:space="preserve"> and (b) swell wave partitions for times when they are identified in both the </w:t>
      </w:r>
      <w:proofErr w:type="spellStart"/>
      <w:r>
        <w:t>waverider</w:t>
      </w:r>
      <w:proofErr w:type="spellEnd"/>
      <w:r>
        <w:t xml:space="preserve"> and WW3 spectra. The grey dashed line is the best fit to all the points.</w:t>
      </w:r>
    </w:p>
    <w:p w14:paraId="3851159D" w14:textId="77777777" w:rsidR="00E3067A" w:rsidRDefault="00E3067A" w:rsidP="00CE742D">
      <w:pPr>
        <w:jc w:val="center"/>
      </w:pPr>
    </w:p>
    <w:p w14:paraId="19B6F1B1" w14:textId="77777777" w:rsidR="00E3067A" w:rsidRDefault="00E3067A">
      <w:pPr>
        <w:widowControl/>
        <w:suppressAutoHyphens w:val="0"/>
        <w:overflowPunct/>
        <w:autoSpaceDE/>
        <w:autoSpaceDN/>
        <w:adjustRightInd/>
        <w:textAlignment w:val="auto"/>
      </w:pPr>
      <w:r>
        <w:br w:type="page"/>
      </w:r>
    </w:p>
    <w:p w14:paraId="1A62DBFC" w14:textId="77777777" w:rsidR="00E3067A" w:rsidRDefault="00E3067A" w:rsidP="00CE742D">
      <w:pPr>
        <w:jc w:val="center"/>
      </w:pPr>
    </w:p>
    <w:p w14:paraId="5D9E0D5D" w14:textId="77777777" w:rsidR="00E3067A" w:rsidRDefault="00E3067A" w:rsidP="00CE742D">
      <w:pPr>
        <w:jc w:val="center"/>
      </w:pPr>
      <w:r>
        <w:rPr>
          <w:noProof/>
          <w:lang w:val="en-US"/>
        </w:rPr>
        <w:drawing>
          <wp:inline distT="0" distB="0" distL="0" distR="0" wp14:anchorId="385A4D8B" wp14:editId="7B5DA4DC">
            <wp:extent cx="2700000" cy="2026446"/>
            <wp:effectExtent l="19050" t="0" r="5100" b="0"/>
            <wp:docPr id="11" name="Picture 6" descr="D:\PROJECTS\HiWinGS\analysis\waves\waves_paper\Sp_windsea_WW_vs_WR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S\HiWinGS\analysis\waves\waves_paper\Sp_windsea_WW_vs_WR_log.png"/>
                    <pic:cNvPicPr>
                      <a:picLocks noChangeAspect="1" noChangeArrowheads="1"/>
                    </pic:cNvPicPr>
                  </pic:nvPicPr>
                  <pic:blipFill>
                    <a:blip r:embed="rId26" cstate="print"/>
                    <a:srcRect/>
                    <a:stretch>
                      <a:fillRect/>
                    </a:stretch>
                  </pic:blipFill>
                  <pic:spPr bwMode="auto">
                    <a:xfrm>
                      <a:off x="0" y="0"/>
                      <a:ext cx="2700000" cy="2026446"/>
                    </a:xfrm>
                    <a:prstGeom prst="rect">
                      <a:avLst/>
                    </a:prstGeom>
                    <a:noFill/>
                    <a:ln w="9525">
                      <a:noFill/>
                      <a:miter lim="800000"/>
                      <a:headEnd/>
                      <a:tailEnd/>
                    </a:ln>
                  </pic:spPr>
                </pic:pic>
              </a:graphicData>
            </a:graphic>
          </wp:inline>
        </w:drawing>
      </w:r>
      <w:r>
        <w:rPr>
          <w:noProof/>
          <w:lang w:val="en-US"/>
        </w:rPr>
        <w:drawing>
          <wp:inline distT="0" distB="0" distL="0" distR="0" wp14:anchorId="528A842E" wp14:editId="26FDC715">
            <wp:extent cx="2700000" cy="2026446"/>
            <wp:effectExtent l="19050" t="0" r="5100" b="0"/>
            <wp:docPr id="12" name="Picture 7" descr="D:\PROJECTS\HiWinGS\analysis\waves\waves_paper\Sp_swell_WW_vs_WR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S\HiWinGS\analysis\waves\waves_paper\Sp_swell_WW_vs_WR_log.png"/>
                    <pic:cNvPicPr>
                      <a:picLocks noChangeAspect="1" noChangeArrowheads="1"/>
                    </pic:cNvPicPr>
                  </pic:nvPicPr>
                  <pic:blipFill>
                    <a:blip r:embed="rId27" cstate="print"/>
                    <a:srcRect/>
                    <a:stretch>
                      <a:fillRect/>
                    </a:stretch>
                  </pic:blipFill>
                  <pic:spPr bwMode="auto">
                    <a:xfrm>
                      <a:off x="0" y="0"/>
                      <a:ext cx="2700000" cy="2026446"/>
                    </a:xfrm>
                    <a:prstGeom prst="rect">
                      <a:avLst/>
                    </a:prstGeom>
                    <a:noFill/>
                    <a:ln w="9525">
                      <a:noFill/>
                      <a:miter lim="800000"/>
                      <a:headEnd/>
                      <a:tailEnd/>
                    </a:ln>
                  </pic:spPr>
                </pic:pic>
              </a:graphicData>
            </a:graphic>
          </wp:inline>
        </w:drawing>
      </w:r>
    </w:p>
    <w:p w14:paraId="1373992E" w14:textId="77777777" w:rsidR="00E3067A" w:rsidRDefault="00E3067A" w:rsidP="00CE742D">
      <w:pPr>
        <w:jc w:val="center"/>
      </w:pPr>
    </w:p>
    <w:p w14:paraId="54C83EDE" w14:textId="77777777" w:rsidR="00E3067A" w:rsidRDefault="00E3067A" w:rsidP="00CE742D">
      <w:pPr>
        <w:jc w:val="center"/>
      </w:pPr>
      <w:r w:rsidRPr="00E3067A">
        <w:rPr>
          <w:b/>
        </w:rPr>
        <w:t>FIGURE HH</w:t>
      </w:r>
      <w:r>
        <w:t xml:space="preserve">.  </w:t>
      </w:r>
      <w:r w:rsidR="006C1C8A">
        <w:t>Energy density at the spectral peak of (a) wind sea and (b) swell wave partitions.</w:t>
      </w:r>
    </w:p>
    <w:p w14:paraId="2120BD97" w14:textId="77777777" w:rsidR="006C1C8A" w:rsidRDefault="006C1C8A" w:rsidP="00CE742D">
      <w:pPr>
        <w:jc w:val="center"/>
      </w:pPr>
    </w:p>
    <w:p w14:paraId="001615C3" w14:textId="77777777" w:rsidR="006C1C8A" w:rsidRDefault="006C1C8A" w:rsidP="00CE742D">
      <w:pPr>
        <w:jc w:val="center"/>
      </w:pPr>
    </w:p>
    <w:p w14:paraId="6A4D8D63" w14:textId="77777777" w:rsidR="006C1C8A" w:rsidRDefault="006C1C8A" w:rsidP="00CE742D">
      <w:pPr>
        <w:jc w:val="center"/>
      </w:pPr>
    </w:p>
    <w:p w14:paraId="3C360DF8" w14:textId="77777777" w:rsidR="006C1C8A" w:rsidRDefault="006C1C8A" w:rsidP="00CE742D">
      <w:pPr>
        <w:jc w:val="center"/>
      </w:pPr>
      <w:r>
        <w:rPr>
          <w:noProof/>
          <w:lang w:val="en-US"/>
        </w:rPr>
        <w:drawing>
          <wp:inline distT="0" distB="0" distL="0" distR="0" wp14:anchorId="70CB3975" wp14:editId="3F682C9F">
            <wp:extent cx="2700000" cy="2024831"/>
            <wp:effectExtent l="19050" t="0" r="5100" b="0"/>
            <wp:docPr id="14" name="Picture 8" descr="D:\PROJECTS\HiWinGS\analysis\waves\waves_paper\Tp_windsea_WW_vs_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JECTS\HiWinGS\analysis\waves\waves_paper\Tp_windsea_WW_vs_WR.png"/>
                    <pic:cNvPicPr>
                      <a:picLocks noChangeAspect="1" noChangeArrowheads="1"/>
                    </pic:cNvPicPr>
                  </pic:nvPicPr>
                  <pic:blipFill>
                    <a:blip r:embed="rId28" cstate="print"/>
                    <a:srcRect/>
                    <a:stretch>
                      <a:fillRect/>
                    </a:stretch>
                  </pic:blipFill>
                  <pic:spPr bwMode="auto">
                    <a:xfrm>
                      <a:off x="0" y="0"/>
                      <a:ext cx="2700000" cy="2024831"/>
                    </a:xfrm>
                    <a:prstGeom prst="rect">
                      <a:avLst/>
                    </a:prstGeom>
                    <a:noFill/>
                    <a:ln w="9525">
                      <a:noFill/>
                      <a:miter lim="800000"/>
                      <a:headEnd/>
                      <a:tailEnd/>
                    </a:ln>
                  </pic:spPr>
                </pic:pic>
              </a:graphicData>
            </a:graphic>
          </wp:inline>
        </w:drawing>
      </w:r>
      <w:r>
        <w:rPr>
          <w:noProof/>
          <w:lang w:val="en-US"/>
        </w:rPr>
        <w:drawing>
          <wp:inline distT="0" distB="0" distL="0" distR="0" wp14:anchorId="1A84B7FD" wp14:editId="709331C9">
            <wp:extent cx="2700000" cy="2024831"/>
            <wp:effectExtent l="19050" t="0" r="5100" b="0"/>
            <wp:docPr id="15" name="Picture 9" descr="D:\PROJECTS\HiWinGS\analysis\waves\waves_paper\Tp_swell_WW_vs_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OJECTS\HiWinGS\analysis\waves\waves_paper\Tp_swell_WW_vs_WR.png"/>
                    <pic:cNvPicPr>
                      <a:picLocks noChangeAspect="1" noChangeArrowheads="1"/>
                    </pic:cNvPicPr>
                  </pic:nvPicPr>
                  <pic:blipFill>
                    <a:blip r:embed="rId29" cstate="print"/>
                    <a:srcRect/>
                    <a:stretch>
                      <a:fillRect/>
                    </a:stretch>
                  </pic:blipFill>
                  <pic:spPr bwMode="auto">
                    <a:xfrm>
                      <a:off x="0" y="0"/>
                      <a:ext cx="2700000" cy="2024831"/>
                    </a:xfrm>
                    <a:prstGeom prst="rect">
                      <a:avLst/>
                    </a:prstGeom>
                    <a:noFill/>
                    <a:ln w="9525">
                      <a:noFill/>
                      <a:miter lim="800000"/>
                      <a:headEnd/>
                      <a:tailEnd/>
                    </a:ln>
                  </pic:spPr>
                </pic:pic>
              </a:graphicData>
            </a:graphic>
          </wp:inline>
        </w:drawing>
      </w:r>
    </w:p>
    <w:p w14:paraId="00C2C601" w14:textId="77777777" w:rsidR="006C1C8A" w:rsidRDefault="006C1C8A" w:rsidP="00CE742D">
      <w:pPr>
        <w:jc w:val="center"/>
      </w:pPr>
    </w:p>
    <w:p w14:paraId="4B32BED9" w14:textId="77777777" w:rsidR="006C1C8A" w:rsidRDefault="006C1C8A" w:rsidP="00CE742D">
      <w:pPr>
        <w:jc w:val="center"/>
      </w:pPr>
      <w:commentRangeStart w:id="9"/>
      <w:r w:rsidRPr="006C1C8A">
        <w:rPr>
          <w:b/>
        </w:rPr>
        <w:t xml:space="preserve">Figure </w:t>
      </w:r>
      <w:commentRangeEnd w:id="9"/>
      <w:r w:rsidR="0092573F">
        <w:rPr>
          <w:rStyle w:val="CommentReference"/>
          <w:rFonts w:ascii="Arial" w:hAnsi="Arial" w:cs="Arial"/>
        </w:rPr>
        <w:commentReference w:id="9"/>
      </w:r>
      <w:r w:rsidRPr="006C1C8A">
        <w:rPr>
          <w:b/>
        </w:rPr>
        <w:t>II</w:t>
      </w:r>
      <w:r>
        <w:t>. Period of spectral peak for (a) wind sea and (b) swell wave partitions.</w:t>
      </w:r>
    </w:p>
    <w:p w14:paraId="74D0644B" w14:textId="77777777" w:rsidR="006C1C8A" w:rsidRDefault="006C1C8A" w:rsidP="00CE742D">
      <w:pPr>
        <w:jc w:val="center"/>
      </w:pPr>
    </w:p>
    <w:p w14:paraId="79A49844" w14:textId="77777777" w:rsidR="006C1C8A" w:rsidRDefault="006C1C8A">
      <w:pPr>
        <w:widowControl/>
        <w:suppressAutoHyphens w:val="0"/>
        <w:overflowPunct/>
        <w:autoSpaceDE/>
        <w:autoSpaceDN/>
        <w:adjustRightInd/>
        <w:textAlignment w:val="auto"/>
      </w:pPr>
      <w:r>
        <w:br w:type="page"/>
      </w:r>
    </w:p>
    <w:p w14:paraId="3A724ED5" w14:textId="77777777" w:rsidR="006C1C8A" w:rsidRDefault="006C1C8A" w:rsidP="00CE742D">
      <w:pPr>
        <w:jc w:val="center"/>
      </w:pPr>
    </w:p>
    <w:p w14:paraId="4E470B08" w14:textId="77777777" w:rsidR="006C1C8A" w:rsidRDefault="006C1C8A" w:rsidP="00CE742D">
      <w:pPr>
        <w:jc w:val="center"/>
      </w:pPr>
      <w:r>
        <w:rPr>
          <w:noProof/>
          <w:lang w:val="en-US"/>
        </w:rPr>
        <w:drawing>
          <wp:inline distT="0" distB="0" distL="0" distR="0" wp14:anchorId="59E9D3CB" wp14:editId="7A6F029C">
            <wp:extent cx="2700000" cy="2024831"/>
            <wp:effectExtent l="19050" t="0" r="5100" b="0"/>
            <wp:docPr id="17" name="Picture 10" descr="D:\PROJECTS\HiWinGS\analysis\waves\waves_paper\dirp_windsea_WW_vs_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JECTS\HiWinGS\analysis\waves\waves_paper\dirp_windsea_WW_vs_WR.png"/>
                    <pic:cNvPicPr>
                      <a:picLocks noChangeAspect="1" noChangeArrowheads="1"/>
                    </pic:cNvPicPr>
                  </pic:nvPicPr>
                  <pic:blipFill>
                    <a:blip r:embed="rId30" cstate="print"/>
                    <a:srcRect/>
                    <a:stretch>
                      <a:fillRect/>
                    </a:stretch>
                  </pic:blipFill>
                  <pic:spPr bwMode="auto">
                    <a:xfrm>
                      <a:off x="0" y="0"/>
                      <a:ext cx="2700000" cy="2024831"/>
                    </a:xfrm>
                    <a:prstGeom prst="rect">
                      <a:avLst/>
                    </a:prstGeom>
                    <a:noFill/>
                    <a:ln w="9525">
                      <a:noFill/>
                      <a:miter lim="800000"/>
                      <a:headEnd/>
                      <a:tailEnd/>
                    </a:ln>
                  </pic:spPr>
                </pic:pic>
              </a:graphicData>
            </a:graphic>
          </wp:inline>
        </w:drawing>
      </w:r>
      <w:r>
        <w:rPr>
          <w:noProof/>
          <w:lang w:val="en-US"/>
        </w:rPr>
        <w:drawing>
          <wp:inline distT="0" distB="0" distL="0" distR="0" wp14:anchorId="0FC42225" wp14:editId="725EA880">
            <wp:extent cx="2700000" cy="2024831"/>
            <wp:effectExtent l="19050" t="0" r="5100" b="0"/>
            <wp:docPr id="18" name="Picture 11" descr="D:\PROJECTS\HiWinGS\analysis\waves\waves_paper\dirp_swell_WW_vs_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JECTS\HiWinGS\analysis\waves\waves_paper\dirp_swell_WW_vs_WR.png"/>
                    <pic:cNvPicPr>
                      <a:picLocks noChangeAspect="1" noChangeArrowheads="1"/>
                    </pic:cNvPicPr>
                  </pic:nvPicPr>
                  <pic:blipFill>
                    <a:blip r:embed="rId31" cstate="print"/>
                    <a:srcRect/>
                    <a:stretch>
                      <a:fillRect/>
                    </a:stretch>
                  </pic:blipFill>
                  <pic:spPr bwMode="auto">
                    <a:xfrm>
                      <a:off x="0" y="0"/>
                      <a:ext cx="2700000" cy="2024831"/>
                    </a:xfrm>
                    <a:prstGeom prst="rect">
                      <a:avLst/>
                    </a:prstGeom>
                    <a:noFill/>
                    <a:ln w="9525">
                      <a:noFill/>
                      <a:miter lim="800000"/>
                      <a:headEnd/>
                      <a:tailEnd/>
                    </a:ln>
                  </pic:spPr>
                </pic:pic>
              </a:graphicData>
            </a:graphic>
          </wp:inline>
        </w:drawing>
      </w:r>
    </w:p>
    <w:p w14:paraId="167F20F4" w14:textId="77777777" w:rsidR="006C1C8A" w:rsidRDefault="006C1C8A" w:rsidP="00CE742D">
      <w:pPr>
        <w:jc w:val="center"/>
        <w:rPr>
          <w:b/>
        </w:rPr>
      </w:pPr>
    </w:p>
    <w:p w14:paraId="261FEB76" w14:textId="77777777" w:rsidR="006C1C8A" w:rsidRDefault="006C1C8A" w:rsidP="00CE742D">
      <w:pPr>
        <w:jc w:val="center"/>
      </w:pPr>
      <w:r w:rsidRPr="006C1C8A">
        <w:rPr>
          <w:b/>
        </w:rPr>
        <w:t>Figure JJ</w:t>
      </w:r>
      <w:r>
        <w:t>. Direction of wave peak for (a) wind sea and (b) swell wave partitions.</w:t>
      </w:r>
    </w:p>
    <w:p w14:paraId="3198D7E6" w14:textId="77777777" w:rsidR="002E38EB" w:rsidRDefault="002E38EB" w:rsidP="00CE742D">
      <w:pPr>
        <w:jc w:val="center"/>
      </w:pPr>
    </w:p>
    <w:p w14:paraId="4F9F57B6" w14:textId="77777777" w:rsidR="002E38EB" w:rsidRDefault="002E38EB">
      <w:pPr>
        <w:widowControl/>
        <w:suppressAutoHyphens w:val="0"/>
        <w:overflowPunct/>
        <w:autoSpaceDE/>
        <w:autoSpaceDN/>
        <w:adjustRightInd/>
        <w:textAlignment w:val="auto"/>
      </w:pPr>
      <w:r>
        <w:br w:type="page"/>
      </w:r>
    </w:p>
    <w:p w14:paraId="2EF4D40F" w14:textId="77777777" w:rsidR="002E38EB" w:rsidRDefault="002E38EB" w:rsidP="00CE742D">
      <w:pPr>
        <w:jc w:val="center"/>
      </w:pPr>
    </w:p>
    <w:p w14:paraId="01780F5B" w14:textId="77777777" w:rsidR="002E38EB" w:rsidRDefault="002E38EB" w:rsidP="00CE742D">
      <w:pPr>
        <w:jc w:val="center"/>
      </w:pPr>
      <w:r>
        <w:rPr>
          <w:noProof/>
          <w:lang w:val="en-US"/>
        </w:rPr>
        <w:drawing>
          <wp:inline distT="0" distB="0" distL="0" distR="0" wp14:anchorId="34732625" wp14:editId="408B25CB">
            <wp:extent cx="2700000" cy="2024831"/>
            <wp:effectExtent l="19050" t="0" r="5100" b="0"/>
            <wp:docPr id="23" name="Picture 14" descr="D:\PROJECTS\HiWinGS\analysis\waves\waves_paper\spectral_spreading_windsea_WW3_vs_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JECTS\HiWinGS\analysis\waves\waves_paper\spectral_spreading_windsea_WW3_vs_WR.png"/>
                    <pic:cNvPicPr>
                      <a:picLocks noChangeAspect="1" noChangeArrowheads="1"/>
                    </pic:cNvPicPr>
                  </pic:nvPicPr>
                  <pic:blipFill>
                    <a:blip r:embed="rId32" cstate="print"/>
                    <a:srcRect/>
                    <a:stretch>
                      <a:fillRect/>
                    </a:stretch>
                  </pic:blipFill>
                  <pic:spPr bwMode="auto">
                    <a:xfrm>
                      <a:off x="0" y="0"/>
                      <a:ext cx="2700000" cy="2024831"/>
                    </a:xfrm>
                    <a:prstGeom prst="rect">
                      <a:avLst/>
                    </a:prstGeom>
                    <a:noFill/>
                    <a:ln w="9525">
                      <a:noFill/>
                      <a:miter lim="800000"/>
                      <a:headEnd/>
                      <a:tailEnd/>
                    </a:ln>
                  </pic:spPr>
                </pic:pic>
              </a:graphicData>
            </a:graphic>
          </wp:inline>
        </w:drawing>
      </w:r>
      <w:r>
        <w:rPr>
          <w:noProof/>
          <w:lang w:val="en-US"/>
        </w:rPr>
        <w:drawing>
          <wp:inline distT="0" distB="0" distL="0" distR="0" wp14:anchorId="3535BA1C" wp14:editId="69318415">
            <wp:extent cx="2700000" cy="2024831"/>
            <wp:effectExtent l="19050" t="0" r="5100" b="0"/>
            <wp:docPr id="24" name="Picture 15" descr="D:\PROJECTS\HiWinGS\analysis\waves\waves_paper\spectral_spreading_swell_WW3_vs_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JECTS\HiWinGS\analysis\waves\waves_paper\spectral_spreading_swell_WW3_vs_WR.png"/>
                    <pic:cNvPicPr>
                      <a:picLocks noChangeAspect="1" noChangeArrowheads="1"/>
                    </pic:cNvPicPr>
                  </pic:nvPicPr>
                  <pic:blipFill>
                    <a:blip r:embed="rId33" cstate="print"/>
                    <a:srcRect/>
                    <a:stretch>
                      <a:fillRect/>
                    </a:stretch>
                  </pic:blipFill>
                  <pic:spPr bwMode="auto">
                    <a:xfrm>
                      <a:off x="0" y="0"/>
                      <a:ext cx="2700000" cy="2024831"/>
                    </a:xfrm>
                    <a:prstGeom prst="rect">
                      <a:avLst/>
                    </a:prstGeom>
                    <a:noFill/>
                    <a:ln w="9525">
                      <a:noFill/>
                      <a:miter lim="800000"/>
                      <a:headEnd/>
                      <a:tailEnd/>
                    </a:ln>
                  </pic:spPr>
                </pic:pic>
              </a:graphicData>
            </a:graphic>
          </wp:inline>
        </w:drawing>
      </w:r>
    </w:p>
    <w:p w14:paraId="75F1C99B" w14:textId="77777777" w:rsidR="002E38EB" w:rsidRDefault="002E38EB" w:rsidP="00CE742D">
      <w:pPr>
        <w:jc w:val="center"/>
      </w:pPr>
    </w:p>
    <w:p w14:paraId="57D03E50" w14:textId="77777777" w:rsidR="002E38EB" w:rsidRPr="00720D1F" w:rsidRDefault="002E38EB" w:rsidP="00CE742D">
      <w:pPr>
        <w:jc w:val="center"/>
      </w:pPr>
      <w:r w:rsidRPr="002E38EB">
        <w:rPr>
          <w:b/>
        </w:rPr>
        <w:t>Figure KK</w:t>
      </w:r>
      <w:r>
        <w:t xml:space="preserve">. Spectral spreading for (a) wind sea wave partition (b) swell wave partition. </w:t>
      </w:r>
    </w:p>
    <w:sectPr w:rsidR="002E38EB" w:rsidRPr="00720D1F" w:rsidSect="00DB3F34">
      <w:type w:val="continuous"/>
      <w:pgSz w:w="11906" w:h="16838" w:code="9"/>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brooks" w:date="2017-03-17T11:11:00Z" w:initials="IMB">
    <w:p w14:paraId="37699283" w14:textId="77777777" w:rsidR="000D5EA5" w:rsidRDefault="000D5EA5">
      <w:pPr>
        <w:pStyle w:val="CommentText"/>
      </w:pPr>
      <w:r>
        <w:rPr>
          <w:rStyle w:val="CommentReference"/>
        </w:rPr>
        <w:annotationRef/>
      </w:r>
      <w:r w:rsidR="00E3067A">
        <w:t xml:space="preserve"> </w:t>
      </w:r>
      <w:r>
        <w:t>Also Bell et al. 2017, ACP...in review</w:t>
      </w:r>
    </w:p>
  </w:comment>
  <w:comment w:id="1" w:author="ibrooks" w:date="2016-12-14T14:31:00Z" w:initials="IMB">
    <w:p w14:paraId="68266F3F" w14:textId="77777777" w:rsidR="000D5EA5" w:rsidRDefault="000D5EA5">
      <w:pPr>
        <w:pStyle w:val="CommentText"/>
      </w:pPr>
      <w:r>
        <w:rPr>
          <w:rStyle w:val="CommentReference"/>
        </w:rPr>
        <w:annotationRef/>
      </w:r>
      <w:r>
        <w:t xml:space="preserve">(MATLAB image processing toolbox </w:t>
      </w:r>
      <w:r w:rsidRPr="00067EF1">
        <w:rPr>
          <w:i/>
        </w:rPr>
        <w:t>watershed</w:t>
      </w:r>
      <w:r>
        <w:t xml:space="preserve"> function)</w:t>
      </w:r>
    </w:p>
  </w:comment>
  <w:comment w:id="2" w:author="ibrooks" w:date="2016-12-14T14:31:00Z" w:initials="IMB">
    <w:p w14:paraId="2586C4EA" w14:textId="77777777" w:rsidR="000D5EA5" w:rsidRDefault="000D5EA5">
      <w:pPr>
        <w:pStyle w:val="CommentText"/>
      </w:pPr>
      <w:r>
        <w:rPr>
          <w:rStyle w:val="CommentReference"/>
        </w:rPr>
        <w:annotationRef/>
      </w:r>
      <w:r>
        <w:t xml:space="preserve">(MATLAB image processing toolbox </w:t>
      </w:r>
      <w:proofErr w:type="spellStart"/>
      <w:r w:rsidRPr="00067EF1">
        <w:rPr>
          <w:i/>
        </w:rPr>
        <w:t>imhmax</w:t>
      </w:r>
      <w:proofErr w:type="spellEnd"/>
      <w:r>
        <w:t xml:space="preserve"> function)</w:t>
      </w:r>
    </w:p>
  </w:comment>
  <w:comment w:id="3" w:author="ibrooks" w:date="2017-03-13T15:15:00Z" w:initials="IMB">
    <w:p w14:paraId="3E3D169B" w14:textId="77777777" w:rsidR="00A46086" w:rsidRDefault="00A46086">
      <w:pPr>
        <w:pStyle w:val="CommentText"/>
      </w:pPr>
      <w:r>
        <w:rPr>
          <w:rStyle w:val="CommentReference"/>
        </w:rPr>
        <w:annotationRef/>
      </w:r>
      <w:r>
        <w:t>Note, here and in other plots, there are 6 obvious outliers (here WW Hs very low for WR Hs &gt; 6 m. These are 6 consecutive points in the big storm, where WW Hs dips while observed values don’t.</w:t>
      </w:r>
    </w:p>
    <w:p w14:paraId="48990ABB" w14:textId="77777777" w:rsidR="00A46086" w:rsidRDefault="00A46086">
      <w:pPr>
        <w:pStyle w:val="CommentText"/>
      </w:pPr>
    </w:p>
    <w:p w14:paraId="323D7A48" w14:textId="77777777" w:rsidR="00A46086" w:rsidRDefault="00A46086">
      <w:pPr>
        <w:pStyle w:val="CommentText"/>
      </w:pPr>
      <w:r>
        <w:t xml:space="preserve"> </w:t>
      </w:r>
      <w:proofErr w:type="spellStart"/>
      <w:r>
        <w:t>DoY</w:t>
      </w:r>
      <w:proofErr w:type="spellEnd"/>
      <w:r>
        <w:t xml:space="preserve"> = 298.4-298.6</w:t>
      </w:r>
    </w:p>
    <w:p w14:paraId="7B88E788" w14:textId="77777777" w:rsidR="00A46086" w:rsidRDefault="00A46086">
      <w:pPr>
        <w:pStyle w:val="CommentText"/>
      </w:pPr>
    </w:p>
    <w:p w14:paraId="4E274245" w14:textId="77777777" w:rsidR="00A46086" w:rsidRDefault="00A46086">
      <w:pPr>
        <w:pStyle w:val="CommentText"/>
      </w:pPr>
      <w:r>
        <w:t>These are sufficiently far from bulk of points to have a marked impact on some of the fits – for rising winds at least. Not quite sure what to do...retain on plots but omit from fits? Keep as is but note they impact fits?</w:t>
      </w:r>
    </w:p>
    <w:p w14:paraId="53262044" w14:textId="77777777" w:rsidR="00A46086" w:rsidRDefault="00A46086">
      <w:pPr>
        <w:pStyle w:val="CommentText"/>
      </w:pPr>
      <w:r>
        <w:t>No obvious reason to junk them.</w:t>
      </w:r>
    </w:p>
  </w:comment>
  <w:comment w:id="4" w:author="ibrooks" w:date="2017-03-13T15:30:00Z" w:initials="IMB">
    <w:p w14:paraId="78B0AA50" w14:textId="77777777" w:rsidR="00BC5F93" w:rsidRDefault="00BC5F93">
      <w:pPr>
        <w:pStyle w:val="CommentText"/>
      </w:pPr>
      <w:r>
        <w:rPr>
          <w:rStyle w:val="CommentReference"/>
        </w:rPr>
        <w:annotationRef/>
      </w:r>
      <w:proofErr w:type="spellStart"/>
      <w:r>
        <w:t>Waverider</w:t>
      </w:r>
      <w:proofErr w:type="spellEnd"/>
      <w:r>
        <w:t xml:space="preserve"> record is fragmented at this time, but </w:t>
      </w:r>
      <w:proofErr w:type="spellStart"/>
      <w:r>
        <w:t>Riegl</w:t>
      </w:r>
      <w:proofErr w:type="spellEnd"/>
      <w:r>
        <w:t xml:space="preserve"> confirms this.</w:t>
      </w:r>
    </w:p>
  </w:comment>
  <w:comment w:id="5" w:author="ibrooks" w:date="2017-03-17T16:00:00Z" w:initials="IMB">
    <w:p w14:paraId="2C82C88F" w14:textId="77777777" w:rsidR="002E38EB" w:rsidRDefault="002E38EB">
      <w:pPr>
        <w:pStyle w:val="CommentText"/>
      </w:pPr>
      <w:r>
        <w:rPr>
          <w:rStyle w:val="CommentReference"/>
        </w:rPr>
        <w:annotationRef/>
      </w:r>
      <w:r>
        <w:t xml:space="preserve">Hanson and Phillips (2001) </w:t>
      </w:r>
      <w:proofErr w:type="spellStart"/>
      <w:r>
        <w:t>eqn</w:t>
      </w:r>
      <w:proofErr w:type="spellEnd"/>
      <w:r>
        <w:t xml:space="preserve"> 7.</w:t>
      </w:r>
    </w:p>
  </w:comment>
  <w:comment w:id="6" w:author="ibrooks" w:date="2017-03-17T13:23:00Z" w:initials="IMB">
    <w:p w14:paraId="3054D56A" w14:textId="77777777" w:rsidR="006F00D1" w:rsidRDefault="006F00D1">
      <w:pPr>
        <w:pStyle w:val="CommentText"/>
      </w:pPr>
      <w:r>
        <w:rPr>
          <w:rStyle w:val="CommentReference"/>
        </w:rPr>
        <w:annotationRef/>
      </w:r>
      <w:r>
        <w:t xml:space="preserve">Technically here grey are ALL, with rising/falling </w:t>
      </w:r>
      <w:proofErr w:type="spellStart"/>
      <w:r>
        <w:t>overplotted</w:t>
      </w:r>
      <w:proofErr w:type="spellEnd"/>
      <w:r w:rsidR="00B41CD1">
        <w:t xml:space="preserve"> (hence mismatch with fig </w:t>
      </w:r>
      <w:proofErr w:type="gramStart"/>
      <w:r w:rsidR="00B41CD1">
        <w:t>legend)</w:t>
      </w:r>
      <w:r>
        <w:t>...</w:t>
      </w:r>
      <w:proofErr w:type="gramEnd"/>
      <w:r>
        <w:t>will change that</w:t>
      </w:r>
    </w:p>
  </w:comment>
  <w:comment w:id="8" w:author="ibrooks" w:date="2017-03-14T13:58:00Z" w:initials="IMB">
    <w:p w14:paraId="418C1794" w14:textId="77777777" w:rsidR="006F00D1" w:rsidRDefault="006F00D1">
      <w:pPr>
        <w:pStyle w:val="CommentText"/>
      </w:pPr>
      <w:r>
        <w:rPr>
          <w:rStyle w:val="CommentReference"/>
        </w:rPr>
        <w:annotationRef/>
      </w:r>
      <w:r>
        <w:t xml:space="preserve">Looks like a non-linear function approaching 1:1 line at low </w:t>
      </w:r>
      <w:proofErr w:type="spellStart"/>
      <w:r>
        <w:t>Tp</w:t>
      </w:r>
      <w:proofErr w:type="spellEnd"/>
      <w:r>
        <w:t xml:space="preserve"> would be a better fit.</w:t>
      </w:r>
    </w:p>
    <w:p w14:paraId="36715AF6" w14:textId="77777777" w:rsidR="00753B6C" w:rsidRDefault="00753B6C">
      <w:pPr>
        <w:pStyle w:val="CommentText"/>
      </w:pPr>
    </w:p>
    <w:p w14:paraId="35BB732C" w14:textId="77777777" w:rsidR="00753B6C" w:rsidRDefault="00753B6C">
      <w:pPr>
        <w:pStyle w:val="CommentText"/>
      </w:pPr>
      <w:r>
        <w:t>Difficult to plot this – spectral discretisation means we have many points at same values.</w:t>
      </w:r>
    </w:p>
  </w:comment>
  <w:comment w:id="9" w:author="ibrooks" w:date="2017-03-17T15:39:00Z" w:initials="IMB">
    <w:p w14:paraId="733E36B9" w14:textId="77777777" w:rsidR="0092573F" w:rsidRDefault="0092573F">
      <w:pPr>
        <w:pStyle w:val="CommentText"/>
      </w:pPr>
      <w:r>
        <w:rPr>
          <w:rStyle w:val="CommentReference"/>
        </w:rPr>
        <w:annotationRef/>
      </w:r>
      <w:r>
        <w:t xml:space="preserve">NB, many points may lie at same location here – discrete frequency intervals limit the possible values of </w:t>
      </w:r>
      <w:proofErr w:type="spellStart"/>
      <w:r>
        <w:t>Tp</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699283" w15:done="0"/>
  <w15:commentEx w15:paraId="68266F3F" w15:done="0"/>
  <w15:commentEx w15:paraId="2586C4EA" w15:done="0"/>
  <w15:commentEx w15:paraId="53262044" w15:done="0"/>
  <w15:commentEx w15:paraId="78B0AA50" w15:done="0"/>
  <w15:commentEx w15:paraId="2C82C88F" w15:done="0"/>
  <w15:commentEx w15:paraId="3054D56A" w15:done="0"/>
  <w15:commentEx w15:paraId="35BB732C" w15:done="0"/>
  <w15:commentEx w15:paraId="733E36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MS Mincho"/>
    <w:charset w:val="80"/>
    <w:family w:val="roman"/>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2">
    <w:altName w:val="MS Mincho"/>
    <w:panose1 w:val="00000000000000000000"/>
    <w:charset w:val="80"/>
    <w:family w:val="auto"/>
    <w:notTrueType/>
    <w:pitch w:val="default"/>
    <w:sig w:usb0="00000003" w:usb1="08070000" w:usb2="00000010" w:usb3="00000000" w:csb0="00020001" w:csb1="00000000"/>
  </w:font>
  <w:font w:name="AdvTT182ff89e">
    <w:panose1 w:val="00000000000000000000"/>
    <w:charset w:val="00"/>
    <w:family w:val="roman"/>
    <w:notTrueType/>
    <w:pitch w:val="default"/>
    <w:sig w:usb0="00000003" w:usb1="00000000" w:usb2="00000000" w:usb3="00000000" w:csb0="00000001" w:csb1="00000000"/>
  </w:font>
  <w:font w:name="AdvTT73b978ed.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B96FDFC"/>
    <w:lvl w:ilvl="0">
      <w:start w:val="1"/>
      <w:numFmt w:val="none"/>
      <w:pStyle w:val="Heading1"/>
      <w:suff w:val="nothing"/>
      <w:lvlText w:val=""/>
      <w:lvlJc w:val="left"/>
      <w:pPr>
        <w:ind w:left="0" w:firstLine="0"/>
      </w:pPr>
    </w:lvl>
    <w:lvl w:ilvl="1">
      <w:start w:val="1"/>
      <w:numFmt w:val="none"/>
      <w:pStyle w:val="Heading2"/>
      <w:lvlText w:val=""/>
      <w:legacy w:legacy="1" w:legacySpace="0" w:legacyIndent="0"/>
      <w:lvlJc w:val="left"/>
      <w:pPr>
        <w:ind w:left="0" w:firstLine="0"/>
      </w:pPr>
    </w:lvl>
    <w:lvl w:ilvl="2">
      <w:start w:val="1"/>
      <w:numFmt w:val="none"/>
      <w:pStyle w:val="Heading3"/>
      <w:lvlText w:val=""/>
      <w:legacy w:legacy="1" w:legacySpace="0" w:legacyIndent="0"/>
      <w:lvlJc w:val="left"/>
      <w:pPr>
        <w:ind w:left="0" w:firstLine="0"/>
      </w:p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30211F55"/>
    <w:multiLevelType w:val="hybridMultilevel"/>
    <w:tmpl w:val="68F29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CE6B23"/>
    <w:multiLevelType w:val="hybridMultilevel"/>
    <w:tmpl w:val="CECC12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37757C"/>
    <w:multiLevelType w:val="hybridMultilevel"/>
    <w:tmpl w:val="E4C4B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CA"/>
    <w:rsid w:val="00000AD4"/>
    <w:rsid w:val="00001A3B"/>
    <w:rsid w:val="000030B4"/>
    <w:rsid w:val="00005390"/>
    <w:rsid w:val="00005916"/>
    <w:rsid w:val="00006498"/>
    <w:rsid w:val="00006548"/>
    <w:rsid w:val="00007087"/>
    <w:rsid w:val="000079DC"/>
    <w:rsid w:val="00007F33"/>
    <w:rsid w:val="00007FD0"/>
    <w:rsid w:val="000111BE"/>
    <w:rsid w:val="00012C10"/>
    <w:rsid w:val="00013187"/>
    <w:rsid w:val="00013997"/>
    <w:rsid w:val="00014780"/>
    <w:rsid w:val="0001515C"/>
    <w:rsid w:val="00015D1B"/>
    <w:rsid w:val="0001631D"/>
    <w:rsid w:val="00016441"/>
    <w:rsid w:val="00016A5F"/>
    <w:rsid w:val="00017AFC"/>
    <w:rsid w:val="00020531"/>
    <w:rsid w:val="00020597"/>
    <w:rsid w:val="00020F75"/>
    <w:rsid w:val="00021A01"/>
    <w:rsid w:val="00021A5B"/>
    <w:rsid w:val="00021EC0"/>
    <w:rsid w:val="00022D88"/>
    <w:rsid w:val="00022FCC"/>
    <w:rsid w:val="00024E8F"/>
    <w:rsid w:val="00026E7A"/>
    <w:rsid w:val="0002719C"/>
    <w:rsid w:val="000279BE"/>
    <w:rsid w:val="00030381"/>
    <w:rsid w:val="000307E2"/>
    <w:rsid w:val="00030B75"/>
    <w:rsid w:val="000313C2"/>
    <w:rsid w:val="00032431"/>
    <w:rsid w:val="000324B4"/>
    <w:rsid w:val="00034DB7"/>
    <w:rsid w:val="0003551D"/>
    <w:rsid w:val="00035702"/>
    <w:rsid w:val="00037A2D"/>
    <w:rsid w:val="000403F6"/>
    <w:rsid w:val="000417DE"/>
    <w:rsid w:val="00041BA1"/>
    <w:rsid w:val="000423EA"/>
    <w:rsid w:val="000431E1"/>
    <w:rsid w:val="000435B2"/>
    <w:rsid w:val="00043651"/>
    <w:rsid w:val="00046F77"/>
    <w:rsid w:val="0004743D"/>
    <w:rsid w:val="00047743"/>
    <w:rsid w:val="00047969"/>
    <w:rsid w:val="0005000B"/>
    <w:rsid w:val="00050192"/>
    <w:rsid w:val="00051938"/>
    <w:rsid w:val="00051C9D"/>
    <w:rsid w:val="000548C2"/>
    <w:rsid w:val="00055040"/>
    <w:rsid w:val="000555D7"/>
    <w:rsid w:val="0005702F"/>
    <w:rsid w:val="00057400"/>
    <w:rsid w:val="00057502"/>
    <w:rsid w:val="00057C95"/>
    <w:rsid w:val="00062F82"/>
    <w:rsid w:val="00063FFA"/>
    <w:rsid w:val="00064939"/>
    <w:rsid w:val="00064DAC"/>
    <w:rsid w:val="000653B9"/>
    <w:rsid w:val="0006574A"/>
    <w:rsid w:val="00065ABC"/>
    <w:rsid w:val="00065DF2"/>
    <w:rsid w:val="0006626E"/>
    <w:rsid w:val="00066C32"/>
    <w:rsid w:val="0006702E"/>
    <w:rsid w:val="00067EF1"/>
    <w:rsid w:val="00070981"/>
    <w:rsid w:val="00071711"/>
    <w:rsid w:val="000718E9"/>
    <w:rsid w:val="00072566"/>
    <w:rsid w:val="00072FF7"/>
    <w:rsid w:val="00074667"/>
    <w:rsid w:val="000747A6"/>
    <w:rsid w:val="000759F2"/>
    <w:rsid w:val="00075AB8"/>
    <w:rsid w:val="00076D73"/>
    <w:rsid w:val="00080022"/>
    <w:rsid w:val="0008171A"/>
    <w:rsid w:val="00082269"/>
    <w:rsid w:val="00082675"/>
    <w:rsid w:val="00082775"/>
    <w:rsid w:val="00082F7B"/>
    <w:rsid w:val="00083059"/>
    <w:rsid w:val="000831B3"/>
    <w:rsid w:val="00083BC7"/>
    <w:rsid w:val="00083E19"/>
    <w:rsid w:val="0008424F"/>
    <w:rsid w:val="000857B4"/>
    <w:rsid w:val="00085A76"/>
    <w:rsid w:val="00086732"/>
    <w:rsid w:val="000876FD"/>
    <w:rsid w:val="00090293"/>
    <w:rsid w:val="0009100D"/>
    <w:rsid w:val="000914A5"/>
    <w:rsid w:val="00092AE7"/>
    <w:rsid w:val="000934D5"/>
    <w:rsid w:val="00093935"/>
    <w:rsid w:val="00093DAE"/>
    <w:rsid w:val="00094470"/>
    <w:rsid w:val="00094639"/>
    <w:rsid w:val="00094ADD"/>
    <w:rsid w:val="0009515C"/>
    <w:rsid w:val="00095594"/>
    <w:rsid w:val="00095ECD"/>
    <w:rsid w:val="000975E9"/>
    <w:rsid w:val="000A09C1"/>
    <w:rsid w:val="000A1D41"/>
    <w:rsid w:val="000A32A2"/>
    <w:rsid w:val="000A3427"/>
    <w:rsid w:val="000A372E"/>
    <w:rsid w:val="000A5877"/>
    <w:rsid w:val="000A5AE5"/>
    <w:rsid w:val="000A5E70"/>
    <w:rsid w:val="000A7139"/>
    <w:rsid w:val="000A765C"/>
    <w:rsid w:val="000A7946"/>
    <w:rsid w:val="000A7B77"/>
    <w:rsid w:val="000B0CB7"/>
    <w:rsid w:val="000B0E2E"/>
    <w:rsid w:val="000B1D45"/>
    <w:rsid w:val="000B1DBF"/>
    <w:rsid w:val="000B34FF"/>
    <w:rsid w:val="000B37BE"/>
    <w:rsid w:val="000B3DE9"/>
    <w:rsid w:val="000B4837"/>
    <w:rsid w:val="000B48F3"/>
    <w:rsid w:val="000B4B62"/>
    <w:rsid w:val="000B6374"/>
    <w:rsid w:val="000B665E"/>
    <w:rsid w:val="000B6783"/>
    <w:rsid w:val="000B6E93"/>
    <w:rsid w:val="000B70B6"/>
    <w:rsid w:val="000C12E6"/>
    <w:rsid w:val="000C1DA0"/>
    <w:rsid w:val="000C2255"/>
    <w:rsid w:val="000C2C5B"/>
    <w:rsid w:val="000C3863"/>
    <w:rsid w:val="000C4BAA"/>
    <w:rsid w:val="000C4E85"/>
    <w:rsid w:val="000C60F4"/>
    <w:rsid w:val="000C66D6"/>
    <w:rsid w:val="000C7088"/>
    <w:rsid w:val="000D019D"/>
    <w:rsid w:val="000D0411"/>
    <w:rsid w:val="000D1308"/>
    <w:rsid w:val="000D1510"/>
    <w:rsid w:val="000D1EE3"/>
    <w:rsid w:val="000D25A1"/>
    <w:rsid w:val="000D2B03"/>
    <w:rsid w:val="000D315B"/>
    <w:rsid w:val="000D444F"/>
    <w:rsid w:val="000D4F66"/>
    <w:rsid w:val="000D5EA5"/>
    <w:rsid w:val="000D693C"/>
    <w:rsid w:val="000D739F"/>
    <w:rsid w:val="000E0295"/>
    <w:rsid w:val="000E0822"/>
    <w:rsid w:val="000E0912"/>
    <w:rsid w:val="000E1A79"/>
    <w:rsid w:val="000E1B6E"/>
    <w:rsid w:val="000E24DD"/>
    <w:rsid w:val="000E2E3E"/>
    <w:rsid w:val="000E321F"/>
    <w:rsid w:val="000E4558"/>
    <w:rsid w:val="000E4D91"/>
    <w:rsid w:val="000E6859"/>
    <w:rsid w:val="000E69B5"/>
    <w:rsid w:val="000E79AA"/>
    <w:rsid w:val="000F051F"/>
    <w:rsid w:val="000F0D9B"/>
    <w:rsid w:val="000F24AC"/>
    <w:rsid w:val="000F366F"/>
    <w:rsid w:val="000F5BA7"/>
    <w:rsid w:val="000F6702"/>
    <w:rsid w:val="000F6BD7"/>
    <w:rsid w:val="000F6F6A"/>
    <w:rsid w:val="000F7442"/>
    <w:rsid w:val="0010048B"/>
    <w:rsid w:val="00100D0E"/>
    <w:rsid w:val="00100D4E"/>
    <w:rsid w:val="00101F3B"/>
    <w:rsid w:val="00106407"/>
    <w:rsid w:val="001068EB"/>
    <w:rsid w:val="0011239E"/>
    <w:rsid w:val="00114895"/>
    <w:rsid w:val="00114D09"/>
    <w:rsid w:val="001152A3"/>
    <w:rsid w:val="00115378"/>
    <w:rsid w:val="00116072"/>
    <w:rsid w:val="0011664B"/>
    <w:rsid w:val="00116C27"/>
    <w:rsid w:val="00116EDE"/>
    <w:rsid w:val="00117851"/>
    <w:rsid w:val="00117BFD"/>
    <w:rsid w:val="00120485"/>
    <w:rsid w:val="00120593"/>
    <w:rsid w:val="0012187D"/>
    <w:rsid w:val="00122504"/>
    <w:rsid w:val="00122612"/>
    <w:rsid w:val="00123161"/>
    <w:rsid w:val="001231B2"/>
    <w:rsid w:val="00124E91"/>
    <w:rsid w:val="0012519D"/>
    <w:rsid w:val="00125FF2"/>
    <w:rsid w:val="001267CC"/>
    <w:rsid w:val="00126899"/>
    <w:rsid w:val="0013165D"/>
    <w:rsid w:val="00132E31"/>
    <w:rsid w:val="00133E64"/>
    <w:rsid w:val="00133F3A"/>
    <w:rsid w:val="00134738"/>
    <w:rsid w:val="00134D80"/>
    <w:rsid w:val="00135995"/>
    <w:rsid w:val="00135B9E"/>
    <w:rsid w:val="00136673"/>
    <w:rsid w:val="00136FD2"/>
    <w:rsid w:val="00137226"/>
    <w:rsid w:val="00137496"/>
    <w:rsid w:val="00140881"/>
    <w:rsid w:val="001411F1"/>
    <w:rsid w:val="001412B5"/>
    <w:rsid w:val="001412EB"/>
    <w:rsid w:val="00141A81"/>
    <w:rsid w:val="00142303"/>
    <w:rsid w:val="00142E4E"/>
    <w:rsid w:val="00142F39"/>
    <w:rsid w:val="001438BA"/>
    <w:rsid w:val="00144270"/>
    <w:rsid w:val="001444CD"/>
    <w:rsid w:val="001448B2"/>
    <w:rsid w:val="00144909"/>
    <w:rsid w:val="00145124"/>
    <w:rsid w:val="0014531F"/>
    <w:rsid w:val="00145EB2"/>
    <w:rsid w:val="0014667C"/>
    <w:rsid w:val="001469A3"/>
    <w:rsid w:val="00147E5A"/>
    <w:rsid w:val="001504B8"/>
    <w:rsid w:val="0015058C"/>
    <w:rsid w:val="001511A6"/>
    <w:rsid w:val="00151C9A"/>
    <w:rsid w:val="00151E37"/>
    <w:rsid w:val="00151E4E"/>
    <w:rsid w:val="001525A5"/>
    <w:rsid w:val="00152A31"/>
    <w:rsid w:val="00153F8D"/>
    <w:rsid w:val="0015589F"/>
    <w:rsid w:val="00156C07"/>
    <w:rsid w:val="001578BF"/>
    <w:rsid w:val="0016049E"/>
    <w:rsid w:val="0016089E"/>
    <w:rsid w:val="0016098D"/>
    <w:rsid w:val="001609E6"/>
    <w:rsid w:val="0016145F"/>
    <w:rsid w:val="00161AC3"/>
    <w:rsid w:val="00162030"/>
    <w:rsid w:val="00164118"/>
    <w:rsid w:val="0016506B"/>
    <w:rsid w:val="00166C46"/>
    <w:rsid w:val="00166D22"/>
    <w:rsid w:val="001677B8"/>
    <w:rsid w:val="00167C37"/>
    <w:rsid w:val="0017069E"/>
    <w:rsid w:val="00171724"/>
    <w:rsid w:val="0017198A"/>
    <w:rsid w:val="00173238"/>
    <w:rsid w:val="001740AA"/>
    <w:rsid w:val="0017411F"/>
    <w:rsid w:val="0017539F"/>
    <w:rsid w:val="001756C5"/>
    <w:rsid w:val="00175AFC"/>
    <w:rsid w:val="00175B37"/>
    <w:rsid w:val="001760DB"/>
    <w:rsid w:val="001776C7"/>
    <w:rsid w:val="00177EA6"/>
    <w:rsid w:val="00180675"/>
    <w:rsid w:val="00180C88"/>
    <w:rsid w:val="00180E97"/>
    <w:rsid w:val="0018301E"/>
    <w:rsid w:val="00184B9E"/>
    <w:rsid w:val="00184E42"/>
    <w:rsid w:val="0018515E"/>
    <w:rsid w:val="0018585A"/>
    <w:rsid w:val="00185C33"/>
    <w:rsid w:val="0018605F"/>
    <w:rsid w:val="001861E8"/>
    <w:rsid w:val="00187D2E"/>
    <w:rsid w:val="0019082A"/>
    <w:rsid w:val="00190AC1"/>
    <w:rsid w:val="00190C82"/>
    <w:rsid w:val="0019105E"/>
    <w:rsid w:val="00191858"/>
    <w:rsid w:val="00192116"/>
    <w:rsid w:val="00192A47"/>
    <w:rsid w:val="00193354"/>
    <w:rsid w:val="00194851"/>
    <w:rsid w:val="00194903"/>
    <w:rsid w:val="00195205"/>
    <w:rsid w:val="00195C2E"/>
    <w:rsid w:val="0019658C"/>
    <w:rsid w:val="001968CC"/>
    <w:rsid w:val="001976F5"/>
    <w:rsid w:val="00197ACA"/>
    <w:rsid w:val="00197E25"/>
    <w:rsid w:val="001A0FE2"/>
    <w:rsid w:val="001A1105"/>
    <w:rsid w:val="001A1E0F"/>
    <w:rsid w:val="001A1EEC"/>
    <w:rsid w:val="001A2176"/>
    <w:rsid w:val="001A36C3"/>
    <w:rsid w:val="001A41F4"/>
    <w:rsid w:val="001A58F8"/>
    <w:rsid w:val="001A5B1D"/>
    <w:rsid w:val="001A5EF6"/>
    <w:rsid w:val="001A6242"/>
    <w:rsid w:val="001A62C8"/>
    <w:rsid w:val="001A684C"/>
    <w:rsid w:val="001A69A1"/>
    <w:rsid w:val="001A6E97"/>
    <w:rsid w:val="001A7170"/>
    <w:rsid w:val="001A7C03"/>
    <w:rsid w:val="001B048E"/>
    <w:rsid w:val="001B083E"/>
    <w:rsid w:val="001B11AB"/>
    <w:rsid w:val="001B1336"/>
    <w:rsid w:val="001B3C3E"/>
    <w:rsid w:val="001B4A64"/>
    <w:rsid w:val="001B692F"/>
    <w:rsid w:val="001B6B40"/>
    <w:rsid w:val="001B758B"/>
    <w:rsid w:val="001B77DE"/>
    <w:rsid w:val="001B7ABF"/>
    <w:rsid w:val="001C07FA"/>
    <w:rsid w:val="001C093B"/>
    <w:rsid w:val="001C0A03"/>
    <w:rsid w:val="001C1C76"/>
    <w:rsid w:val="001C3B3F"/>
    <w:rsid w:val="001C3FE9"/>
    <w:rsid w:val="001C4858"/>
    <w:rsid w:val="001C6885"/>
    <w:rsid w:val="001C68A8"/>
    <w:rsid w:val="001C74AE"/>
    <w:rsid w:val="001C75E6"/>
    <w:rsid w:val="001C7C2C"/>
    <w:rsid w:val="001D07A8"/>
    <w:rsid w:val="001D0CC9"/>
    <w:rsid w:val="001D0FDF"/>
    <w:rsid w:val="001D128F"/>
    <w:rsid w:val="001D13BC"/>
    <w:rsid w:val="001D217A"/>
    <w:rsid w:val="001D2AE8"/>
    <w:rsid w:val="001D3F49"/>
    <w:rsid w:val="001D4101"/>
    <w:rsid w:val="001D4AA8"/>
    <w:rsid w:val="001D5679"/>
    <w:rsid w:val="001D5819"/>
    <w:rsid w:val="001D6A61"/>
    <w:rsid w:val="001D6D11"/>
    <w:rsid w:val="001D7C60"/>
    <w:rsid w:val="001E1AA5"/>
    <w:rsid w:val="001E358D"/>
    <w:rsid w:val="001E54A8"/>
    <w:rsid w:val="001E5898"/>
    <w:rsid w:val="001E5A18"/>
    <w:rsid w:val="001E7B14"/>
    <w:rsid w:val="001F09FB"/>
    <w:rsid w:val="001F0F7E"/>
    <w:rsid w:val="001F1187"/>
    <w:rsid w:val="001F1301"/>
    <w:rsid w:val="001F2E09"/>
    <w:rsid w:val="001F37CB"/>
    <w:rsid w:val="001F3C1C"/>
    <w:rsid w:val="001F3C28"/>
    <w:rsid w:val="001F4509"/>
    <w:rsid w:val="001F4FFA"/>
    <w:rsid w:val="001F5DFC"/>
    <w:rsid w:val="001F5EA0"/>
    <w:rsid w:val="001F60B8"/>
    <w:rsid w:val="001F6FB3"/>
    <w:rsid w:val="001F77C7"/>
    <w:rsid w:val="002015D4"/>
    <w:rsid w:val="00202B36"/>
    <w:rsid w:val="00204553"/>
    <w:rsid w:val="00205482"/>
    <w:rsid w:val="002058DD"/>
    <w:rsid w:val="00205A08"/>
    <w:rsid w:val="00205F27"/>
    <w:rsid w:val="00206D33"/>
    <w:rsid w:val="0020711D"/>
    <w:rsid w:val="0020782E"/>
    <w:rsid w:val="00207BCD"/>
    <w:rsid w:val="00211DAA"/>
    <w:rsid w:val="00212673"/>
    <w:rsid w:val="002128CC"/>
    <w:rsid w:val="002152B0"/>
    <w:rsid w:val="002158BF"/>
    <w:rsid w:val="00215C08"/>
    <w:rsid w:val="002166F1"/>
    <w:rsid w:val="00216BCD"/>
    <w:rsid w:val="00216C8A"/>
    <w:rsid w:val="00216F61"/>
    <w:rsid w:val="00217FDA"/>
    <w:rsid w:val="002220D3"/>
    <w:rsid w:val="0022361C"/>
    <w:rsid w:val="0022408A"/>
    <w:rsid w:val="00224175"/>
    <w:rsid w:val="00224323"/>
    <w:rsid w:val="0022742E"/>
    <w:rsid w:val="00227D1E"/>
    <w:rsid w:val="00227E2A"/>
    <w:rsid w:val="002309DD"/>
    <w:rsid w:val="00231419"/>
    <w:rsid w:val="00231C4E"/>
    <w:rsid w:val="00231D75"/>
    <w:rsid w:val="0023305D"/>
    <w:rsid w:val="00233CBA"/>
    <w:rsid w:val="00233F21"/>
    <w:rsid w:val="0023475E"/>
    <w:rsid w:val="00235A0D"/>
    <w:rsid w:val="00235BD7"/>
    <w:rsid w:val="00235EB2"/>
    <w:rsid w:val="00237EA7"/>
    <w:rsid w:val="0024134E"/>
    <w:rsid w:val="0024196E"/>
    <w:rsid w:val="00242508"/>
    <w:rsid w:val="00242B40"/>
    <w:rsid w:val="00242DBF"/>
    <w:rsid w:val="0024363F"/>
    <w:rsid w:val="00244DD0"/>
    <w:rsid w:val="002500BD"/>
    <w:rsid w:val="00250640"/>
    <w:rsid w:val="00250C3E"/>
    <w:rsid w:val="0025148A"/>
    <w:rsid w:val="00252518"/>
    <w:rsid w:val="00252780"/>
    <w:rsid w:val="002558AC"/>
    <w:rsid w:val="00256544"/>
    <w:rsid w:val="00257394"/>
    <w:rsid w:val="0025767D"/>
    <w:rsid w:val="00257E8D"/>
    <w:rsid w:val="00260154"/>
    <w:rsid w:val="00260B5E"/>
    <w:rsid w:val="00261CC6"/>
    <w:rsid w:val="00262515"/>
    <w:rsid w:val="0026258D"/>
    <w:rsid w:val="00263BB8"/>
    <w:rsid w:val="0026467D"/>
    <w:rsid w:val="00265822"/>
    <w:rsid w:val="002658D5"/>
    <w:rsid w:val="00265EAA"/>
    <w:rsid w:val="0026678A"/>
    <w:rsid w:val="00266EC9"/>
    <w:rsid w:val="002679F1"/>
    <w:rsid w:val="00267CBB"/>
    <w:rsid w:val="00267DC6"/>
    <w:rsid w:val="0027062F"/>
    <w:rsid w:val="002711A1"/>
    <w:rsid w:val="00271294"/>
    <w:rsid w:val="002713DE"/>
    <w:rsid w:val="0027265B"/>
    <w:rsid w:val="00272A8D"/>
    <w:rsid w:val="00273761"/>
    <w:rsid w:val="00274414"/>
    <w:rsid w:val="00274419"/>
    <w:rsid w:val="00274BEA"/>
    <w:rsid w:val="00274DE7"/>
    <w:rsid w:val="0027625A"/>
    <w:rsid w:val="0027632C"/>
    <w:rsid w:val="00280830"/>
    <w:rsid w:val="00282E3A"/>
    <w:rsid w:val="00283CBC"/>
    <w:rsid w:val="0028412E"/>
    <w:rsid w:val="00284D3F"/>
    <w:rsid w:val="00291249"/>
    <w:rsid w:val="00291B84"/>
    <w:rsid w:val="00292A5C"/>
    <w:rsid w:val="00292ADA"/>
    <w:rsid w:val="00292AF9"/>
    <w:rsid w:val="00292FEE"/>
    <w:rsid w:val="0029460B"/>
    <w:rsid w:val="00294BC0"/>
    <w:rsid w:val="0029528C"/>
    <w:rsid w:val="00295453"/>
    <w:rsid w:val="002955B9"/>
    <w:rsid w:val="0029647C"/>
    <w:rsid w:val="002965A3"/>
    <w:rsid w:val="002A004C"/>
    <w:rsid w:val="002A0B55"/>
    <w:rsid w:val="002A1104"/>
    <w:rsid w:val="002A1D55"/>
    <w:rsid w:val="002A2285"/>
    <w:rsid w:val="002A39E6"/>
    <w:rsid w:val="002A3BA6"/>
    <w:rsid w:val="002A690B"/>
    <w:rsid w:val="002A7729"/>
    <w:rsid w:val="002B01C0"/>
    <w:rsid w:val="002B0A90"/>
    <w:rsid w:val="002B0BC2"/>
    <w:rsid w:val="002B0CD9"/>
    <w:rsid w:val="002B0E7E"/>
    <w:rsid w:val="002B1489"/>
    <w:rsid w:val="002B1F44"/>
    <w:rsid w:val="002B2B1D"/>
    <w:rsid w:val="002B30B3"/>
    <w:rsid w:val="002B4907"/>
    <w:rsid w:val="002B51D8"/>
    <w:rsid w:val="002B536F"/>
    <w:rsid w:val="002B6427"/>
    <w:rsid w:val="002B6E20"/>
    <w:rsid w:val="002C00EB"/>
    <w:rsid w:val="002C0870"/>
    <w:rsid w:val="002C0BD4"/>
    <w:rsid w:val="002C0C8C"/>
    <w:rsid w:val="002C125A"/>
    <w:rsid w:val="002C285D"/>
    <w:rsid w:val="002C362E"/>
    <w:rsid w:val="002C3EB5"/>
    <w:rsid w:val="002C5025"/>
    <w:rsid w:val="002C7A10"/>
    <w:rsid w:val="002C7D09"/>
    <w:rsid w:val="002D041A"/>
    <w:rsid w:val="002D0775"/>
    <w:rsid w:val="002D088C"/>
    <w:rsid w:val="002D253D"/>
    <w:rsid w:val="002D2879"/>
    <w:rsid w:val="002D3B57"/>
    <w:rsid w:val="002D48F7"/>
    <w:rsid w:val="002D4D79"/>
    <w:rsid w:val="002D502F"/>
    <w:rsid w:val="002D53F8"/>
    <w:rsid w:val="002D59E4"/>
    <w:rsid w:val="002D5EEF"/>
    <w:rsid w:val="002D71AF"/>
    <w:rsid w:val="002D77E4"/>
    <w:rsid w:val="002E0105"/>
    <w:rsid w:val="002E0581"/>
    <w:rsid w:val="002E169B"/>
    <w:rsid w:val="002E1838"/>
    <w:rsid w:val="002E1963"/>
    <w:rsid w:val="002E2AE7"/>
    <w:rsid w:val="002E2F4A"/>
    <w:rsid w:val="002E38EB"/>
    <w:rsid w:val="002E3C18"/>
    <w:rsid w:val="002E4030"/>
    <w:rsid w:val="002E430D"/>
    <w:rsid w:val="002E4C5C"/>
    <w:rsid w:val="002E559A"/>
    <w:rsid w:val="002E643C"/>
    <w:rsid w:val="002E6AC2"/>
    <w:rsid w:val="002E6C1B"/>
    <w:rsid w:val="002E6C34"/>
    <w:rsid w:val="002E6F2E"/>
    <w:rsid w:val="002E7918"/>
    <w:rsid w:val="002E7EFC"/>
    <w:rsid w:val="002F135C"/>
    <w:rsid w:val="002F23D3"/>
    <w:rsid w:val="002F2B86"/>
    <w:rsid w:val="002F323A"/>
    <w:rsid w:val="002F3524"/>
    <w:rsid w:val="002F36B6"/>
    <w:rsid w:val="002F522F"/>
    <w:rsid w:val="002F6811"/>
    <w:rsid w:val="002F6C09"/>
    <w:rsid w:val="002F6DD0"/>
    <w:rsid w:val="002F71C0"/>
    <w:rsid w:val="002F735C"/>
    <w:rsid w:val="002F7B59"/>
    <w:rsid w:val="00300145"/>
    <w:rsid w:val="003004A2"/>
    <w:rsid w:val="003010CF"/>
    <w:rsid w:val="003015AC"/>
    <w:rsid w:val="00301DF5"/>
    <w:rsid w:val="00301FAD"/>
    <w:rsid w:val="00302024"/>
    <w:rsid w:val="003024ED"/>
    <w:rsid w:val="003025E5"/>
    <w:rsid w:val="00304759"/>
    <w:rsid w:val="00304AF5"/>
    <w:rsid w:val="00305E0C"/>
    <w:rsid w:val="003061CE"/>
    <w:rsid w:val="003072BF"/>
    <w:rsid w:val="00311E5E"/>
    <w:rsid w:val="00312904"/>
    <w:rsid w:val="00312E08"/>
    <w:rsid w:val="0031390A"/>
    <w:rsid w:val="00313E2D"/>
    <w:rsid w:val="00315E87"/>
    <w:rsid w:val="003167A7"/>
    <w:rsid w:val="003169AD"/>
    <w:rsid w:val="00316BBD"/>
    <w:rsid w:val="00316D21"/>
    <w:rsid w:val="00317BE7"/>
    <w:rsid w:val="00317EA9"/>
    <w:rsid w:val="003213FA"/>
    <w:rsid w:val="00321FA0"/>
    <w:rsid w:val="00323498"/>
    <w:rsid w:val="00325305"/>
    <w:rsid w:val="0032564E"/>
    <w:rsid w:val="003268C8"/>
    <w:rsid w:val="00326A0E"/>
    <w:rsid w:val="00326FDC"/>
    <w:rsid w:val="003277AA"/>
    <w:rsid w:val="003319F0"/>
    <w:rsid w:val="003320F3"/>
    <w:rsid w:val="003322D8"/>
    <w:rsid w:val="003349C6"/>
    <w:rsid w:val="00334EC1"/>
    <w:rsid w:val="003354A9"/>
    <w:rsid w:val="003369D2"/>
    <w:rsid w:val="00337B30"/>
    <w:rsid w:val="003401D0"/>
    <w:rsid w:val="003415EF"/>
    <w:rsid w:val="00341F70"/>
    <w:rsid w:val="003437BB"/>
    <w:rsid w:val="00343A01"/>
    <w:rsid w:val="00343FF5"/>
    <w:rsid w:val="003440CE"/>
    <w:rsid w:val="00344519"/>
    <w:rsid w:val="003471DB"/>
    <w:rsid w:val="00347507"/>
    <w:rsid w:val="0035004B"/>
    <w:rsid w:val="003500CA"/>
    <w:rsid w:val="00350F7C"/>
    <w:rsid w:val="00351566"/>
    <w:rsid w:val="00352DBB"/>
    <w:rsid w:val="00352F25"/>
    <w:rsid w:val="003550D8"/>
    <w:rsid w:val="0035562C"/>
    <w:rsid w:val="003558FC"/>
    <w:rsid w:val="00357AEE"/>
    <w:rsid w:val="00361A40"/>
    <w:rsid w:val="0036200B"/>
    <w:rsid w:val="00362D19"/>
    <w:rsid w:val="00362FA6"/>
    <w:rsid w:val="00363147"/>
    <w:rsid w:val="003646E0"/>
    <w:rsid w:val="00365F4A"/>
    <w:rsid w:val="0036693B"/>
    <w:rsid w:val="00367270"/>
    <w:rsid w:val="0037035C"/>
    <w:rsid w:val="003713C4"/>
    <w:rsid w:val="0037150C"/>
    <w:rsid w:val="00371A16"/>
    <w:rsid w:val="00371CA6"/>
    <w:rsid w:val="003723B4"/>
    <w:rsid w:val="003736F6"/>
    <w:rsid w:val="0037384E"/>
    <w:rsid w:val="003738BD"/>
    <w:rsid w:val="003748AF"/>
    <w:rsid w:val="00374C66"/>
    <w:rsid w:val="00376323"/>
    <w:rsid w:val="00376D5A"/>
    <w:rsid w:val="00380531"/>
    <w:rsid w:val="00381ECC"/>
    <w:rsid w:val="0038280A"/>
    <w:rsid w:val="00383915"/>
    <w:rsid w:val="003849D9"/>
    <w:rsid w:val="00385906"/>
    <w:rsid w:val="00387341"/>
    <w:rsid w:val="00387596"/>
    <w:rsid w:val="00387690"/>
    <w:rsid w:val="003879AA"/>
    <w:rsid w:val="003938D7"/>
    <w:rsid w:val="0039390C"/>
    <w:rsid w:val="00393C2B"/>
    <w:rsid w:val="00394A15"/>
    <w:rsid w:val="00395924"/>
    <w:rsid w:val="003962DF"/>
    <w:rsid w:val="003965FF"/>
    <w:rsid w:val="00396A46"/>
    <w:rsid w:val="00396DC9"/>
    <w:rsid w:val="003A023C"/>
    <w:rsid w:val="003A0F82"/>
    <w:rsid w:val="003A2213"/>
    <w:rsid w:val="003A4F53"/>
    <w:rsid w:val="003A643C"/>
    <w:rsid w:val="003A6CA1"/>
    <w:rsid w:val="003A708A"/>
    <w:rsid w:val="003A7747"/>
    <w:rsid w:val="003A7E4A"/>
    <w:rsid w:val="003B0573"/>
    <w:rsid w:val="003B0B3B"/>
    <w:rsid w:val="003B117B"/>
    <w:rsid w:val="003B193D"/>
    <w:rsid w:val="003B2070"/>
    <w:rsid w:val="003B237B"/>
    <w:rsid w:val="003B2389"/>
    <w:rsid w:val="003B28EC"/>
    <w:rsid w:val="003B361B"/>
    <w:rsid w:val="003B3A50"/>
    <w:rsid w:val="003B3D20"/>
    <w:rsid w:val="003B60A5"/>
    <w:rsid w:val="003C0CF8"/>
    <w:rsid w:val="003C1419"/>
    <w:rsid w:val="003C1949"/>
    <w:rsid w:val="003C1A1C"/>
    <w:rsid w:val="003C4DAE"/>
    <w:rsid w:val="003C5D1F"/>
    <w:rsid w:val="003C6220"/>
    <w:rsid w:val="003C6BFB"/>
    <w:rsid w:val="003D054B"/>
    <w:rsid w:val="003D0B38"/>
    <w:rsid w:val="003D0C49"/>
    <w:rsid w:val="003D13C8"/>
    <w:rsid w:val="003D157A"/>
    <w:rsid w:val="003D1811"/>
    <w:rsid w:val="003D2CD5"/>
    <w:rsid w:val="003D48F3"/>
    <w:rsid w:val="003D4A42"/>
    <w:rsid w:val="003D4BAD"/>
    <w:rsid w:val="003D4DE0"/>
    <w:rsid w:val="003D56B4"/>
    <w:rsid w:val="003D5DED"/>
    <w:rsid w:val="003D602F"/>
    <w:rsid w:val="003D616B"/>
    <w:rsid w:val="003D6D4B"/>
    <w:rsid w:val="003D7199"/>
    <w:rsid w:val="003D7F11"/>
    <w:rsid w:val="003E0047"/>
    <w:rsid w:val="003E07E3"/>
    <w:rsid w:val="003E0B4F"/>
    <w:rsid w:val="003E0E37"/>
    <w:rsid w:val="003E18A9"/>
    <w:rsid w:val="003E2067"/>
    <w:rsid w:val="003E33F3"/>
    <w:rsid w:val="003E397F"/>
    <w:rsid w:val="003E3E86"/>
    <w:rsid w:val="003E5495"/>
    <w:rsid w:val="003E7195"/>
    <w:rsid w:val="003E7985"/>
    <w:rsid w:val="003F007B"/>
    <w:rsid w:val="003F2126"/>
    <w:rsid w:val="003F2EAB"/>
    <w:rsid w:val="003F3D4B"/>
    <w:rsid w:val="003F5E4E"/>
    <w:rsid w:val="003F5F90"/>
    <w:rsid w:val="003F6609"/>
    <w:rsid w:val="003F7AE6"/>
    <w:rsid w:val="004005B0"/>
    <w:rsid w:val="004005CA"/>
    <w:rsid w:val="00402F09"/>
    <w:rsid w:val="004036B8"/>
    <w:rsid w:val="00404318"/>
    <w:rsid w:val="0040447B"/>
    <w:rsid w:val="00404521"/>
    <w:rsid w:val="004054FC"/>
    <w:rsid w:val="0040591E"/>
    <w:rsid w:val="00405C60"/>
    <w:rsid w:val="00410DE2"/>
    <w:rsid w:val="00412218"/>
    <w:rsid w:val="00412F2A"/>
    <w:rsid w:val="00413038"/>
    <w:rsid w:val="00413D13"/>
    <w:rsid w:val="004146AD"/>
    <w:rsid w:val="00415344"/>
    <w:rsid w:val="00415637"/>
    <w:rsid w:val="00415770"/>
    <w:rsid w:val="00415DD1"/>
    <w:rsid w:val="00416B21"/>
    <w:rsid w:val="00417543"/>
    <w:rsid w:val="00417608"/>
    <w:rsid w:val="004204DD"/>
    <w:rsid w:val="00420BE5"/>
    <w:rsid w:val="0042168C"/>
    <w:rsid w:val="00422077"/>
    <w:rsid w:val="0042287E"/>
    <w:rsid w:val="004230AF"/>
    <w:rsid w:val="004237D2"/>
    <w:rsid w:val="00424D0C"/>
    <w:rsid w:val="004254DD"/>
    <w:rsid w:val="0042588F"/>
    <w:rsid w:val="0042598B"/>
    <w:rsid w:val="004269B8"/>
    <w:rsid w:val="004275E5"/>
    <w:rsid w:val="00427774"/>
    <w:rsid w:val="004279DE"/>
    <w:rsid w:val="00427B52"/>
    <w:rsid w:val="00431D21"/>
    <w:rsid w:val="00431D3D"/>
    <w:rsid w:val="00432ABD"/>
    <w:rsid w:val="004334BE"/>
    <w:rsid w:val="00433A8B"/>
    <w:rsid w:val="00433E4F"/>
    <w:rsid w:val="00433E50"/>
    <w:rsid w:val="0043449C"/>
    <w:rsid w:val="00435296"/>
    <w:rsid w:val="00435444"/>
    <w:rsid w:val="00435597"/>
    <w:rsid w:val="00435E46"/>
    <w:rsid w:val="00436964"/>
    <w:rsid w:val="00436D8A"/>
    <w:rsid w:val="00436D8E"/>
    <w:rsid w:val="00437605"/>
    <w:rsid w:val="00440173"/>
    <w:rsid w:val="004403EA"/>
    <w:rsid w:val="004405DE"/>
    <w:rsid w:val="004407BD"/>
    <w:rsid w:val="00440A94"/>
    <w:rsid w:val="00440DAF"/>
    <w:rsid w:val="00441CF3"/>
    <w:rsid w:val="00442852"/>
    <w:rsid w:val="0044400B"/>
    <w:rsid w:val="00444734"/>
    <w:rsid w:val="00445426"/>
    <w:rsid w:val="004461F4"/>
    <w:rsid w:val="00446455"/>
    <w:rsid w:val="004477A6"/>
    <w:rsid w:val="00450104"/>
    <w:rsid w:val="00450DCD"/>
    <w:rsid w:val="00450F5E"/>
    <w:rsid w:val="004520D9"/>
    <w:rsid w:val="004546C4"/>
    <w:rsid w:val="00454BAB"/>
    <w:rsid w:val="00455B52"/>
    <w:rsid w:val="00456FF5"/>
    <w:rsid w:val="004571A0"/>
    <w:rsid w:val="00457DA3"/>
    <w:rsid w:val="004603B1"/>
    <w:rsid w:val="004607BE"/>
    <w:rsid w:val="00461B33"/>
    <w:rsid w:val="0046402E"/>
    <w:rsid w:val="00465A1C"/>
    <w:rsid w:val="004672BA"/>
    <w:rsid w:val="00467588"/>
    <w:rsid w:val="0046764D"/>
    <w:rsid w:val="00471BC1"/>
    <w:rsid w:val="00471EF4"/>
    <w:rsid w:val="00472B88"/>
    <w:rsid w:val="00473CE4"/>
    <w:rsid w:val="0047454B"/>
    <w:rsid w:val="0047504E"/>
    <w:rsid w:val="00475173"/>
    <w:rsid w:val="00475CC6"/>
    <w:rsid w:val="00475FBA"/>
    <w:rsid w:val="0047608E"/>
    <w:rsid w:val="00476CCD"/>
    <w:rsid w:val="00477198"/>
    <w:rsid w:val="0047724F"/>
    <w:rsid w:val="004779A0"/>
    <w:rsid w:val="00477BC5"/>
    <w:rsid w:val="00477DBD"/>
    <w:rsid w:val="004809C3"/>
    <w:rsid w:val="00480AD5"/>
    <w:rsid w:val="00483662"/>
    <w:rsid w:val="00483DCD"/>
    <w:rsid w:val="00484879"/>
    <w:rsid w:val="00485079"/>
    <w:rsid w:val="004856A6"/>
    <w:rsid w:val="00486D23"/>
    <w:rsid w:val="004874B5"/>
    <w:rsid w:val="004876AE"/>
    <w:rsid w:val="00487BC7"/>
    <w:rsid w:val="00491297"/>
    <w:rsid w:val="004920BC"/>
    <w:rsid w:val="00492687"/>
    <w:rsid w:val="004947FC"/>
    <w:rsid w:val="00494CE2"/>
    <w:rsid w:val="00494E21"/>
    <w:rsid w:val="00494E23"/>
    <w:rsid w:val="004950EC"/>
    <w:rsid w:val="0049541C"/>
    <w:rsid w:val="004955FE"/>
    <w:rsid w:val="004A0547"/>
    <w:rsid w:val="004A122A"/>
    <w:rsid w:val="004A1877"/>
    <w:rsid w:val="004A1B40"/>
    <w:rsid w:val="004A24D6"/>
    <w:rsid w:val="004A4172"/>
    <w:rsid w:val="004A4AA7"/>
    <w:rsid w:val="004A4CDD"/>
    <w:rsid w:val="004A58CB"/>
    <w:rsid w:val="004A5ECA"/>
    <w:rsid w:val="004A770F"/>
    <w:rsid w:val="004B0CF7"/>
    <w:rsid w:val="004B112C"/>
    <w:rsid w:val="004B1EFE"/>
    <w:rsid w:val="004B2C1E"/>
    <w:rsid w:val="004B52DB"/>
    <w:rsid w:val="004B6E23"/>
    <w:rsid w:val="004C0098"/>
    <w:rsid w:val="004C0854"/>
    <w:rsid w:val="004C2FBA"/>
    <w:rsid w:val="004C327E"/>
    <w:rsid w:val="004C3338"/>
    <w:rsid w:val="004C4A79"/>
    <w:rsid w:val="004C5D5D"/>
    <w:rsid w:val="004C5FE7"/>
    <w:rsid w:val="004C641A"/>
    <w:rsid w:val="004C6BAB"/>
    <w:rsid w:val="004C74E4"/>
    <w:rsid w:val="004C7978"/>
    <w:rsid w:val="004C7AAB"/>
    <w:rsid w:val="004D0FB4"/>
    <w:rsid w:val="004D1DB0"/>
    <w:rsid w:val="004D1F4A"/>
    <w:rsid w:val="004D26FF"/>
    <w:rsid w:val="004D2FDA"/>
    <w:rsid w:val="004D383F"/>
    <w:rsid w:val="004D3E74"/>
    <w:rsid w:val="004D3EE4"/>
    <w:rsid w:val="004D4572"/>
    <w:rsid w:val="004D4826"/>
    <w:rsid w:val="004D57F4"/>
    <w:rsid w:val="004D610B"/>
    <w:rsid w:val="004D612C"/>
    <w:rsid w:val="004D6657"/>
    <w:rsid w:val="004D788A"/>
    <w:rsid w:val="004D7B0F"/>
    <w:rsid w:val="004E03FC"/>
    <w:rsid w:val="004E0980"/>
    <w:rsid w:val="004E1D4E"/>
    <w:rsid w:val="004E2B65"/>
    <w:rsid w:val="004E34E6"/>
    <w:rsid w:val="004E49C2"/>
    <w:rsid w:val="004E4E14"/>
    <w:rsid w:val="004E4EAF"/>
    <w:rsid w:val="004E5350"/>
    <w:rsid w:val="004E7093"/>
    <w:rsid w:val="004E7329"/>
    <w:rsid w:val="004F0005"/>
    <w:rsid w:val="004F0648"/>
    <w:rsid w:val="004F0DEF"/>
    <w:rsid w:val="004F1918"/>
    <w:rsid w:val="004F25CE"/>
    <w:rsid w:val="004F27B5"/>
    <w:rsid w:val="004F3373"/>
    <w:rsid w:val="004F3EA7"/>
    <w:rsid w:val="004F4147"/>
    <w:rsid w:val="004F58CC"/>
    <w:rsid w:val="004F5A60"/>
    <w:rsid w:val="004F5D8B"/>
    <w:rsid w:val="004F5DFF"/>
    <w:rsid w:val="004F5E07"/>
    <w:rsid w:val="004F6285"/>
    <w:rsid w:val="004F68F7"/>
    <w:rsid w:val="004F6C2A"/>
    <w:rsid w:val="005003F4"/>
    <w:rsid w:val="00501630"/>
    <w:rsid w:val="00502D3E"/>
    <w:rsid w:val="0050301A"/>
    <w:rsid w:val="005056C8"/>
    <w:rsid w:val="0050574B"/>
    <w:rsid w:val="005061DE"/>
    <w:rsid w:val="00506855"/>
    <w:rsid w:val="00506973"/>
    <w:rsid w:val="00507654"/>
    <w:rsid w:val="0051089F"/>
    <w:rsid w:val="00510CEA"/>
    <w:rsid w:val="0051134D"/>
    <w:rsid w:val="00511F9C"/>
    <w:rsid w:val="00512283"/>
    <w:rsid w:val="00512C88"/>
    <w:rsid w:val="00512FF9"/>
    <w:rsid w:val="00513635"/>
    <w:rsid w:val="005149D2"/>
    <w:rsid w:val="00515C8F"/>
    <w:rsid w:val="005165F7"/>
    <w:rsid w:val="00516610"/>
    <w:rsid w:val="005174A4"/>
    <w:rsid w:val="0051759C"/>
    <w:rsid w:val="00517B43"/>
    <w:rsid w:val="00520CF7"/>
    <w:rsid w:val="005219A7"/>
    <w:rsid w:val="005227F7"/>
    <w:rsid w:val="00523D5D"/>
    <w:rsid w:val="00524329"/>
    <w:rsid w:val="0052502B"/>
    <w:rsid w:val="00525235"/>
    <w:rsid w:val="00525951"/>
    <w:rsid w:val="005265A2"/>
    <w:rsid w:val="0052700E"/>
    <w:rsid w:val="0053035F"/>
    <w:rsid w:val="0053095C"/>
    <w:rsid w:val="00530C99"/>
    <w:rsid w:val="0053123E"/>
    <w:rsid w:val="0053211D"/>
    <w:rsid w:val="0053267B"/>
    <w:rsid w:val="005339BD"/>
    <w:rsid w:val="00533BCC"/>
    <w:rsid w:val="00534440"/>
    <w:rsid w:val="00534726"/>
    <w:rsid w:val="00534914"/>
    <w:rsid w:val="00534DD1"/>
    <w:rsid w:val="00534F39"/>
    <w:rsid w:val="005350F8"/>
    <w:rsid w:val="00535E9B"/>
    <w:rsid w:val="005366A7"/>
    <w:rsid w:val="00536C23"/>
    <w:rsid w:val="005371A2"/>
    <w:rsid w:val="00537E26"/>
    <w:rsid w:val="005405DA"/>
    <w:rsid w:val="00540EE8"/>
    <w:rsid w:val="005419D8"/>
    <w:rsid w:val="005423B4"/>
    <w:rsid w:val="00542F52"/>
    <w:rsid w:val="0054311E"/>
    <w:rsid w:val="00543BCF"/>
    <w:rsid w:val="00544D55"/>
    <w:rsid w:val="00544E6D"/>
    <w:rsid w:val="00550293"/>
    <w:rsid w:val="005513E3"/>
    <w:rsid w:val="00551F9F"/>
    <w:rsid w:val="00552CC4"/>
    <w:rsid w:val="00552DE5"/>
    <w:rsid w:val="00553A70"/>
    <w:rsid w:val="00554033"/>
    <w:rsid w:val="00554194"/>
    <w:rsid w:val="0055507D"/>
    <w:rsid w:val="00555354"/>
    <w:rsid w:val="00555DB2"/>
    <w:rsid w:val="00557852"/>
    <w:rsid w:val="00557BC1"/>
    <w:rsid w:val="00557E3F"/>
    <w:rsid w:val="005604CD"/>
    <w:rsid w:val="005620DA"/>
    <w:rsid w:val="00563290"/>
    <w:rsid w:val="00563CF7"/>
    <w:rsid w:val="0056419F"/>
    <w:rsid w:val="005648CD"/>
    <w:rsid w:val="005660C8"/>
    <w:rsid w:val="00566695"/>
    <w:rsid w:val="00566A3E"/>
    <w:rsid w:val="0056795A"/>
    <w:rsid w:val="00567C43"/>
    <w:rsid w:val="00570150"/>
    <w:rsid w:val="005708AA"/>
    <w:rsid w:val="005726DC"/>
    <w:rsid w:val="00572C69"/>
    <w:rsid w:val="00573272"/>
    <w:rsid w:val="00573F07"/>
    <w:rsid w:val="00574D02"/>
    <w:rsid w:val="00575F9B"/>
    <w:rsid w:val="005764B9"/>
    <w:rsid w:val="005769FD"/>
    <w:rsid w:val="005772BC"/>
    <w:rsid w:val="00577F1E"/>
    <w:rsid w:val="00580900"/>
    <w:rsid w:val="00581A33"/>
    <w:rsid w:val="00581BB4"/>
    <w:rsid w:val="005828EC"/>
    <w:rsid w:val="00582C16"/>
    <w:rsid w:val="0058389C"/>
    <w:rsid w:val="0058464A"/>
    <w:rsid w:val="005848EB"/>
    <w:rsid w:val="0058679A"/>
    <w:rsid w:val="00586DDB"/>
    <w:rsid w:val="005870BC"/>
    <w:rsid w:val="00590338"/>
    <w:rsid w:val="0059052D"/>
    <w:rsid w:val="00590807"/>
    <w:rsid w:val="00590AB7"/>
    <w:rsid w:val="00592340"/>
    <w:rsid w:val="00592BA0"/>
    <w:rsid w:val="0059323A"/>
    <w:rsid w:val="00594F1D"/>
    <w:rsid w:val="0059569C"/>
    <w:rsid w:val="005959FC"/>
    <w:rsid w:val="005966B6"/>
    <w:rsid w:val="0059739E"/>
    <w:rsid w:val="005975E7"/>
    <w:rsid w:val="005A2AC6"/>
    <w:rsid w:val="005A360B"/>
    <w:rsid w:val="005A3A5C"/>
    <w:rsid w:val="005A4101"/>
    <w:rsid w:val="005A6783"/>
    <w:rsid w:val="005A6EB1"/>
    <w:rsid w:val="005A6F3B"/>
    <w:rsid w:val="005B006A"/>
    <w:rsid w:val="005B10ED"/>
    <w:rsid w:val="005B1440"/>
    <w:rsid w:val="005B1971"/>
    <w:rsid w:val="005B1B1F"/>
    <w:rsid w:val="005B1CCF"/>
    <w:rsid w:val="005B31F8"/>
    <w:rsid w:val="005B37D5"/>
    <w:rsid w:val="005B3A88"/>
    <w:rsid w:val="005B41EA"/>
    <w:rsid w:val="005B42B4"/>
    <w:rsid w:val="005B47BC"/>
    <w:rsid w:val="005B4B7B"/>
    <w:rsid w:val="005B5AAC"/>
    <w:rsid w:val="005C131A"/>
    <w:rsid w:val="005C214B"/>
    <w:rsid w:val="005C2177"/>
    <w:rsid w:val="005C21BB"/>
    <w:rsid w:val="005C4FDA"/>
    <w:rsid w:val="005C513F"/>
    <w:rsid w:val="005C51C9"/>
    <w:rsid w:val="005C559E"/>
    <w:rsid w:val="005C58BA"/>
    <w:rsid w:val="005C5C56"/>
    <w:rsid w:val="005C6FAC"/>
    <w:rsid w:val="005C7982"/>
    <w:rsid w:val="005C7B8A"/>
    <w:rsid w:val="005D00F7"/>
    <w:rsid w:val="005D0401"/>
    <w:rsid w:val="005D049E"/>
    <w:rsid w:val="005D0797"/>
    <w:rsid w:val="005D0916"/>
    <w:rsid w:val="005D1616"/>
    <w:rsid w:val="005D164E"/>
    <w:rsid w:val="005D2FE8"/>
    <w:rsid w:val="005D4DF2"/>
    <w:rsid w:val="005D5CCE"/>
    <w:rsid w:val="005D6037"/>
    <w:rsid w:val="005E00B8"/>
    <w:rsid w:val="005E05E5"/>
    <w:rsid w:val="005E0C2F"/>
    <w:rsid w:val="005E1325"/>
    <w:rsid w:val="005E1924"/>
    <w:rsid w:val="005E2868"/>
    <w:rsid w:val="005E2F81"/>
    <w:rsid w:val="005E3160"/>
    <w:rsid w:val="005E33D8"/>
    <w:rsid w:val="005E4D19"/>
    <w:rsid w:val="005E5070"/>
    <w:rsid w:val="005E5D4A"/>
    <w:rsid w:val="005E6AC7"/>
    <w:rsid w:val="005E6E56"/>
    <w:rsid w:val="005E78CF"/>
    <w:rsid w:val="005E7A7D"/>
    <w:rsid w:val="005F07A5"/>
    <w:rsid w:val="005F0C52"/>
    <w:rsid w:val="005F0F13"/>
    <w:rsid w:val="005F1185"/>
    <w:rsid w:val="005F1773"/>
    <w:rsid w:val="005F1BAF"/>
    <w:rsid w:val="005F4084"/>
    <w:rsid w:val="005F6039"/>
    <w:rsid w:val="005F61D7"/>
    <w:rsid w:val="005F646B"/>
    <w:rsid w:val="005F7249"/>
    <w:rsid w:val="00604554"/>
    <w:rsid w:val="006048B7"/>
    <w:rsid w:val="00606DF1"/>
    <w:rsid w:val="006072A9"/>
    <w:rsid w:val="00607A7F"/>
    <w:rsid w:val="00610C53"/>
    <w:rsid w:val="006115CF"/>
    <w:rsid w:val="006118BA"/>
    <w:rsid w:val="006124BC"/>
    <w:rsid w:val="00613E1F"/>
    <w:rsid w:val="0061446E"/>
    <w:rsid w:val="00615057"/>
    <w:rsid w:val="00617379"/>
    <w:rsid w:val="00617902"/>
    <w:rsid w:val="00617911"/>
    <w:rsid w:val="006202A8"/>
    <w:rsid w:val="006205DA"/>
    <w:rsid w:val="00620AF6"/>
    <w:rsid w:val="00620B55"/>
    <w:rsid w:val="006218AA"/>
    <w:rsid w:val="00621E32"/>
    <w:rsid w:val="00622EBB"/>
    <w:rsid w:val="00623BA1"/>
    <w:rsid w:val="00623C7B"/>
    <w:rsid w:val="00624FBB"/>
    <w:rsid w:val="00625A7C"/>
    <w:rsid w:val="00625EEF"/>
    <w:rsid w:val="0062651F"/>
    <w:rsid w:val="00626527"/>
    <w:rsid w:val="006269C7"/>
    <w:rsid w:val="00627E86"/>
    <w:rsid w:val="00630E99"/>
    <w:rsid w:val="0063156A"/>
    <w:rsid w:val="00631F33"/>
    <w:rsid w:val="006320F8"/>
    <w:rsid w:val="006325D4"/>
    <w:rsid w:val="006344F0"/>
    <w:rsid w:val="00634F76"/>
    <w:rsid w:val="006367A5"/>
    <w:rsid w:val="00636B0F"/>
    <w:rsid w:val="006406B8"/>
    <w:rsid w:val="00640E69"/>
    <w:rsid w:val="00641565"/>
    <w:rsid w:val="006417E6"/>
    <w:rsid w:val="00642074"/>
    <w:rsid w:val="00642694"/>
    <w:rsid w:val="00642D80"/>
    <w:rsid w:val="00642EAE"/>
    <w:rsid w:val="00644BE6"/>
    <w:rsid w:val="00644E2E"/>
    <w:rsid w:val="006458D5"/>
    <w:rsid w:val="0064615B"/>
    <w:rsid w:val="00647756"/>
    <w:rsid w:val="00650AA3"/>
    <w:rsid w:val="00651B62"/>
    <w:rsid w:val="00651E6E"/>
    <w:rsid w:val="00653773"/>
    <w:rsid w:val="00653A80"/>
    <w:rsid w:val="00653B3E"/>
    <w:rsid w:val="00653C73"/>
    <w:rsid w:val="00654677"/>
    <w:rsid w:val="00654921"/>
    <w:rsid w:val="00654C88"/>
    <w:rsid w:val="00654CAC"/>
    <w:rsid w:val="00656DE5"/>
    <w:rsid w:val="006571F3"/>
    <w:rsid w:val="00657373"/>
    <w:rsid w:val="006576E3"/>
    <w:rsid w:val="00657EB2"/>
    <w:rsid w:val="006601C2"/>
    <w:rsid w:val="006606AB"/>
    <w:rsid w:val="006635D4"/>
    <w:rsid w:val="0066372F"/>
    <w:rsid w:val="00663883"/>
    <w:rsid w:val="00663C88"/>
    <w:rsid w:val="006650D3"/>
    <w:rsid w:val="00665BC1"/>
    <w:rsid w:val="00665EFD"/>
    <w:rsid w:val="006660BE"/>
    <w:rsid w:val="00667377"/>
    <w:rsid w:val="00667A20"/>
    <w:rsid w:val="00670B64"/>
    <w:rsid w:val="006717F6"/>
    <w:rsid w:val="00672333"/>
    <w:rsid w:val="006729F3"/>
    <w:rsid w:val="006759FE"/>
    <w:rsid w:val="00677509"/>
    <w:rsid w:val="00682553"/>
    <w:rsid w:val="00682714"/>
    <w:rsid w:val="006828C3"/>
    <w:rsid w:val="00682A4A"/>
    <w:rsid w:val="0068306A"/>
    <w:rsid w:val="00683BB9"/>
    <w:rsid w:val="00683EA9"/>
    <w:rsid w:val="00684213"/>
    <w:rsid w:val="0068445A"/>
    <w:rsid w:val="006846D3"/>
    <w:rsid w:val="00685A6B"/>
    <w:rsid w:val="006861FC"/>
    <w:rsid w:val="00686A0B"/>
    <w:rsid w:val="00686A6B"/>
    <w:rsid w:val="006878E1"/>
    <w:rsid w:val="00687B4F"/>
    <w:rsid w:val="00687FBD"/>
    <w:rsid w:val="006911CA"/>
    <w:rsid w:val="00691358"/>
    <w:rsid w:val="006918C1"/>
    <w:rsid w:val="006919D4"/>
    <w:rsid w:val="00691F65"/>
    <w:rsid w:val="0069303F"/>
    <w:rsid w:val="0069367B"/>
    <w:rsid w:val="006948C4"/>
    <w:rsid w:val="00694E2D"/>
    <w:rsid w:val="00695027"/>
    <w:rsid w:val="00695DD2"/>
    <w:rsid w:val="00697164"/>
    <w:rsid w:val="00697872"/>
    <w:rsid w:val="00697D98"/>
    <w:rsid w:val="00697E24"/>
    <w:rsid w:val="006A030E"/>
    <w:rsid w:val="006A0FD5"/>
    <w:rsid w:val="006A17E3"/>
    <w:rsid w:val="006A1C3C"/>
    <w:rsid w:val="006A1ED6"/>
    <w:rsid w:val="006A25E9"/>
    <w:rsid w:val="006A3016"/>
    <w:rsid w:val="006A3E38"/>
    <w:rsid w:val="006A4291"/>
    <w:rsid w:val="006A5977"/>
    <w:rsid w:val="006A6C94"/>
    <w:rsid w:val="006A7263"/>
    <w:rsid w:val="006A763C"/>
    <w:rsid w:val="006A78EE"/>
    <w:rsid w:val="006B09DC"/>
    <w:rsid w:val="006B17ED"/>
    <w:rsid w:val="006B1B56"/>
    <w:rsid w:val="006B1E19"/>
    <w:rsid w:val="006B2220"/>
    <w:rsid w:val="006B3047"/>
    <w:rsid w:val="006B3C80"/>
    <w:rsid w:val="006B411C"/>
    <w:rsid w:val="006B5974"/>
    <w:rsid w:val="006B7E74"/>
    <w:rsid w:val="006C0F3E"/>
    <w:rsid w:val="006C192B"/>
    <w:rsid w:val="006C1C8A"/>
    <w:rsid w:val="006C23ED"/>
    <w:rsid w:val="006C2B78"/>
    <w:rsid w:val="006C311B"/>
    <w:rsid w:val="006C3FF6"/>
    <w:rsid w:val="006C456B"/>
    <w:rsid w:val="006C5DAF"/>
    <w:rsid w:val="006C60C5"/>
    <w:rsid w:val="006D082A"/>
    <w:rsid w:val="006D0DAA"/>
    <w:rsid w:val="006D0E63"/>
    <w:rsid w:val="006D127A"/>
    <w:rsid w:val="006D23E7"/>
    <w:rsid w:val="006D2479"/>
    <w:rsid w:val="006D2C1B"/>
    <w:rsid w:val="006D4129"/>
    <w:rsid w:val="006D482A"/>
    <w:rsid w:val="006D4DCA"/>
    <w:rsid w:val="006D5623"/>
    <w:rsid w:val="006D59A1"/>
    <w:rsid w:val="006D77A0"/>
    <w:rsid w:val="006D78EB"/>
    <w:rsid w:val="006D7CC4"/>
    <w:rsid w:val="006E0BCD"/>
    <w:rsid w:val="006E1297"/>
    <w:rsid w:val="006E15B6"/>
    <w:rsid w:val="006E16E4"/>
    <w:rsid w:val="006E1A07"/>
    <w:rsid w:val="006E273D"/>
    <w:rsid w:val="006E2853"/>
    <w:rsid w:val="006E301F"/>
    <w:rsid w:val="006E32D8"/>
    <w:rsid w:val="006E36CC"/>
    <w:rsid w:val="006E3BA3"/>
    <w:rsid w:val="006E46DE"/>
    <w:rsid w:val="006E59BC"/>
    <w:rsid w:val="006E6C5B"/>
    <w:rsid w:val="006F00D1"/>
    <w:rsid w:val="006F01F1"/>
    <w:rsid w:val="006F0350"/>
    <w:rsid w:val="006F0750"/>
    <w:rsid w:val="006F1767"/>
    <w:rsid w:val="006F18B7"/>
    <w:rsid w:val="006F194C"/>
    <w:rsid w:val="006F1DA1"/>
    <w:rsid w:val="006F269D"/>
    <w:rsid w:val="006F3608"/>
    <w:rsid w:val="006F3A6D"/>
    <w:rsid w:val="006F562A"/>
    <w:rsid w:val="006F5790"/>
    <w:rsid w:val="006F6198"/>
    <w:rsid w:val="006F65DD"/>
    <w:rsid w:val="006F697F"/>
    <w:rsid w:val="006F7958"/>
    <w:rsid w:val="00700197"/>
    <w:rsid w:val="00702B2C"/>
    <w:rsid w:val="0070345C"/>
    <w:rsid w:val="00703DB4"/>
    <w:rsid w:val="007040ED"/>
    <w:rsid w:val="0070416F"/>
    <w:rsid w:val="007044D4"/>
    <w:rsid w:val="00705846"/>
    <w:rsid w:val="00706612"/>
    <w:rsid w:val="00706AE6"/>
    <w:rsid w:val="00706DA3"/>
    <w:rsid w:val="00707A7B"/>
    <w:rsid w:val="0071084E"/>
    <w:rsid w:val="00711366"/>
    <w:rsid w:val="0071249B"/>
    <w:rsid w:val="00713F10"/>
    <w:rsid w:val="00714E66"/>
    <w:rsid w:val="00715E31"/>
    <w:rsid w:val="00715EB1"/>
    <w:rsid w:val="00716723"/>
    <w:rsid w:val="00717BC1"/>
    <w:rsid w:val="00717BFC"/>
    <w:rsid w:val="00717E78"/>
    <w:rsid w:val="007206DD"/>
    <w:rsid w:val="00720B24"/>
    <w:rsid w:val="00720D1F"/>
    <w:rsid w:val="007212E3"/>
    <w:rsid w:val="0072132E"/>
    <w:rsid w:val="00722E6E"/>
    <w:rsid w:val="00723083"/>
    <w:rsid w:val="00723533"/>
    <w:rsid w:val="00724928"/>
    <w:rsid w:val="00725343"/>
    <w:rsid w:val="007265AF"/>
    <w:rsid w:val="007300FE"/>
    <w:rsid w:val="00731037"/>
    <w:rsid w:val="0073109D"/>
    <w:rsid w:val="00731BE8"/>
    <w:rsid w:val="00732098"/>
    <w:rsid w:val="00732121"/>
    <w:rsid w:val="00732B87"/>
    <w:rsid w:val="0073332C"/>
    <w:rsid w:val="0073365A"/>
    <w:rsid w:val="007339C8"/>
    <w:rsid w:val="007342C8"/>
    <w:rsid w:val="007344D6"/>
    <w:rsid w:val="007349BB"/>
    <w:rsid w:val="007349CC"/>
    <w:rsid w:val="007353DB"/>
    <w:rsid w:val="007356E2"/>
    <w:rsid w:val="00736293"/>
    <w:rsid w:val="00736958"/>
    <w:rsid w:val="00737329"/>
    <w:rsid w:val="00737DAF"/>
    <w:rsid w:val="00737F6B"/>
    <w:rsid w:val="0074112F"/>
    <w:rsid w:val="00741700"/>
    <w:rsid w:val="00742FEC"/>
    <w:rsid w:val="0074409E"/>
    <w:rsid w:val="00746B76"/>
    <w:rsid w:val="00746FA0"/>
    <w:rsid w:val="0074773C"/>
    <w:rsid w:val="00750386"/>
    <w:rsid w:val="007505B0"/>
    <w:rsid w:val="00750C58"/>
    <w:rsid w:val="00751132"/>
    <w:rsid w:val="0075168A"/>
    <w:rsid w:val="00752C65"/>
    <w:rsid w:val="00753019"/>
    <w:rsid w:val="0075364E"/>
    <w:rsid w:val="00753B0A"/>
    <w:rsid w:val="00753B6C"/>
    <w:rsid w:val="00753F57"/>
    <w:rsid w:val="007541B7"/>
    <w:rsid w:val="007550B9"/>
    <w:rsid w:val="0075570A"/>
    <w:rsid w:val="00755B9B"/>
    <w:rsid w:val="007571F0"/>
    <w:rsid w:val="00757355"/>
    <w:rsid w:val="0075769A"/>
    <w:rsid w:val="007606C9"/>
    <w:rsid w:val="007607A0"/>
    <w:rsid w:val="007607DB"/>
    <w:rsid w:val="007612BA"/>
    <w:rsid w:val="00762619"/>
    <w:rsid w:val="00762F65"/>
    <w:rsid w:val="007631E4"/>
    <w:rsid w:val="00764F90"/>
    <w:rsid w:val="007656C3"/>
    <w:rsid w:val="00766364"/>
    <w:rsid w:val="007673F7"/>
    <w:rsid w:val="00767AA9"/>
    <w:rsid w:val="007703D2"/>
    <w:rsid w:val="007714CD"/>
    <w:rsid w:val="007714D8"/>
    <w:rsid w:val="00771A6E"/>
    <w:rsid w:val="00771A89"/>
    <w:rsid w:val="007720EF"/>
    <w:rsid w:val="007721F2"/>
    <w:rsid w:val="00772922"/>
    <w:rsid w:val="00772D43"/>
    <w:rsid w:val="00772E43"/>
    <w:rsid w:val="007733B6"/>
    <w:rsid w:val="00773834"/>
    <w:rsid w:val="00773CB9"/>
    <w:rsid w:val="0077404A"/>
    <w:rsid w:val="007743A0"/>
    <w:rsid w:val="007745DB"/>
    <w:rsid w:val="00774F3C"/>
    <w:rsid w:val="00776DC8"/>
    <w:rsid w:val="0077769D"/>
    <w:rsid w:val="007801A5"/>
    <w:rsid w:val="00780498"/>
    <w:rsid w:val="00780B1C"/>
    <w:rsid w:val="00780D41"/>
    <w:rsid w:val="0078203A"/>
    <w:rsid w:val="007834C7"/>
    <w:rsid w:val="00783A78"/>
    <w:rsid w:val="00784456"/>
    <w:rsid w:val="00784AFD"/>
    <w:rsid w:val="00784EA1"/>
    <w:rsid w:val="0078533D"/>
    <w:rsid w:val="00785B5E"/>
    <w:rsid w:val="007866A2"/>
    <w:rsid w:val="00787349"/>
    <w:rsid w:val="00790789"/>
    <w:rsid w:val="0079084D"/>
    <w:rsid w:val="00791814"/>
    <w:rsid w:val="007930FD"/>
    <w:rsid w:val="00793EC4"/>
    <w:rsid w:val="00796576"/>
    <w:rsid w:val="00796971"/>
    <w:rsid w:val="00796C7A"/>
    <w:rsid w:val="00797231"/>
    <w:rsid w:val="00797EDF"/>
    <w:rsid w:val="007A0BA8"/>
    <w:rsid w:val="007A101F"/>
    <w:rsid w:val="007A1BA0"/>
    <w:rsid w:val="007A2A73"/>
    <w:rsid w:val="007A3084"/>
    <w:rsid w:val="007A3CC3"/>
    <w:rsid w:val="007A45CA"/>
    <w:rsid w:val="007A546B"/>
    <w:rsid w:val="007A558B"/>
    <w:rsid w:val="007A5E7A"/>
    <w:rsid w:val="007A66E3"/>
    <w:rsid w:val="007A6858"/>
    <w:rsid w:val="007A6984"/>
    <w:rsid w:val="007A6CE2"/>
    <w:rsid w:val="007A707F"/>
    <w:rsid w:val="007B071A"/>
    <w:rsid w:val="007B0AD1"/>
    <w:rsid w:val="007B1290"/>
    <w:rsid w:val="007B1EF0"/>
    <w:rsid w:val="007B3813"/>
    <w:rsid w:val="007B44FD"/>
    <w:rsid w:val="007B4CB8"/>
    <w:rsid w:val="007B56E1"/>
    <w:rsid w:val="007B588B"/>
    <w:rsid w:val="007C08BA"/>
    <w:rsid w:val="007C0FFA"/>
    <w:rsid w:val="007C3F4F"/>
    <w:rsid w:val="007C4B20"/>
    <w:rsid w:val="007C5659"/>
    <w:rsid w:val="007C573A"/>
    <w:rsid w:val="007C5F8F"/>
    <w:rsid w:val="007C768D"/>
    <w:rsid w:val="007C786D"/>
    <w:rsid w:val="007C7C23"/>
    <w:rsid w:val="007C7CB0"/>
    <w:rsid w:val="007D00A9"/>
    <w:rsid w:val="007D16F6"/>
    <w:rsid w:val="007D1804"/>
    <w:rsid w:val="007D27F7"/>
    <w:rsid w:val="007D489F"/>
    <w:rsid w:val="007D4F9C"/>
    <w:rsid w:val="007D581B"/>
    <w:rsid w:val="007D6603"/>
    <w:rsid w:val="007D68CB"/>
    <w:rsid w:val="007D7DAB"/>
    <w:rsid w:val="007E0EA8"/>
    <w:rsid w:val="007E1298"/>
    <w:rsid w:val="007E370F"/>
    <w:rsid w:val="007E405E"/>
    <w:rsid w:val="007E52D7"/>
    <w:rsid w:val="007E618A"/>
    <w:rsid w:val="007E6E19"/>
    <w:rsid w:val="007E7B47"/>
    <w:rsid w:val="007E7F73"/>
    <w:rsid w:val="007F0FD2"/>
    <w:rsid w:val="007F2536"/>
    <w:rsid w:val="007F39D8"/>
    <w:rsid w:val="007F3A30"/>
    <w:rsid w:val="007F3F7C"/>
    <w:rsid w:val="007F5A09"/>
    <w:rsid w:val="007F6ADF"/>
    <w:rsid w:val="007F6CC7"/>
    <w:rsid w:val="007F71AA"/>
    <w:rsid w:val="00801C20"/>
    <w:rsid w:val="00802413"/>
    <w:rsid w:val="008028F4"/>
    <w:rsid w:val="0080440A"/>
    <w:rsid w:val="0080485B"/>
    <w:rsid w:val="008057DB"/>
    <w:rsid w:val="00805BDA"/>
    <w:rsid w:val="00806172"/>
    <w:rsid w:val="0080731D"/>
    <w:rsid w:val="00807990"/>
    <w:rsid w:val="00807F52"/>
    <w:rsid w:val="00810DB2"/>
    <w:rsid w:val="00810FFE"/>
    <w:rsid w:val="0081149A"/>
    <w:rsid w:val="008115F6"/>
    <w:rsid w:val="00811D4A"/>
    <w:rsid w:val="00812011"/>
    <w:rsid w:val="008135C8"/>
    <w:rsid w:val="008139EF"/>
    <w:rsid w:val="00813D6E"/>
    <w:rsid w:val="00813EC7"/>
    <w:rsid w:val="00814097"/>
    <w:rsid w:val="008155E3"/>
    <w:rsid w:val="00815789"/>
    <w:rsid w:val="00817253"/>
    <w:rsid w:val="008172E8"/>
    <w:rsid w:val="0082000F"/>
    <w:rsid w:val="008203F2"/>
    <w:rsid w:val="00820806"/>
    <w:rsid w:val="0082170F"/>
    <w:rsid w:val="00821E9A"/>
    <w:rsid w:val="00822D53"/>
    <w:rsid w:val="008234DB"/>
    <w:rsid w:val="0082395E"/>
    <w:rsid w:val="00823D33"/>
    <w:rsid w:val="00824493"/>
    <w:rsid w:val="00824698"/>
    <w:rsid w:val="00824F7B"/>
    <w:rsid w:val="0082538B"/>
    <w:rsid w:val="008256EB"/>
    <w:rsid w:val="008264C0"/>
    <w:rsid w:val="00827440"/>
    <w:rsid w:val="00827730"/>
    <w:rsid w:val="00831ED8"/>
    <w:rsid w:val="008328E1"/>
    <w:rsid w:val="00832A47"/>
    <w:rsid w:val="00832DB1"/>
    <w:rsid w:val="00834E90"/>
    <w:rsid w:val="00836A2D"/>
    <w:rsid w:val="00837B91"/>
    <w:rsid w:val="00837E1C"/>
    <w:rsid w:val="0084015B"/>
    <w:rsid w:val="0084151C"/>
    <w:rsid w:val="00841855"/>
    <w:rsid w:val="008425F1"/>
    <w:rsid w:val="00842636"/>
    <w:rsid w:val="00842FF2"/>
    <w:rsid w:val="0084316C"/>
    <w:rsid w:val="00843587"/>
    <w:rsid w:val="00843FE9"/>
    <w:rsid w:val="00844678"/>
    <w:rsid w:val="00844722"/>
    <w:rsid w:val="00844C23"/>
    <w:rsid w:val="0084565C"/>
    <w:rsid w:val="00846044"/>
    <w:rsid w:val="00846D86"/>
    <w:rsid w:val="00847077"/>
    <w:rsid w:val="008473F9"/>
    <w:rsid w:val="00850FA1"/>
    <w:rsid w:val="0085135A"/>
    <w:rsid w:val="00852885"/>
    <w:rsid w:val="00852A5C"/>
    <w:rsid w:val="00852D01"/>
    <w:rsid w:val="008534DA"/>
    <w:rsid w:val="00853C9E"/>
    <w:rsid w:val="008543D9"/>
    <w:rsid w:val="00854694"/>
    <w:rsid w:val="00856EAD"/>
    <w:rsid w:val="008574F7"/>
    <w:rsid w:val="008575FD"/>
    <w:rsid w:val="008624F6"/>
    <w:rsid w:val="008643EB"/>
    <w:rsid w:val="00864FB6"/>
    <w:rsid w:val="008654AD"/>
    <w:rsid w:val="00865E97"/>
    <w:rsid w:val="00866204"/>
    <w:rsid w:val="00867237"/>
    <w:rsid w:val="00867381"/>
    <w:rsid w:val="00870688"/>
    <w:rsid w:val="00870F6F"/>
    <w:rsid w:val="008720E4"/>
    <w:rsid w:val="0087246C"/>
    <w:rsid w:val="0087262D"/>
    <w:rsid w:val="00874082"/>
    <w:rsid w:val="008743F5"/>
    <w:rsid w:val="008748C7"/>
    <w:rsid w:val="00875913"/>
    <w:rsid w:val="00875C92"/>
    <w:rsid w:val="008761BF"/>
    <w:rsid w:val="008767E2"/>
    <w:rsid w:val="00876C6E"/>
    <w:rsid w:val="00882D32"/>
    <w:rsid w:val="00883303"/>
    <w:rsid w:val="0088549C"/>
    <w:rsid w:val="0088636F"/>
    <w:rsid w:val="008863F4"/>
    <w:rsid w:val="00886F44"/>
    <w:rsid w:val="00887382"/>
    <w:rsid w:val="008876E2"/>
    <w:rsid w:val="008879B7"/>
    <w:rsid w:val="00892530"/>
    <w:rsid w:val="0089320F"/>
    <w:rsid w:val="00894B3B"/>
    <w:rsid w:val="00896527"/>
    <w:rsid w:val="008965EC"/>
    <w:rsid w:val="00896B28"/>
    <w:rsid w:val="008971D7"/>
    <w:rsid w:val="00897748"/>
    <w:rsid w:val="008979F2"/>
    <w:rsid w:val="00897CBD"/>
    <w:rsid w:val="008A00DC"/>
    <w:rsid w:val="008A0791"/>
    <w:rsid w:val="008A1957"/>
    <w:rsid w:val="008A1A6B"/>
    <w:rsid w:val="008A1E09"/>
    <w:rsid w:val="008A2866"/>
    <w:rsid w:val="008A30B7"/>
    <w:rsid w:val="008A33B5"/>
    <w:rsid w:val="008A3FF2"/>
    <w:rsid w:val="008A4037"/>
    <w:rsid w:val="008A4952"/>
    <w:rsid w:val="008A51DB"/>
    <w:rsid w:val="008A5333"/>
    <w:rsid w:val="008A5822"/>
    <w:rsid w:val="008A5CB3"/>
    <w:rsid w:val="008A65B2"/>
    <w:rsid w:val="008A7735"/>
    <w:rsid w:val="008B00CB"/>
    <w:rsid w:val="008B063B"/>
    <w:rsid w:val="008B08E8"/>
    <w:rsid w:val="008B28F9"/>
    <w:rsid w:val="008B2E3D"/>
    <w:rsid w:val="008B439B"/>
    <w:rsid w:val="008B4B17"/>
    <w:rsid w:val="008B4C92"/>
    <w:rsid w:val="008B4EDF"/>
    <w:rsid w:val="008B4F73"/>
    <w:rsid w:val="008B5220"/>
    <w:rsid w:val="008B5489"/>
    <w:rsid w:val="008B6C5B"/>
    <w:rsid w:val="008B7006"/>
    <w:rsid w:val="008B70D5"/>
    <w:rsid w:val="008B7D79"/>
    <w:rsid w:val="008B7DF9"/>
    <w:rsid w:val="008C029B"/>
    <w:rsid w:val="008C0356"/>
    <w:rsid w:val="008C1872"/>
    <w:rsid w:val="008C1A5B"/>
    <w:rsid w:val="008C20D9"/>
    <w:rsid w:val="008C2A18"/>
    <w:rsid w:val="008C2A7F"/>
    <w:rsid w:val="008C4778"/>
    <w:rsid w:val="008C4E39"/>
    <w:rsid w:val="008C60D7"/>
    <w:rsid w:val="008C6152"/>
    <w:rsid w:val="008C67A7"/>
    <w:rsid w:val="008C6D3B"/>
    <w:rsid w:val="008D01A1"/>
    <w:rsid w:val="008D3A77"/>
    <w:rsid w:val="008D4478"/>
    <w:rsid w:val="008D545C"/>
    <w:rsid w:val="008D5942"/>
    <w:rsid w:val="008D690B"/>
    <w:rsid w:val="008D6A63"/>
    <w:rsid w:val="008D7662"/>
    <w:rsid w:val="008E037A"/>
    <w:rsid w:val="008E03CA"/>
    <w:rsid w:val="008E0E8F"/>
    <w:rsid w:val="008E101B"/>
    <w:rsid w:val="008E1560"/>
    <w:rsid w:val="008E22DD"/>
    <w:rsid w:val="008E3A78"/>
    <w:rsid w:val="008E496B"/>
    <w:rsid w:val="008E4A93"/>
    <w:rsid w:val="008E51E9"/>
    <w:rsid w:val="008E7303"/>
    <w:rsid w:val="008E7CDF"/>
    <w:rsid w:val="008F0FCE"/>
    <w:rsid w:val="008F19B4"/>
    <w:rsid w:val="008F1E5F"/>
    <w:rsid w:val="008F26A2"/>
    <w:rsid w:val="008F2E7C"/>
    <w:rsid w:val="008F4923"/>
    <w:rsid w:val="008F5C42"/>
    <w:rsid w:val="008F63DD"/>
    <w:rsid w:val="008F7062"/>
    <w:rsid w:val="008F7278"/>
    <w:rsid w:val="008F7932"/>
    <w:rsid w:val="00900161"/>
    <w:rsid w:val="00900C7F"/>
    <w:rsid w:val="0090175F"/>
    <w:rsid w:val="009018BA"/>
    <w:rsid w:val="009022FC"/>
    <w:rsid w:val="009024D9"/>
    <w:rsid w:val="009027F9"/>
    <w:rsid w:val="00902FB8"/>
    <w:rsid w:val="009030BD"/>
    <w:rsid w:val="00903379"/>
    <w:rsid w:val="0090462D"/>
    <w:rsid w:val="00906197"/>
    <w:rsid w:val="009066C8"/>
    <w:rsid w:val="00906B44"/>
    <w:rsid w:val="00906F60"/>
    <w:rsid w:val="00907317"/>
    <w:rsid w:val="00907AE3"/>
    <w:rsid w:val="00907C9D"/>
    <w:rsid w:val="00910299"/>
    <w:rsid w:val="009107DA"/>
    <w:rsid w:val="00910F4A"/>
    <w:rsid w:val="00911E8C"/>
    <w:rsid w:val="00912622"/>
    <w:rsid w:val="00912796"/>
    <w:rsid w:val="00912FDA"/>
    <w:rsid w:val="00913C23"/>
    <w:rsid w:val="009141C5"/>
    <w:rsid w:val="00914F0A"/>
    <w:rsid w:val="009152F7"/>
    <w:rsid w:val="009156F1"/>
    <w:rsid w:val="0091780E"/>
    <w:rsid w:val="00917979"/>
    <w:rsid w:val="0092199A"/>
    <w:rsid w:val="009219FD"/>
    <w:rsid w:val="00922AB9"/>
    <w:rsid w:val="00922BDC"/>
    <w:rsid w:val="00923D85"/>
    <w:rsid w:val="00924533"/>
    <w:rsid w:val="00925174"/>
    <w:rsid w:val="0092573F"/>
    <w:rsid w:val="00925CAE"/>
    <w:rsid w:val="009266CD"/>
    <w:rsid w:val="00926D9E"/>
    <w:rsid w:val="00927C2D"/>
    <w:rsid w:val="00927F36"/>
    <w:rsid w:val="00930563"/>
    <w:rsid w:val="009307EA"/>
    <w:rsid w:val="0093093B"/>
    <w:rsid w:val="0093113B"/>
    <w:rsid w:val="00931A39"/>
    <w:rsid w:val="009336D5"/>
    <w:rsid w:val="00934429"/>
    <w:rsid w:val="009345B0"/>
    <w:rsid w:val="00936700"/>
    <w:rsid w:val="00936AF3"/>
    <w:rsid w:val="00936C79"/>
    <w:rsid w:val="00937274"/>
    <w:rsid w:val="009402B2"/>
    <w:rsid w:val="009404A7"/>
    <w:rsid w:val="0094054E"/>
    <w:rsid w:val="0094150B"/>
    <w:rsid w:val="00942395"/>
    <w:rsid w:val="00942987"/>
    <w:rsid w:val="00942C88"/>
    <w:rsid w:val="009441E5"/>
    <w:rsid w:val="009444AE"/>
    <w:rsid w:val="00944605"/>
    <w:rsid w:val="00946638"/>
    <w:rsid w:val="00947B55"/>
    <w:rsid w:val="00947CC8"/>
    <w:rsid w:val="009504B7"/>
    <w:rsid w:val="009505E6"/>
    <w:rsid w:val="00950D7F"/>
    <w:rsid w:val="0095232F"/>
    <w:rsid w:val="009524E5"/>
    <w:rsid w:val="009525EA"/>
    <w:rsid w:val="00952A8D"/>
    <w:rsid w:val="00952BD6"/>
    <w:rsid w:val="00953414"/>
    <w:rsid w:val="00953684"/>
    <w:rsid w:val="009539AF"/>
    <w:rsid w:val="00953F03"/>
    <w:rsid w:val="00954003"/>
    <w:rsid w:val="00954271"/>
    <w:rsid w:val="00954BC4"/>
    <w:rsid w:val="00956195"/>
    <w:rsid w:val="00956765"/>
    <w:rsid w:val="009577F3"/>
    <w:rsid w:val="00957822"/>
    <w:rsid w:val="00957A64"/>
    <w:rsid w:val="009610B1"/>
    <w:rsid w:val="009611A5"/>
    <w:rsid w:val="00961497"/>
    <w:rsid w:val="00962D27"/>
    <w:rsid w:val="0096634F"/>
    <w:rsid w:val="00967BA1"/>
    <w:rsid w:val="0097036C"/>
    <w:rsid w:val="00971A45"/>
    <w:rsid w:val="00974BD7"/>
    <w:rsid w:val="009752C3"/>
    <w:rsid w:val="0097541F"/>
    <w:rsid w:val="009758EC"/>
    <w:rsid w:val="009758F8"/>
    <w:rsid w:val="00980596"/>
    <w:rsid w:val="009807CB"/>
    <w:rsid w:val="00980AD2"/>
    <w:rsid w:val="00980D21"/>
    <w:rsid w:val="00980DD9"/>
    <w:rsid w:val="00980E1A"/>
    <w:rsid w:val="00981278"/>
    <w:rsid w:val="00982B00"/>
    <w:rsid w:val="00982F55"/>
    <w:rsid w:val="009830C7"/>
    <w:rsid w:val="00983465"/>
    <w:rsid w:val="00983BC5"/>
    <w:rsid w:val="00984017"/>
    <w:rsid w:val="00984B1C"/>
    <w:rsid w:val="00984E9D"/>
    <w:rsid w:val="009853E2"/>
    <w:rsid w:val="00985538"/>
    <w:rsid w:val="00985A8F"/>
    <w:rsid w:val="00986DFE"/>
    <w:rsid w:val="00987EE4"/>
    <w:rsid w:val="009901AA"/>
    <w:rsid w:val="009903B8"/>
    <w:rsid w:val="009908F9"/>
    <w:rsid w:val="00990975"/>
    <w:rsid w:val="009919BD"/>
    <w:rsid w:val="00992997"/>
    <w:rsid w:val="00992F68"/>
    <w:rsid w:val="009948B2"/>
    <w:rsid w:val="00994AA3"/>
    <w:rsid w:val="009950AF"/>
    <w:rsid w:val="00995EC5"/>
    <w:rsid w:val="00996F5A"/>
    <w:rsid w:val="0099711E"/>
    <w:rsid w:val="00997B3E"/>
    <w:rsid w:val="009A0C51"/>
    <w:rsid w:val="009A11DE"/>
    <w:rsid w:val="009A2293"/>
    <w:rsid w:val="009A38F5"/>
    <w:rsid w:val="009A47C4"/>
    <w:rsid w:val="009A4833"/>
    <w:rsid w:val="009A7324"/>
    <w:rsid w:val="009A775C"/>
    <w:rsid w:val="009B04F2"/>
    <w:rsid w:val="009B0989"/>
    <w:rsid w:val="009B255F"/>
    <w:rsid w:val="009B27C2"/>
    <w:rsid w:val="009B42EA"/>
    <w:rsid w:val="009B4B4F"/>
    <w:rsid w:val="009B5D57"/>
    <w:rsid w:val="009B772C"/>
    <w:rsid w:val="009C128A"/>
    <w:rsid w:val="009C1769"/>
    <w:rsid w:val="009C2EE2"/>
    <w:rsid w:val="009C3815"/>
    <w:rsid w:val="009C4761"/>
    <w:rsid w:val="009C478B"/>
    <w:rsid w:val="009C4B3B"/>
    <w:rsid w:val="009C4E7A"/>
    <w:rsid w:val="009C51C2"/>
    <w:rsid w:val="009C63F7"/>
    <w:rsid w:val="009D0070"/>
    <w:rsid w:val="009D1F6D"/>
    <w:rsid w:val="009D2C4B"/>
    <w:rsid w:val="009D3079"/>
    <w:rsid w:val="009D3B0D"/>
    <w:rsid w:val="009D42B4"/>
    <w:rsid w:val="009D4704"/>
    <w:rsid w:val="009D478C"/>
    <w:rsid w:val="009D4A09"/>
    <w:rsid w:val="009D593E"/>
    <w:rsid w:val="009D7E9E"/>
    <w:rsid w:val="009E0109"/>
    <w:rsid w:val="009E109D"/>
    <w:rsid w:val="009E12BF"/>
    <w:rsid w:val="009E1BE8"/>
    <w:rsid w:val="009E2692"/>
    <w:rsid w:val="009E2CD5"/>
    <w:rsid w:val="009E2DF4"/>
    <w:rsid w:val="009E2E21"/>
    <w:rsid w:val="009E36A9"/>
    <w:rsid w:val="009E3CBD"/>
    <w:rsid w:val="009E3CDC"/>
    <w:rsid w:val="009E52F5"/>
    <w:rsid w:val="009E583C"/>
    <w:rsid w:val="009E6D9C"/>
    <w:rsid w:val="009E704C"/>
    <w:rsid w:val="009E7957"/>
    <w:rsid w:val="009E7E36"/>
    <w:rsid w:val="009F0138"/>
    <w:rsid w:val="009F0390"/>
    <w:rsid w:val="009F0593"/>
    <w:rsid w:val="009F1336"/>
    <w:rsid w:val="009F1867"/>
    <w:rsid w:val="009F22CA"/>
    <w:rsid w:val="009F28E2"/>
    <w:rsid w:val="009F2AE3"/>
    <w:rsid w:val="009F3A65"/>
    <w:rsid w:val="009F4105"/>
    <w:rsid w:val="009F527D"/>
    <w:rsid w:val="009F5368"/>
    <w:rsid w:val="009F7909"/>
    <w:rsid w:val="00A013FD"/>
    <w:rsid w:val="00A02688"/>
    <w:rsid w:val="00A02B5D"/>
    <w:rsid w:val="00A0325E"/>
    <w:rsid w:val="00A03469"/>
    <w:rsid w:val="00A035C0"/>
    <w:rsid w:val="00A03B24"/>
    <w:rsid w:val="00A03FFF"/>
    <w:rsid w:val="00A0479D"/>
    <w:rsid w:val="00A04A22"/>
    <w:rsid w:val="00A05017"/>
    <w:rsid w:val="00A05FEC"/>
    <w:rsid w:val="00A06E24"/>
    <w:rsid w:val="00A102C1"/>
    <w:rsid w:val="00A1152C"/>
    <w:rsid w:val="00A11878"/>
    <w:rsid w:val="00A11C15"/>
    <w:rsid w:val="00A12012"/>
    <w:rsid w:val="00A12624"/>
    <w:rsid w:val="00A128B7"/>
    <w:rsid w:val="00A14187"/>
    <w:rsid w:val="00A146AE"/>
    <w:rsid w:val="00A15D31"/>
    <w:rsid w:val="00A16E44"/>
    <w:rsid w:val="00A20916"/>
    <w:rsid w:val="00A20974"/>
    <w:rsid w:val="00A210A2"/>
    <w:rsid w:val="00A2235C"/>
    <w:rsid w:val="00A22734"/>
    <w:rsid w:val="00A245EC"/>
    <w:rsid w:val="00A254A5"/>
    <w:rsid w:val="00A25762"/>
    <w:rsid w:val="00A2599C"/>
    <w:rsid w:val="00A26630"/>
    <w:rsid w:val="00A26BA2"/>
    <w:rsid w:val="00A270DB"/>
    <w:rsid w:val="00A304BC"/>
    <w:rsid w:val="00A30673"/>
    <w:rsid w:val="00A30970"/>
    <w:rsid w:val="00A30993"/>
    <w:rsid w:val="00A30A3F"/>
    <w:rsid w:val="00A30D92"/>
    <w:rsid w:val="00A31595"/>
    <w:rsid w:val="00A31619"/>
    <w:rsid w:val="00A31980"/>
    <w:rsid w:val="00A323F0"/>
    <w:rsid w:val="00A33271"/>
    <w:rsid w:val="00A35018"/>
    <w:rsid w:val="00A3674C"/>
    <w:rsid w:val="00A37E74"/>
    <w:rsid w:val="00A4184A"/>
    <w:rsid w:val="00A418C4"/>
    <w:rsid w:val="00A41A79"/>
    <w:rsid w:val="00A41DAC"/>
    <w:rsid w:val="00A42516"/>
    <w:rsid w:val="00A42BDB"/>
    <w:rsid w:val="00A431E0"/>
    <w:rsid w:val="00A43618"/>
    <w:rsid w:val="00A43870"/>
    <w:rsid w:val="00A4469C"/>
    <w:rsid w:val="00A44AF8"/>
    <w:rsid w:val="00A44C62"/>
    <w:rsid w:val="00A454AB"/>
    <w:rsid w:val="00A45C62"/>
    <w:rsid w:val="00A46086"/>
    <w:rsid w:val="00A46544"/>
    <w:rsid w:val="00A46DD1"/>
    <w:rsid w:val="00A4719B"/>
    <w:rsid w:val="00A50118"/>
    <w:rsid w:val="00A50C05"/>
    <w:rsid w:val="00A5175D"/>
    <w:rsid w:val="00A52B6F"/>
    <w:rsid w:val="00A5309C"/>
    <w:rsid w:val="00A53EE6"/>
    <w:rsid w:val="00A551D6"/>
    <w:rsid w:val="00A56FAD"/>
    <w:rsid w:val="00A57049"/>
    <w:rsid w:val="00A57503"/>
    <w:rsid w:val="00A575AE"/>
    <w:rsid w:val="00A57636"/>
    <w:rsid w:val="00A57A10"/>
    <w:rsid w:val="00A57A1C"/>
    <w:rsid w:val="00A60765"/>
    <w:rsid w:val="00A60C8B"/>
    <w:rsid w:val="00A61251"/>
    <w:rsid w:val="00A61C8B"/>
    <w:rsid w:val="00A63420"/>
    <w:rsid w:val="00A63526"/>
    <w:rsid w:val="00A63C9E"/>
    <w:rsid w:val="00A64997"/>
    <w:rsid w:val="00A649AA"/>
    <w:rsid w:val="00A6556C"/>
    <w:rsid w:val="00A65E1D"/>
    <w:rsid w:val="00A67348"/>
    <w:rsid w:val="00A676EC"/>
    <w:rsid w:val="00A7057F"/>
    <w:rsid w:val="00A727B3"/>
    <w:rsid w:val="00A72E27"/>
    <w:rsid w:val="00A735E0"/>
    <w:rsid w:val="00A73A56"/>
    <w:rsid w:val="00A74E04"/>
    <w:rsid w:val="00A755B3"/>
    <w:rsid w:val="00A7581A"/>
    <w:rsid w:val="00A75A46"/>
    <w:rsid w:val="00A7724D"/>
    <w:rsid w:val="00A775D3"/>
    <w:rsid w:val="00A80609"/>
    <w:rsid w:val="00A80AA9"/>
    <w:rsid w:val="00A81AD2"/>
    <w:rsid w:val="00A82164"/>
    <w:rsid w:val="00A85480"/>
    <w:rsid w:val="00A8683D"/>
    <w:rsid w:val="00A90571"/>
    <w:rsid w:val="00A9244A"/>
    <w:rsid w:val="00A92997"/>
    <w:rsid w:val="00A92A4E"/>
    <w:rsid w:val="00A936E4"/>
    <w:rsid w:val="00A938B6"/>
    <w:rsid w:val="00A93A64"/>
    <w:rsid w:val="00A94919"/>
    <w:rsid w:val="00A95CDB"/>
    <w:rsid w:val="00A96FC3"/>
    <w:rsid w:val="00A97908"/>
    <w:rsid w:val="00AA0382"/>
    <w:rsid w:val="00AA10BE"/>
    <w:rsid w:val="00AA1886"/>
    <w:rsid w:val="00AA20C1"/>
    <w:rsid w:val="00AA3A63"/>
    <w:rsid w:val="00AA5280"/>
    <w:rsid w:val="00AA65FF"/>
    <w:rsid w:val="00AA6A73"/>
    <w:rsid w:val="00AA6AEE"/>
    <w:rsid w:val="00AA7BA1"/>
    <w:rsid w:val="00AA7E0F"/>
    <w:rsid w:val="00AA7FCD"/>
    <w:rsid w:val="00AB0A7A"/>
    <w:rsid w:val="00AB1761"/>
    <w:rsid w:val="00AB1972"/>
    <w:rsid w:val="00AB1E0F"/>
    <w:rsid w:val="00AB24DC"/>
    <w:rsid w:val="00AB260D"/>
    <w:rsid w:val="00AB407A"/>
    <w:rsid w:val="00AB45CE"/>
    <w:rsid w:val="00AB4D8B"/>
    <w:rsid w:val="00AB4FBE"/>
    <w:rsid w:val="00AB545D"/>
    <w:rsid w:val="00AB6756"/>
    <w:rsid w:val="00AB6816"/>
    <w:rsid w:val="00AB6B40"/>
    <w:rsid w:val="00AB7482"/>
    <w:rsid w:val="00AC1105"/>
    <w:rsid w:val="00AC1459"/>
    <w:rsid w:val="00AC2128"/>
    <w:rsid w:val="00AC3208"/>
    <w:rsid w:val="00AC36B8"/>
    <w:rsid w:val="00AC4241"/>
    <w:rsid w:val="00AC4A99"/>
    <w:rsid w:val="00AC5965"/>
    <w:rsid w:val="00AC69D5"/>
    <w:rsid w:val="00AC6DDE"/>
    <w:rsid w:val="00AC75E3"/>
    <w:rsid w:val="00AD02BD"/>
    <w:rsid w:val="00AD0613"/>
    <w:rsid w:val="00AD0B35"/>
    <w:rsid w:val="00AD0DFA"/>
    <w:rsid w:val="00AD14F5"/>
    <w:rsid w:val="00AD2356"/>
    <w:rsid w:val="00AD25BA"/>
    <w:rsid w:val="00AD2D27"/>
    <w:rsid w:val="00AD3B17"/>
    <w:rsid w:val="00AD47EE"/>
    <w:rsid w:val="00AD4816"/>
    <w:rsid w:val="00AD4A26"/>
    <w:rsid w:val="00AD5B9F"/>
    <w:rsid w:val="00AD621C"/>
    <w:rsid w:val="00AD663B"/>
    <w:rsid w:val="00AD6821"/>
    <w:rsid w:val="00AD7077"/>
    <w:rsid w:val="00AD73AC"/>
    <w:rsid w:val="00AD7FA8"/>
    <w:rsid w:val="00AE0760"/>
    <w:rsid w:val="00AE0816"/>
    <w:rsid w:val="00AE0CB6"/>
    <w:rsid w:val="00AE2125"/>
    <w:rsid w:val="00AE2431"/>
    <w:rsid w:val="00AE2473"/>
    <w:rsid w:val="00AE3E5A"/>
    <w:rsid w:val="00AE4BD9"/>
    <w:rsid w:val="00AE4E8C"/>
    <w:rsid w:val="00AE55BB"/>
    <w:rsid w:val="00AE65BE"/>
    <w:rsid w:val="00AE68BA"/>
    <w:rsid w:val="00AE6E81"/>
    <w:rsid w:val="00AE75DB"/>
    <w:rsid w:val="00AE7FE9"/>
    <w:rsid w:val="00AF0B0B"/>
    <w:rsid w:val="00AF1155"/>
    <w:rsid w:val="00AF2182"/>
    <w:rsid w:val="00AF28A8"/>
    <w:rsid w:val="00AF303A"/>
    <w:rsid w:val="00AF3291"/>
    <w:rsid w:val="00AF4C0E"/>
    <w:rsid w:val="00AF52A7"/>
    <w:rsid w:val="00AF5A0B"/>
    <w:rsid w:val="00AF777D"/>
    <w:rsid w:val="00AF7D99"/>
    <w:rsid w:val="00B00CE1"/>
    <w:rsid w:val="00B01C70"/>
    <w:rsid w:val="00B023BD"/>
    <w:rsid w:val="00B02F90"/>
    <w:rsid w:val="00B05447"/>
    <w:rsid w:val="00B065A0"/>
    <w:rsid w:val="00B06BE2"/>
    <w:rsid w:val="00B121B5"/>
    <w:rsid w:val="00B130F3"/>
    <w:rsid w:val="00B152D1"/>
    <w:rsid w:val="00B1591C"/>
    <w:rsid w:val="00B15C40"/>
    <w:rsid w:val="00B16388"/>
    <w:rsid w:val="00B17848"/>
    <w:rsid w:val="00B213BE"/>
    <w:rsid w:val="00B2174E"/>
    <w:rsid w:val="00B21F4C"/>
    <w:rsid w:val="00B23995"/>
    <w:rsid w:val="00B24F7E"/>
    <w:rsid w:val="00B25752"/>
    <w:rsid w:val="00B27209"/>
    <w:rsid w:val="00B2728A"/>
    <w:rsid w:val="00B30424"/>
    <w:rsid w:val="00B31BC6"/>
    <w:rsid w:val="00B323ED"/>
    <w:rsid w:val="00B3262F"/>
    <w:rsid w:val="00B32D4C"/>
    <w:rsid w:val="00B332A3"/>
    <w:rsid w:val="00B3365C"/>
    <w:rsid w:val="00B33791"/>
    <w:rsid w:val="00B339E2"/>
    <w:rsid w:val="00B33BC0"/>
    <w:rsid w:val="00B35990"/>
    <w:rsid w:val="00B36F6E"/>
    <w:rsid w:val="00B37F27"/>
    <w:rsid w:val="00B40B48"/>
    <w:rsid w:val="00B40E6A"/>
    <w:rsid w:val="00B411C2"/>
    <w:rsid w:val="00B419A3"/>
    <w:rsid w:val="00B41CD1"/>
    <w:rsid w:val="00B42E56"/>
    <w:rsid w:val="00B43381"/>
    <w:rsid w:val="00B4343F"/>
    <w:rsid w:val="00B434B8"/>
    <w:rsid w:val="00B439DD"/>
    <w:rsid w:val="00B451F4"/>
    <w:rsid w:val="00B459C0"/>
    <w:rsid w:val="00B45B10"/>
    <w:rsid w:val="00B47E53"/>
    <w:rsid w:val="00B5084F"/>
    <w:rsid w:val="00B51311"/>
    <w:rsid w:val="00B515EA"/>
    <w:rsid w:val="00B527D8"/>
    <w:rsid w:val="00B5334D"/>
    <w:rsid w:val="00B53496"/>
    <w:rsid w:val="00B53CA1"/>
    <w:rsid w:val="00B55E5D"/>
    <w:rsid w:val="00B56336"/>
    <w:rsid w:val="00B601E1"/>
    <w:rsid w:val="00B60C29"/>
    <w:rsid w:val="00B61A27"/>
    <w:rsid w:val="00B61BD7"/>
    <w:rsid w:val="00B62822"/>
    <w:rsid w:val="00B63B02"/>
    <w:rsid w:val="00B65E8D"/>
    <w:rsid w:val="00B6628A"/>
    <w:rsid w:val="00B66620"/>
    <w:rsid w:val="00B676E5"/>
    <w:rsid w:val="00B67C62"/>
    <w:rsid w:val="00B700AE"/>
    <w:rsid w:val="00B706B1"/>
    <w:rsid w:val="00B709AF"/>
    <w:rsid w:val="00B71BBD"/>
    <w:rsid w:val="00B726DB"/>
    <w:rsid w:val="00B761DE"/>
    <w:rsid w:val="00B76ED9"/>
    <w:rsid w:val="00B77655"/>
    <w:rsid w:val="00B7782C"/>
    <w:rsid w:val="00B800D5"/>
    <w:rsid w:val="00B80849"/>
    <w:rsid w:val="00B80A74"/>
    <w:rsid w:val="00B80FF6"/>
    <w:rsid w:val="00B812FF"/>
    <w:rsid w:val="00B8196A"/>
    <w:rsid w:val="00B822CE"/>
    <w:rsid w:val="00B82701"/>
    <w:rsid w:val="00B8271E"/>
    <w:rsid w:val="00B82BF3"/>
    <w:rsid w:val="00B83131"/>
    <w:rsid w:val="00B83317"/>
    <w:rsid w:val="00B8371E"/>
    <w:rsid w:val="00B83AA1"/>
    <w:rsid w:val="00B83DFE"/>
    <w:rsid w:val="00B853EB"/>
    <w:rsid w:val="00B8599A"/>
    <w:rsid w:val="00B85F97"/>
    <w:rsid w:val="00B860BD"/>
    <w:rsid w:val="00B860E1"/>
    <w:rsid w:val="00B867A5"/>
    <w:rsid w:val="00B87E09"/>
    <w:rsid w:val="00B900B4"/>
    <w:rsid w:val="00B901A9"/>
    <w:rsid w:val="00B902C8"/>
    <w:rsid w:val="00B9062B"/>
    <w:rsid w:val="00B92901"/>
    <w:rsid w:val="00B92CFB"/>
    <w:rsid w:val="00B93DC4"/>
    <w:rsid w:val="00B94318"/>
    <w:rsid w:val="00B945A7"/>
    <w:rsid w:val="00B9675C"/>
    <w:rsid w:val="00B967D1"/>
    <w:rsid w:val="00B97EA9"/>
    <w:rsid w:val="00BA00BE"/>
    <w:rsid w:val="00BA023D"/>
    <w:rsid w:val="00BA1395"/>
    <w:rsid w:val="00BA24D4"/>
    <w:rsid w:val="00BA259A"/>
    <w:rsid w:val="00BA35B6"/>
    <w:rsid w:val="00BA4E8B"/>
    <w:rsid w:val="00BA5FA2"/>
    <w:rsid w:val="00BA657F"/>
    <w:rsid w:val="00BA6672"/>
    <w:rsid w:val="00BB0635"/>
    <w:rsid w:val="00BB1060"/>
    <w:rsid w:val="00BB2297"/>
    <w:rsid w:val="00BB22E3"/>
    <w:rsid w:val="00BB2EE2"/>
    <w:rsid w:val="00BB563D"/>
    <w:rsid w:val="00BB5F1E"/>
    <w:rsid w:val="00BB6065"/>
    <w:rsid w:val="00BB6D4D"/>
    <w:rsid w:val="00BB705E"/>
    <w:rsid w:val="00BB7C94"/>
    <w:rsid w:val="00BC1502"/>
    <w:rsid w:val="00BC3560"/>
    <w:rsid w:val="00BC4347"/>
    <w:rsid w:val="00BC43CB"/>
    <w:rsid w:val="00BC4749"/>
    <w:rsid w:val="00BC531C"/>
    <w:rsid w:val="00BC54F1"/>
    <w:rsid w:val="00BC5522"/>
    <w:rsid w:val="00BC5F93"/>
    <w:rsid w:val="00BC616E"/>
    <w:rsid w:val="00BC6C9E"/>
    <w:rsid w:val="00BC723B"/>
    <w:rsid w:val="00BD0FD1"/>
    <w:rsid w:val="00BD1CE4"/>
    <w:rsid w:val="00BD2431"/>
    <w:rsid w:val="00BD2444"/>
    <w:rsid w:val="00BD39D4"/>
    <w:rsid w:val="00BD4A72"/>
    <w:rsid w:val="00BD546D"/>
    <w:rsid w:val="00BD7053"/>
    <w:rsid w:val="00BD7875"/>
    <w:rsid w:val="00BE012B"/>
    <w:rsid w:val="00BE039F"/>
    <w:rsid w:val="00BE204E"/>
    <w:rsid w:val="00BE3649"/>
    <w:rsid w:val="00BE3853"/>
    <w:rsid w:val="00BE3BF1"/>
    <w:rsid w:val="00BE420F"/>
    <w:rsid w:val="00BE423E"/>
    <w:rsid w:val="00BE4FD2"/>
    <w:rsid w:val="00BE5654"/>
    <w:rsid w:val="00BE5CA6"/>
    <w:rsid w:val="00BE79AB"/>
    <w:rsid w:val="00BF2928"/>
    <w:rsid w:val="00BF391C"/>
    <w:rsid w:val="00BF3A87"/>
    <w:rsid w:val="00BF5586"/>
    <w:rsid w:val="00BF5F03"/>
    <w:rsid w:val="00BF61FF"/>
    <w:rsid w:val="00BF7269"/>
    <w:rsid w:val="00BF7583"/>
    <w:rsid w:val="00C019DE"/>
    <w:rsid w:val="00C03207"/>
    <w:rsid w:val="00C044B4"/>
    <w:rsid w:val="00C06321"/>
    <w:rsid w:val="00C066B1"/>
    <w:rsid w:val="00C07385"/>
    <w:rsid w:val="00C07C99"/>
    <w:rsid w:val="00C121B3"/>
    <w:rsid w:val="00C1309E"/>
    <w:rsid w:val="00C13C51"/>
    <w:rsid w:val="00C15E61"/>
    <w:rsid w:val="00C20CC0"/>
    <w:rsid w:val="00C21102"/>
    <w:rsid w:val="00C22AD6"/>
    <w:rsid w:val="00C244DF"/>
    <w:rsid w:val="00C263F1"/>
    <w:rsid w:val="00C2782B"/>
    <w:rsid w:val="00C27896"/>
    <w:rsid w:val="00C27A26"/>
    <w:rsid w:val="00C3011A"/>
    <w:rsid w:val="00C30442"/>
    <w:rsid w:val="00C30447"/>
    <w:rsid w:val="00C32B79"/>
    <w:rsid w:val="00C33087"/>
    <w:rsid w:val="00C333F3"/>
    <w:rsid w:val="00C35F5C"/>
    <w:rsid w:val="00C37737"/>
    <w:rsid w:val="00C41AA4"/>
    <w:rsid w:val="00C420D7"/>
    <w:rsid w:val="00C42F83"/>
    <w:rsid w:val="00C43F18"/>
    <w:rsid w:val="00C44AB2"/>
    <w:rsid w:val="00C4637E"/>
    <w:rsid w:val="00C4683D"/>
    <w:rsid w:val="00C47650"/>
    <w:rsid w:val="00C476AB"/>
    <w:rsid w:val="00C50162"/>
    <w:rsid w:val="00C50394"/>
    <w:rsid w:val="00C5043E"/>
    <w:rsid w:val="00C51410"/>
    <w:rsid w:val="00C51552"/>
    <w:rsid w:val="00C523FB"/>
    <w:rsid w:val="00C527F1"/>
    <w:rsid w:val="00C532C8"/>
    <w:rsid w:val="00C54102"/>
    <w:rsid w:val="00C5418C"/>
    <w:rsid w:val="00C543EE"/>
    <w:rsid w:val="00C546BE"/>
    <w:rsid w:val="00C54905"/>
    <w:rsid w:val="00C54D78"/>
    <w:rsid w:val="00C551A5"/>
    <w:rsid w:val="00C5700B"/>
    <w:rsid w:val="00C60B89"/>
    <w:rsid w:val="00C6165B"/>
    <w:rsid w:val="00C6378C"/>
    <w:rsid w:val="00C63D29"/>
    <w:rsid w:val="00C64396"/>
    <w:rsid w:val="00C64759"/>
    <w:rsid w:val="00C651B6"/>
    <w:rsid w:val="00C657C7"/>
    <w:rsid w:val="00C67DE2"/>
    <w:rsid w:val="00C70541"/>
    <w:rsid w:val="00C71421"/>
    <w:rsid w:val="00C71E32"/>
    <w:rsid w:val="00C720BA"/>
    <w:rsid w:val="00C726D7"/>
    <w:rsid w:val="00C73189"/>
    <w:rsid w:val="00C744DA"/>
    <w:rsid w:val="00C74B0C"/>
    <w:rsid w:val="00C7582F"/>
    <w:rsid w:val="00C75AE8"/>
    <w:rsid w:val="00C767E9"/>
    <w:rsid w:val="00C778F9"/>
    <w:rsid w:val="00C779DD"/>
    <w:rsid w:val="00C8092B"/>
    <w:rsid w:val="00C81D07"/>
    <w:rsid w:val="00C82AF8"/>
    <w:rsid w:val="00C82C7F"/>
    <w:rsid w:val="00C83C59"/>
    <w:rsid w:val="00C855DD"/>
    <w:rsid w:val="00C856A2"/>
    <w:rsid w:val="00C85BB2"/>
    <w:rsid w:val="00C85DB9"/>
    <w:rsid w:val="00C85E91"/>
    <w:rsid w:val="00C8647B"/>
    <w:rsid w:val="00C867D5"/>
    <w:rsid w:val="00C870D1"/>
    <w:rsid w:val="00C8748D"/>
    <w:rsid w:val="00C87DBD"/>
    <w:rsid w:val="00C90F2D"/>
    <w:rsid w:val="00C9133C"/>
    <w:rsid w:val="00C9192E"/>
    <w:rsid w:val="00C91BE2"/>
    <w:rsid w:val="00C92C53"/>
    <w:rsid w:val="00C930D3"/>
    <w:rsid w:val="00C931F4"/>
    <w:rsid w:val="00C93530"/>
    <w:rsid w:val="00C935BE"/>
    <w:rsid w:val="00C93633"/>
    <w:rsid w:val="00C93710"/>
    <w:rsid w:val="00C95554"/>
    <w:rsid w:val="00C9599C"/>
    <w:rsid w:val="00C972E1"/>
    <w:rsid w:val="00CA0FE9"/>
    <w:rsid w:val="00CA287D"/>
    <w:rsid w:val="00CA2C01"/>
    <w:rsid w:val="00CA41A1"/>
    <w:rsid w:val="00CA4F61"/>
    <w:rsid w:val="00CA5C69"/>
    <w:rsid w:val="00CA6370"/>
    <w:rsid w:val="00CA65A1"/>
    <w:rsid w:val="00CA6BB2"/>
    <w:rsid w:val="00CA7452"/>
    <w:rsid w:val="00CA7EA4"/>
    <w:rsid w:val="00CB017C"/>
    <w:rsid w:val="00CB0377"/>
    <w:rsid w:val="00CB0D02"/>
    <w:rsid w:val="00CB0D5F"/>
    <w:rsid w:val="00CB157F"/>
    <w:rsid w:val="00CB1693"/>
    <w:rsid w:val="00CB16F9"/>
    <w:rsid w:val="00CB1E18"/>
    <w:rsid w:val="00CB31D5"/>
    <w:rsid w:val="00CB3206"/>
    <w:rsid w:val="00CB343D"/>
    <w:rsid w:val="00CB36B3"/>
    <w:rsid w:val="00CB39B2"/>
    <w:rsid w:val="00CB444D"/>
    <w:rsid w:val="00CB4FB3"/>
    <w:rsid w:val="00CB5AE5"/>
    <w:rsid w:val="00CB6A83"/>
    <w:rsid w:val="00CB7029"/>
    <w:rsid w:val="00CB75E6"/>
    <w:rsid w:val="00CB7765"/>
    <w:rsid w:val="00CC063A"/>
    <w:rsid w:val="00CC0990"/>
    <w:rsid w:val="00CC0D32"/>
    <w:rsid w:val="00CC0EBF"/>
    <w:rsid w:val="00CC1AA0"/>
    <w:rsid w:val="00CC3219"/>
    <w:rsid w:val="00CC432F"/>
    <w:rsid w:val="00CC4DA3"/>
    <w:rsid w:val="00CC69AB"/>
    <w:rsid w:val="00CC7D37"/>
    <w:rsid w:val="00CD0800"/>
    <w:rsid w:val="00CD108C"/>
    <w:rsid w:val="00CD168B"/>
    <w:rsid w:val="00CD2133"/>
    <w:rsid w:val="00CD23AC"/>
    <w:rsid w:val="00CD284B"/>
    <w:rsid w:val="00CD3401"/>
    <w:rsid w:val="00CD3603"/>
    <w:rsid w:val="00CD4550"/>
    <w:rsid w:val="00CD46BB"/>
    <w:rsid w:val="00CD6297"/>
    <w:rsid w:val="00CD6A0C"/>
    <w:rsid w:val="00CD6DEE"/>
    <w:rsid w:val="00CD7094"/>
    <w:rsid w:val="00CD7529"/>
    <w:rsid w:val="00CD79E2"/>
    <w:rsid w:val="00CD7E31"/>
    <w:rsid w:val="00CE0D28"/>
    <w:rsid w:val="00CE18F2"/>
    <w:rsid w:val="00CE1BD4"/>
    <w:rsid w:val="00CE22C4"/>
    <w:rsid w:val="00CE2A08"/>
    <w:rsid w:val="00CE2E1F"/>
    <w:rsid w:val="00CE324F"/>
    <w:rsid w:val="00CE372E"/>
    <w:rsid w:val="00CE3EAF"/>
    <w:rsid w:val="00CE5565"/>
    <w:rsid w:val="00CE5C29"/>
    <w:rsid w:val="00CE5F1D"/>
    <w:rsid w:val="00CE6208"/>
    <w:rsid w:val="00CE6FFC"/>
    <w:rsid w:val="00CE742D"/>
    <w:rsid w:val="00CE755A"/>
    <w:rsid w:val="00CE7AF1"/>
    <w:rsid w:val="00CE7D08"/>
    <w:rsid w:val="00CF090E"/>
    <w:rsid w:val="00CF0FB5"/>
    <w:rsid w:val="00CF19DC"/>
    <w:rsid w:val="00CF1FD2"/>
    <w:rsid w:val="00CF2BFB"/>
    <w:rsid w:val="00CF2D0C"/>
    <w:rsid w:val="00CF41F1"/>
    <w:rsid w:val="00CF4625"/>
    <w:rsid w:val="00CF5304"/>
    <w:rsid w:val="00CF5839"/>
    <w:rsid w:val="00CF5940"/>
    <w:rsid w:val="00CF59C8"/>
    <w:rsid w:val="00CF643E"/>
    <w:rsid w:val="00CF66E2"/>
    <w:rsid w:val="00CF73C2"/>
    <w:rsid w:val="00CF73CD"/>
    <w:rsid w:val="00CF7C45"/>
    <w:rsid w:val="00D000BE"/>
    <w:rsid w:val="00D008C4"/>
    <w:rsid w:val="00D01DCF"/>
    <w:rsid w:val="00D0237E"/>
    <w:rsid w:val="00D026CD"/>
    <w:rsid w:val="00D0281F"/>
    <w:rsid w:val="00D02A13"/>
    <w:rsid w:val="00D03E13"/>
    <w:rsid w:val="00D04316"/>
    <w:rsid w:val="00D04D07"/>
    <w:rsid w:val="00D04DB2"/>
    <w:rsid w:val="00D04F49"/>
    <w:rsid w:val="00D05E03"/>
    <w:rsid w:val="00D065F1"/>
    <w:rsid w:val="00D06A15"/>
    <w:rsid w:val="00D06CE6"/>
    <w:rsid w:val="00D07256"/>
    <w:rsid w:val="00D078CE"/>
    <w:rsid w:val="00D07D3D"/>
    <w:rsid w:val="00D1081D"/>
    <w:rsid w:val="00D1137F"/>
    <w:rsid w:val="00D115D5"/>
    <w:rsid w:val="00D11735"/>
    <w:rsid w:val="00D11BC5"/>
    <w:rsid w:val="00D11D45"/>
    <w:rsid w:val="00D12C0E"/>
    <w:rsid w:val="00D14B4C"/>
    <w:rsid w:val="00D14B8A"/>
    <w:rsid w:val="00D14E91"/>
    <w:rsid w:val="00D15000"/>
    <w:rsid w:val="00D16D4F"/>
    <w:rsid w:val="00D17155"/>
    <w:rsid w:val="00D173A4"/>
    <w:rsid w:val="00D17561"/>
    <w:rsid w:val="00D17A46"/>
    <w:rsid w:val="00D2028F"/>
    <w:rsid w:val="00D2075E"/>
    <w:rsid w:val="00D20973"/>
    <w:rsid w:val="00D21292"/>
    <w:rsid w:val="00D2188B"/>
    <w:rsid w:val="00D21A66"/>
    <w:rsid w:val="00D21CC1"/>
    <w:rsid w:val="00D2348B"/>
    <w:rsid w:val="00D2351C"/>
    <w:rsid w:val="00D23571"/>
    <w:rsid w:val="00D2378F"/>
    <w:rsid w:val="00D23920"/>
    <w:rsid w:val="00D2404B"/>
    <w:rsid w:val="00D24E93"/>
    <w:rsid w:val="00D2554C"/>
    <w:rsid w:val="00D25B84"/>
    <w:rsid w:val="00D27017"/>
    <w:rsid w:val="00D30E03"/>
    <w:rsid w:val="00D31B84"/>
    <w:rsid w:val="00D328F8"/>
    <w:rsid w:val="00D338F3"/>
    <w:rsid w:val="00D3414F"/>
    <w:rsid w:val="00D343B9"/>
    <w:rsid w:val="00D34B2B"/>
    <w:rsid w:val="00D35796"/>
    <w:rsid w:val="00D37BEC"/>
    <w:rsid w:val="00D418E8"/>
    <w:rsid w:val="00D41C33"/>
    <w:rsid w:val="00D44D9C"/>
    <w:rsid w:val="00D44F43"/>
    <w:rsid w:val="00D4513A"/>
    <w:rsid w:val="00D45C61"/>
    <w:rsid w:val="00D466A9"/>
    <w:rsid w:val="00D47745"/>
    <w:rsid w:val="00D522F1"/>
    <w:rsid w:val="00D53E26"/>
    <w:rsid w:val="00D550EA"/>
    <w:rsid w:val="00D553F8"/>
    <w:rsid w:val="00D55B82"/>
    <w:rsid w:val="00D57130"/>
    <w:rsid w:val="00D5727A"/>
    <w:rsid w:val="00D57830"/>
    <w:rsid w:val="00D57D0A"/>
    <w:rsid w:val="00D57EB1"/>
    <w:rsid w:val="00D60016"/>
    <w:rsid w:val="00D60BBE"/>
    <w:rsid w:val="00D61601"/>
    <w:rsid w:val="00D61753"/>
    <w:rsid w:val="00D62540"/>
    <w:rsid w:val="00D62654"/>
    <w:rsid w:val="00D627F6"/>
    <w:rsid w:val="00D63AC6"/>
    <w:rsid w:val="00D64A24"/>
    <w:rsid w:val="00D64C55"/>
    <w:rsid w:val="00D64DCE"/>
    <w:rsid w:val="00D64EC1"/>
    <w:rsid w:val="00D65F62"/>
    <w:rsid w:val="00D66C78"/>
    <w:rsid w:val="00D6739B"/>
    <w:rsid w:val="00D677D1"/>
    <w:rsid w:val="00D70672"/>
    <w:rsid w:val="00D706AC"/>
    <w:rsid w:val="00D70E17"/>
    <w:rsid w:val="00D71FBB"/>
    <w:rsid w:val="00D726AB"/>
    <w:rsid w:val="00D72866"/>
    <w:rsid w:val="00D734F6"/>
    <w:rsid w:val="00D73DA9"/>
    <w:rsid w:val="00D73ECD"/>
    <w:rsid w:val="00D741B4"/>
    <w:rsid w:val="00D766E7"/>
    <w:rsid w:val="00D76CE1"/>
    <w:rsid w:val="00D772BE"/>
    <w:rsid w:val="00D8050E"/>
    <w:rsid w:val="00D80B67"/>
    <w:rsid w:val="00D83F70"/>
    <w:rsid w:val="00D84248"/>
    <w:rsid w:val="00D84299"/>
    <w:rsid w:val="00D86535"/>
    <w:rsid w:val="00D876C6"/>
    <w:rsid w:val="00D877ED"/>
    <w:rsid w:val="00D87CC3"/>
    <w:rsid w:val="00D87DB9"/>
    <w:rsid w:val="00D87ECF"/>
    <w:rsid w:val="00D9073C"/>
    <w:rsid w:val="00D909D1"/>
    <w:rsid w:val="00D930CA"/>
    <w:rsid w:val="00D94566"/>
    <w:rsid w:val="00D94606"/>
    <w:rsid w:val="00D95368"/>
    <w:rsid w:val="00D95445"/>
    <w:rsid w:val="00D95542"/>
    <w:rsid w:val="00D960FC"/>
    <w:rsid w:val="00D96144"/>
    <w:rsid w:val="00D96300"/>
    <w:rsid w:val="00D965E6"/>
    <w:rsid w:val="00D97401"/>
    <w:rsid w:val="00D97657"/>
    <w:rsid w:val="00D976FC"/>
    <w:rsid w:val="00D97A34"/>
    <w:rsid w:val="00DA25E6"/>
    <w:rsid w:val="00DA26EC"/>
    <w:rsid w:val="00DA2D33"/>
    <w:rsid w:val="00DA3C30"/>
    <w:rsid w:val="00DA474D"/>
    <w:rsid w:val="00DA484A"/>
    <w:rsid w:val="00DA4D1B"/>
    <w:rsid w:val="00DA525F"/>
    <w:rsid w:val="00DA56BB"/>
    <w:rsid w:val="00DA5D6F"/>
    <w:rsid w:val="00DA6180"/>
    <w:rsid w:val="00DA643C"/>
    <w:rsid w:val="00DA7A72"/>
    <w:rsid w:val="00DB0164"/>
    <w:rsid w:val="00DB1623"/>
    <w:rsid w:val="00DB1875"/>
    <w:rsid w:val="00DB1877"/>
    <w:rsid w:val="00DB2CC3"/>
    <w:rsid w:val="00DB3B8C"/>
    <w:rsid w:val="00DB3BB6"/>
    <w:rsid w:val="00DB3D8B"/>
    <w:rsid w:val="00DB3F34"/>
    <w:rsid w:val="00DB4D46"/>
    <w:rsid w:val="00DB50E9"/>
    <w:rsid w:val="00DB521A"/>
    <w:rsid w:val="00DB5849"/>
    <w:rsid w:val="00DB5FE3"/>
    <w:rsid w:val="00DB62F0"/>
    <w:rsid w:val="00DB7B15"/>
    <w:rsid w:val="00DB7BD6"/>
    <w:rsid w:val="00DC148C"/>
    <w:rsid w:val="00DC2016"/>
    <w:rsid w:val="00DC209F"/>
    <w:rsid w:val="00DC3281"/>
    <w:rsid w:val="00DC5426"/>
    <w:rsid w:val="00DC5515"/>
    <w:rsid w:val="00DC5890"/>
    <w:rsid w:val="00DC5913"/>
    <w:rsid w:val="00DC5AAD"/>
    <w:rsid w:val="00DC6086"/>
    <w:rsid w:val="00DC6694"/>
    <w:rsid w:val="00DC6B80"/>
    <w:rsid w:val="00DC7208"/>
    <w:rsid w:val="00DC72FD"/>
    <w:rsid w:val="00DC79CD"/>
    <w:rsid w:val="00DC7A9F"/>
    <w:rsid w:val="00DC7FEB"/>
    <w:rsid w:val="00DD0BC7"/>
    <w:rsid w:val="00DD161E"/>
    <w:rsid w:val="00DD17C3"/>
    <w:rsid w:val="00DD312C"/>
    <w:rsid w:val="00DD3484"/>
    <w:rsid w:val="00DD4001"/>
    <w:rsid w:val="00DD44D2"/>
    <w:rsid w:val="00DD4BFF"/>
    <w:rsid w:val="00DD4EF3"/>
    <w:rsid w:val="00DD5323"/>
    <w:rsid w:val="00DD67A5"/>
    <w:rsid w:val="00DD733D"/>
    <w:rsid w:val="00DD7D01"/>
    <w:rsid w:val="00DD7F37"/>
    <w:rsid w:val="00DE13AC"/>
    <w:rsid w:val="00DE1705"/>
    <w:rsid w:val="00DE275D"/>
    <w:rsid w:val="00DE342C"/>
    <w:rsid w:val="00DE3A25"/>
    <w:rsid w:val="00DE4056"/>
    <w:rsid w:val="00DE40AC"/>
    <w:rsid w:val="00DE5591"/>
    <w:rsid w:val="00DE55A0"/>
    <w:rsid w:val="00DE5FFF"/>
    <w:rsid w:val="00DE660D"/>
    <w:rsid w:val="00DF056A"/>
    <w:rsid w:val="00DF30E6"/>
    <w:rsid w:val="00DF32E4"/>
    <w:rsid w:val="00DF43B5"/>
    <w:rsid w:val="00DF44E3"/>
    <w:rsid w:val="00DF4CDB"/>
    <w:rsid w:val="00DF534B"/>
    <w:rsid w:val="00DF6602"/>
    <w:rsid w:val="00DF677B"/>
    <w:rsid w:val="00DF6987"/>
    <w:rsid w:val="00DF7380"/>
    <w:rsid w:val="00DF76B3"/>
    <w:rsid w:val="00DF76E8"/>
    <w:rsid w:val="00E0002D"/>
    <w:rsid w:val="00E00155"/>
    <w:rsid w:val="00E01111"/>
    <w:rsid w:val="00E015F2"/>
    <w:rsid w:val="00E01E55"/>
    <w:rsid w:val="00E022AF"/>
    <w:rsid w:val="00E02873"/>
    <w:rsid w:val="00E0444D"/>
    <w:rsid w:val="00E04AF5"/>
    <w:rsid w:val="00E063D0"/>
    <w:rsid w:val="00E06D26"/>
    <w:rsid w:val="00E07618"/>
    <w:rsid w:val="00E077B2"/>
    <w:rsid w:val="00E07993"/>
    <w:rsid w:val="00E11046"/>
    <w:rsid w:val="00E114D8"/>
    <w:rsid w:val="00E118F7"/>
    <w:rsid w:val="00E1242B"/>
    <w:rsid w:val="00E12A11"/>
    <w:rsid w:val="00E1300D"/>
    <w:rsid w:val="00E13251"/>
    <w:rsid w:val="00E13B71"/>
    <w:rsid w:val="00E146BC"/>
    <w:rsid w:val="00E1473D"/>
    <w:rsid w:val="00E150B5"/>
    <w:rsid w:val="00E150BA"/>
    <w:rsid w:val="00E1581A"/>
    <w:rsid w:val="00E16968"/>
    <w:rsid w:val="00E20BCA"/>
    <w:rsid w:val="00E212C1"/>
    <w:rsid w:val="00E212CA"/>
    <w:rsid w:val="00E21724"/>
    <w:rsid w:val="00E218ED"/>
    <w:rsid w:val="00E21953"/>
    <w:rsid w:val="00E21F81"/>
    <w:rsid w:val="00E22221"/>
    <w:rsid w:val="00E23589"/>
    <w:rsid w:val="00E2417B"/>
    <w:rsid w:val="00E248DF"/>
    <w:rsid w:val="00E24B88"/>
    <w:rsid w:val="00E26110"/>
    <w:rsid w:val="00E27A6F"/>
    <w:rsid w:val="00E27BB7"/>
    <w:rsid w:val="00E303FA"/>
    <w:rsid w:val="00E3067A"/>
    <w:rsid w:val="00E3076B"/>
    <w:rsid w:val="00E31174"/>
    <w:rsid w:val="00E32849"/>
    <w:rsid w:val="00E32D50"/>
    <w:rsid w:val="00E32D9E"/>
    <w:rsid w:val="00E32F03"/>
    <w:rsid w:val="00E33058"/>
    <w:rsid w:val="00E343AD"/>
    <w:rsid w:val="00E350AF"/>
    <w:rsid w:val="00E3581E"/>
    <w:rsid w:val="00E35A49"/>
    <w:rsid w:val="00E3630E"/>
    <w:rsid w:val="00E36BF3"/>
    <w:rsid w:val="00E36C05"/>
    <w:rsid w:val="00E37C52"/>
    <w:rsid w:val="00E4044A"/>
    <w:rsid w:val="00E42090"/>
    <w:rsid w:val="00E42AA8"/>
    <w:rsid w:val="00E43C39"/>
    <w:rsid w:val="00E43DDE"/>
    <w:rsid w:val="00E44998"/>
    <w:rsid w:val="00E452D0"/>
    <w:rsid w:val="00E45FB6"/>
    <w:rsid w:val="00E46120"/>
    <w:rsid w:val="00E46807"/>
    <w:rsid w:val="00E46DF8"/>
    <w:rsid w:val="00E4764A"/>
    <w:rsid w:val="00E4768A"/>
    <w:rsid w:val="00E5011D"/>
    <w:rsid w:val="00E506D5"/>
    <w:rsid w:val="00E517CE"/>
    <w:rsid w:val="00E52410"/>
    <w:rsid w:val="00E52A94"/>
    <w:rsid w:val="00E52DC0"/>
    <w:rsid w:val="00E539D0"/>
    <w:rsid w:val="00E53FF4"/>
    <w:rsid w:val="00E551A8"/>
    <w:rsid w:val="00E5637F"/>
    <w:rsid w:val="00E564CA"/>
    <w:rsid w:val="00E56B1F"/>
    <w:rsid w:val="00E573AE"/>
    <w:rsid w:val="00E605A7"/>
    <w:rsid w:val="00E605D6"/>
    <w:rsid w:val="00E60F60"/>
    <w:rsid w:val="00E61171"/>
    <w:rsid w:val="00E627AF"/>
    <w:rsid w:val="00E62A0A"/>
    <w:rsid w:val="00E62AE0"/>
    <w:rsid w:val="00E634D9"/>
    <w:rsid w:val="00E63D6E"/>
    <w:rsid w:val="00E63E5D"/>
    <w:rsid w:val="00E6625A"/>
    <w:rsid w:val="00E66429"/>
    <w:rsid w:val="00E666AF"/>
    <w:rsid w:val="00E67540"/>
    <w:rsid w:val="00E67B94"/>
    <w:rsid w:val="00E67D34"/>
    <w:rsid w:val="00E70618"/>
    <w:rsid w:val="00E717C1"/>
    <w:rsid w:val="00E71B41"/>
    <w:rsid w:val="00E71EFB"/>
    <w:rsid w:val="00E7356A"/>
    <w:rsid w:val="00E748BD"/>
    <w:rsid w:val="00E74B08"/>
    <w:rsid w:val="00E759EA"/>
    <w:rsid w:val="00E77DBF"/>
    <w:rsid w:val="00E80024"/>
    <w:rsid w:val="00E81254"/>
    <w:rsid w:val="00E8148C"/>
    <w:rsid w:val="00E8149A"/>
    <w:rsid w:val="00E81821"/>
    <w:rsid w:val="00E8262B"/>
    <w:rsid w:val="00E83535"/>
    <w:rsid w:val="00E84F24"/>
    <w:rsid w:val="00E869CE"/>
    <w:rsid w:val="00E87302"/>
    <w:rsid w:val="00E87AC1"/>
    <w:rsid w:val="00E90052"/>
    <w:rsid w:val="00E901F5"/>
    <w:rsid w:val="00E90E68"/>
    <w:rsid w:val="00E91C1D"/>
    <w:rsid w:val="00E92A10"/>
    <w:rsid w:val="00E92B17"/>
    <w:rsid w:val="00E93333"/>
    <w:rsid w:val="00E9334E"/>
    <w:rsid w:val="00E93B37"/>
    <w:rsid w:val="00E93E95"/>
    <w:rsid w:val="00E95EE3"/>
    <w:rsid w:val="00E9754A"/>
    <w:rsid w:val="00E97C78"/>
    <w:rsid w:val="00E97F02"/>
    <w:rsid w:val="00EA01DF"/>
    <w:rsid w:val="00EA02A5"/>
    <w:rsid w:val="00EA071D"/>
    <w:rsid w:val="00EA0933"/>
    <w:rsid w:val="00EA0DA2"/>
    <w:rsid w:val="00EA0F0B"/>
    <w:rsid w:val="00EA0FB8"/>
    <w:rsid w:val="00EA104F"/>
    <w:rsid w:val="00EA2647"/>
    <w:rsid w:val="00EA3DD2"/>
    <w:rsid w:val="00EA44B0"/>
    <w:rsid w:val="00EA48A8"/>
    <w:rsid w:val="00EA4CA1"/>
    <w:rsid w:val="00EA4DC5"/>
    <w:rsid w:val="00EA52E5"/>
    <w:rsid w:val="00EA5EF0"/>
    <w:rsid w:val="00EA62F6"/>
    <w:rsid w:val="00EA67BA"/>
    <w:rsid w:val="00EA6C7E"/>
    <w:rsid w:val="00EA6EA8"/>
    <w:rsid w:val="00EB1242"/>
    <w:rsid w:val="00EB17FC"/>
    <w:rsid w:val="00EB1C9F"/>
    <w:rsid w:val="00EB2074"/>
    <w:rsid w:val="00EB2CEA"/>
    <w:rsid w:val="00EB2D0D"/>
    <w:rsid w:val="00EB38F1"/>
    <w:rsid w:val="00EB3C56"/>
    <w:rsid w:val="00EB400F"/>
    <w:rsid w:val="00EB4266"/>
    <w:rsid w:val="00EB4459"/>
    <w:rsid w:val="00EB4615"/>
    <w:rsid w:val="00EB4827"/>
    <w:rsid w:val="00EB542C"/>
    <w:rsid w:val="00EB591E"/>
    <w:rsid w:val="00EB5BA0"/>
    <w:rsid w:val="00EB69ED"/>
    <w:rsid w:val="00EB7A85"/>
    <w:rsid w:val="00EB7E68"/>
    <w:rsid w:val="00EC0F30"/>
    <w:rsid w:val="00EC25DB"/>
    <w:rsid w:val="00EC26F8"/>
    <w:rsid w:val="00EC2861"/>
    <w:rsid w:val="00EC29FD"/>
    <w:rsid w:val="00EC30A5"/>
    <w:rsid w:val="00EC3392"/>
    <w:rsid w:val="00EC44F6"/>
    <w:rsid w:val="00EC5368"/>
    <w:rsid w:val="00EC667D"/>
    <w:rsid w:val="00ED195E"/>
    <w:rsid w:val="00ED1B3E"/>
    <w:rsid w:val="00ED2A52"/>
    <w:rsid w:val="00ED33A0"/>
    <w:rsid w:val="00ED3A68"/>
    <w:rsid w:val="00ED3DD0"/>
    <w:rsid w:val="00ED3F91"/>
    <w:rsid w:val="00ED4475"/>
    <w:rsid w:val="00ED566E"/>
    <w:rsid w:val="00ED6630"/>
    <w:rsid w:val="00ED7818"/>
    <w:rsid w:val="00ED7F8E"/>
    <w:rsid w:val="00EE08F4"/>
    <w:rsid w:val="00EE1016"/>
    <w:rsid w:val="00EE13D7"/>
    <w:rsid w:val="00EE16D5"/>
    <w:rsid w:val="00EE23D4"/>
    <w:rsid w:val="00EE276B"/>
    <w:rsid w:val="00EE3AF4"/>
    <w:rsid w:val="00EE44C9"/>
    <w:rsid w:val="00EE4923"/>
    <w:rsid w:val="00EE5B18"/>
    <w:rsid w:val="00EE676B"/>
    <w:rsid w:val="00EE6963"/>
    <w:rsid w:val="00EE7381"/>
    <w:rsid w:val="00EE79BD"/>
    <w:rsid w:val="00EE7B60"/>
    <w:rsid w:val="00EF0CF0"/>
    <w:rsid w:val="00EF0EFE"/>
    <w:rsid w:val="00EF227A"/>
    <w:rsid w:val="00EF22F4"/>
    <w:rsid w:val="00EF2D2D"/>
    <w:rsid w:val="00EF3FA0"/>
    <w:rsid w:val="00EF40E4"/>
    <w:rsid w:val="00EF4108"/>
    <w:rsid w:val="00EF46DA"/>
    <w:rsid w:val="00EF4B29"/>
    <w:rsid w:val="00EF730A"/>
    <w:rsid w:val="00EF7F8E"/>
    <w:rsid w:val="00F00842"/>
    <w:rsid w:val="00F00FB8"/>
    <w:rsid w:val="00F013F9"/>
    <w:rsid w:val="00F015EE"/>
    <w:rsid w:val="00F01CF1"/>
    <w:rsid w:val="00F03253"/>
    <w:rsid w:val="00F04AEF"/>
    <w:rsid w:val="00F053E7"/>
    <w:rsid w:val="00F05A1B"/>
    <w:rsid w:val="00F05ADD"/>
    <w:rsid w:val="00F05D82"/>
    <w:rsid w:val="00F05E75"/>
    <w:rsid w:val="00F0614E"/>
    <w:rsid w:val="00F062DE"/>
    <w:rsid w:val="00F06D19"/>
    <w:rsid w:val="00F06E9D"/>
    <w:rsid w:val="00F07312"/>
    <w:rsid w:val="00F0755E"/>
    <w:rsid w:val="00F11022"/>
    <w:rsid w:val="00F11A07"/>
    <w:rsid w:val="00F11CAF"/>
    <w:rsid w:val="00F12136"/>
    <w:rsid w:val="00F122CB"/>
    <w:rsid w:val="00F13997"/>
    <w:rsid w:val="00F13EB8"/>
    <w:rsid w:val="00F14BCE"/>
    <w:rsid w:val="00F15F97"/>
    <w:rsid w:val="00F16034"/>
    <w:rsid w:val="00F162AE"/>
    <w:rsid w:val="00F16E99"/>
    <w:rsid w:val="00F16F89"/>
    <w:rsid w:val="00F179B1"/>
    <w:rsid w:val="00F17AFD"/>
    <w:rsid w:val="00F17DFC"/>
    <w:rsid w:val="00F20522"/>
    <w:rsid w:val="00F20811"/>
    <w:rsid w:val="00F21808"/>
    <w:rsid w:val="00F21908"/>
    <w:rsid w:val="00F21AF6"/>
    <w:rsid w:val="00F22135"/>
    <w:rsid w:val="00F22A49"/>
    <w:rsid w:val="00F22F74"/>
    <w:rsid w:val="00F23BD7"/>
    <w:rsid w:val="00F24240"/>
    <w:rsid w:val="00F2560D"/>
    <w:rsid w:val="00F2562B"/>
    <w:rsid w:val="00F256CB"/>
    <w:rsid w:val="00F262BD"/>
    <w:rsid w:val="00F26ACD"/>
    <w:rsid w:val="00F2765F"/>
    <w:rsid w:val="00F300FA"/>
    <w:rsid w:val="00F303D0"/>
    <w:rsid w:val="00F30400"/>
    <w:rsid w:val="00F30D70"/>
    <w:rsid w:val="00F33567"/>
    <w:rsid w:val="00F33B36"/>
    <w:rsid w:val="00F33BB3"/>
    <w:rsid w:val="00F347AF"/>
    <w:rsid w:val="00F34AB7"/>
    <w:rsid w:val="00F34D96"/>
    <w:rsid w:val="00F34FC6"/>
    <w:rsid w:val="00F354A7"/>
    <w:rsid w:val="00F35A6B"/>
    <w:rsid w:val="00F35A76"/>
    <w:rsid w:val="00F35BEB"/>
    <w:rsid w:val="00F362C6"/>
    <w:rsid w:val="00F36FF0"/>
    <w:rsid w:val="00F37AC8"/>
    <w:rsid w:val="00F37BD7"/>
    <w:rsid w:val="00F40C1D"/>
    <w:rsid w:val="00F41111"/>
    <w:rsid w:val="00F41D99"/>
    <w:rsid w:val="00F42F3B"/>
    <w:rsid w:val="00F435AB"/>
    <w:rsid w:val="00F43D36"/>
    <w:rsid w:val="00F44C78"/>
    <w:rsid w:val="00F4590D"/>
    <w:rsid w:val="00F46A99"/>
    <w:rsid w:val="00F47826"/>
    <w:rsid w:val="00F47A90"/>
    <w:rsid w:val="00F47BF3"/>
    <w:rsid w:val="00F47D05"/>
    <w:rsid w:val="00F504DE"/>
    <w:rsid w:val="00F509B8"/>
    <w:rsid w:val="00F50AA6"/>
    <w:rsid w:val="00F51523"/>
    <w:rsid w:val="00F51B9D"/>
    <w:rsid w:val="00F55EA3"/>
    <w:rsid w:val="00F57824"/>
    <w:rsid w:val="00F57D84"/>
    <w:rsid w:val="00F60394"/>
    <w:rsid w:val="00F60422"/>
    <w:rsid w:val="00F61395"/>
    <w:rsid w:val="00F629D8"/>
    <w:rsid w:val="00F631F9"/>
    <w:rsid w:val="00F64047"/>
    <w:rsid w:val="00F6429D"/>
    <w:rsid w:val="00F643CF"/>
    <w:rsid w:val="00F6519B"/>
    <w:rsid w:val="00F65AA5"/>
    <w:rsid w:val="00F65ED6"/>
    <w:rsid w:val="00F66200"/>
    <w:rsid w:val="00F66A3F"/>
    <w:rsid w:val="00F66D37"/>
    <w:rsid w:val="00F676F4"/>
    <w:rsid w:val="00F67965"/>
    <w:rsid w:val="00F67CAA"/>
    <w:rsid w:val="00F715C4"/>
    <w:rsid w:val="00F71A90"/>
    <w:rsid w:val="00F71C65"/>
    <w:rsid w:val="00F72306"/>
    <w:rsid w:val="00F72744"/>
    <w:rsid w:val="00F72ABF"/>
    <w:rsid w:val="00F7312B"/>
    <w:rsid w:val="00F73F71"/>
    <w:rsid w:val="00F74669"/>
    <w:rsid w:val="00F74670"/>
    <w:rsid w:val="00F748CE"/>
    <w:rsid w:val="00F75918"/>
    <w:rsid w:val="00F76041"/>
    <w:rsid w:val="00F7607C"/>
    <w:rsid w:val="00F77C8C"/>
    <w:rsid w:val="00F805F3"/>
    <w:rsid w:val="00F817F5"/>
    <w:rsid w:val="00F81A48"/>
    <w:rsid w:val="00F81DA7"/>
    <w:rsid w:val="00F83C71"/>
    <w:rsid w:val="00F845E3"/>
    <w:rsid w:val="00F846BF"/>
    <w:rsid w:val="00F85D52"/>
    <w:rsid w:val="00F85FA9"/>
    <w:rsid w:val="00F86959"/>
    <w:rsid w:val="00F86F83"/>
    <w:rsid w:val="00F87659"/>
    <w:rsid w:val="00F87DB0"/>
    <w:rsid w:val="00F9000E"/>
    <w:rsid w:val="00F904F8"/>
    <w:rsid w:val="00F914CE"/>
    <w:rsid w:val="00F91E61"/>
    <w:rsid w:val="00F92176"/>
    <w:rsid w:val="00F9230B"/>
    <w:rsid w:val="00F92419"/>
    <w:rsid w:val="00F929E2"/>
    <w:rsid w:val="00F92DDD"/>
    <w:rsid w:val="00F96FF0"/>
    <w:rsid w:val="00F975DA"/>
    <w:rsid w:val="00FA042F"/>
    <w:rsid w:val="00FA05E5"/>
    <w:rsid w:val="00FA0E58"/>
    <w:rsid w:val="00FA2CDA"/>
    <w:rsid w:val="00FA4427"/>
    <w:rsid w:val="00FA4A8D"/>
    <w:rsid w:val="00FA5A92"/>
    <w:rsid w:val="00FA61E0"/>
    <w:rsid w:val="00FA652A"/>
    <w:rsid w:val="00FA65F2"/>
    <w:rsid w:val="00FA6966"/>
    <w:rsid w:val="00FA7D17"/>
    <w:rsid w:val="00FA7FD8"/>
    <w:rsid w:val="00FB1185"/>
    <w:rsid w:val="00FB14A1"/>
    <w:rsid w:val="00FB2506"/>
    <w:rsid w:val="00FB2584"/>
    <w:rsid w:val="00FB2F15"/>
    <w:rsid w:val="00FB3459"/>
    <w:rsid w:val="00FB3D62"/>
    <w:rsid w:val="00FB462C"/>
    <w:rsid w:val="00FB4762"/>
    <w:rsid w:val="00FB48CC"/>
    <w:rsid w:val="00FB5615"/>
    <w:rsid w:val="00FB5A5D"/>
    <w:rsid w:val="00FB6362"/>
    <w:rsid w:val="00FB66D4"/>
    <w:rsid w:val="00FB6AF9"/>
    <w:rsid w:val="00FB73DB"/>
    <w:rsid w:val="00FB75E0"/>
    <w:rsid w:val="00FB7645"/>
    <w:rsid w:val="00FB7B23"/>
    <w:rsid w:val="00FB7EE6"/>
    <w:rsid w:val="00FC09BA"/>
    <w:rsid w:val="00FC13DA"/>
    <w:rsid w:val="00FC1B42"/>
    <w:rsid w:val="00FC2649"/>
    <w:rsid w:val="00FC3907"/>
    <w:rsid w:val="00FC3A10"/>
    <w:rsid w:val="00FC5C50"/>
    <w:rsid w:val="00FC6AD7"/>
    <w:rsid w:val="00FC6DE0"/>
    <w:rsid w:val="00FC6E7D"/>
    <w:rsid w:val="00FC701B"/>
    <w:rsid w:val="00FC7CD0"/>
    <w:rsid w:val="00FD0825"/>
    <w:rsid w:val="00FD0E7C"/>
    <w:rsid w:val="00FD1C50"/>
    <w:rsid w:val="00FD2B8E"/>
    <w:rsid w:val="00FD39C7"/>
    <w:rsid w:val="00FD39D6"/>
    <w:rsid w:val="00FD3B06"/>
    <w:rsid w:val="00FD419D"/>
    <w:rsid w:val="00FD475E"/>
    <w:rsid w:val="00FD6B23"/>
    <w:rsid w:val="00FD6B58"/>
    <w:rsid w:val="00FD7EC8"/>
    <w:rsid w:val="00FE06AB"/>
    <w:rsid w:val="00FE0B54"/>
    <w:rsid w:val="00FE1931"/>
    <w:rsid w:val="00FE2824"/>
    <w:rsid w:val="00FE29F4"/>
    <w:rsid w:val="00FE2BA2"/>
    <w:rsid w:val="00FE2DBA"/>
    <w:rsid w:val="00FE2F52"/>
    <w:rsid w:val="00FE30B0"/>
    <w:rsid w:val="00FE353B"/>
    <w:rsid w:val="00FE391F"/>
    <w:rsid w:val="00FE44F0"/>
    <w:rsid w:val="00FE5163"/>
    <w:rsid w:val="00FE5A3A"/>
    <w:rsid w:val="00FE6095"/>
    <w:rsid w:val="00FE612B"/>
    <w:rsid w:val="00FE692A"/>
    <w:rsid w:val="00FE69C2"/>
    <w:rsid w:val="00FE69E9"/>
    <w:rsid w:val="00FE730C"/>
    <w:rsid w:val="00FE77E1"/>
    <w:rsid w:val="00FE7B8A"/>
    <w:rsid w:val="00FE7C4C"/>
    <w:rsid w:val="00FF4BBB"/>
    <w:rsid w:val="00FF4E4C"/>
    <w:rsid w:val="00FF51D0"/>
    <w:rsid w:val="00FF5C54"/>
    <w:rsid w:val="00FF6D0E"/>
    <w:rsid w:val="00FF6D5E"/>
    <w:rsid w:val="00FF7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29CA"/>
  <w15:docId w15:val="{D0759326-43D0-4F17-9D5E-1677183E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93B"/>
    <w:pPr>
      <w:widowControl w:val="0"/>
      <w:suppressAutoHyphens/>
      <w:overflowPunct w:val="0"/>
      <w:autoSpaceDE w:val="0"/>
      <w:autoSpaceDN w:val="0"/>
      <w:adjustRightInd w:val="0"/>
      <w:textAlignment w:val="baseline"/>
    </w:pPr>
    <w:rPr>
      <w:rFonts w:asciiTheme="minorHAnsi" w:eastAsia="Liberation Serif" w:hAnsiTheme="minorHAnsi"/>
      <w:kern w:val="1"/>
      <w:sz w:val="22"/>
      <w:lang w:val="en-GB"/>
    </w:rPr>
  </w:style>
  <w:style w:type="paragraph" w:styleId="Heading1">
    <w:name w:val="heading 1"/>
    <w:basedOn w:val="Normal"/>
    <w:next w:val="BodyText"/>
    <w:link w:val="Heading1Char"/>
    <w:qFormat/>
    <w:rsid w:val="006344F0"/>
    <w:pPr>
      <w:keepNext/>
      <w:numPr>
        <w:numId w:val="9"/>
      </w:numPr>
      <w:spacing w:before="240" w:after="120"/>
      <w:outlineLvl w:val="0"/>
    </w:pPr>
    <w:rPr>
      <w:b/>
      <w:sz w:val="48"/>
    </w:rPr>
  </w:style>
  <w:style w:type="paragraph" w:styleId="Heading2">
    <w:name w:val="heading 2"/>
    <w:basedOn w:val="Normal"/>
    <w:next w:val="BodyText"/>
    <w:link w:val="Heading2Char"/>
    <w:qFormat/>
    <w:rsid w:val="006344F0"/>
    <w:pPr>
      <w:keepNext/>
      <w:numPr>
        <w:ilvl w:val="1"/>
        <w:numId w:val="9"/>
      </w:numPr>
      <w:spacing w:before="240" w:after="120"/>
      <w:outlineLvl w:val="1"/>
    </w:pPr>
    <w:rPr>
      <w:b/>
      <w:sz w:val="36"/>
    </w:rPr>
  </w:style>
  <w:style w:type="paragraph" w:styleId="Heading3">
    <w:name w:val="heading 3"/>
    <w:basedOn w:val="Normal"/>
    <w:next w:val="BodyText"/>
    <w:link w:val="Heading3Char"/>
    <w:qFormat/>
    <w:rsid w:val="006344F0"/>
    <w:pPr>
      <w:keepNext/>
      <w:numPr>
        <w:ilvl w:val="2"/>
        <w:numId w:val="9"/>
      </w:numPr>
      <w:spacing w:before="240" w:after="120"/>
      <w:outlineLvl w:val="2"/>
    </w:pPr>
    <w:rPr>
      <w:b/>
      <w:sz w:val="28"/>
    </w:rPr>
  </w:style>
  <w:style w:type="paragraph" w:styleId="Heading4">
    <w:name w:val="heading 4"/>
    <w:basedOn w:val="Normal"/>
    <w:next w:val="BodyText"/>
    <w:link w:val="Heading4Char"/>
    <w:qFormat/>
    <w:rsid w:val="006344F0"/>
    <w:pPr>
      <w:keepNext/>
      <w:spacing w:before="24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4F0"/>
    <w:rPr>
      <w:rFonts w:ascii="Liberation Serif" w:eastAsia="Liberation Serif"/>
      <w:b/>
      <w:kern w:val="1"/>
      <w:sz w:val="48"/>
      <w:lang w:val="en-GB"/>
    </w:rPr>
  </w:style>
  <w:style w:type="paragraph" w:styleId="BodyText">
    <w:name w:val="Body Text"/>
    <w:basedOn w:val="Normal"/>
    <w:link w:val="BodyTextChar"/>
    <w:uiPriority w:val="99"/>
    <w:semiHidden/>
    <w:unhideWhenUsed/>
    <w:rsid w:val="00E67D34"/>
    <w:pPr>
      <w:spacing w:after="120"/>
    </w:pPr>
  </w:style>
  <w:style w:type="character" w:customStyle="1" w:styleId="BodyTextChar">
    <w:name w:val="Body Text Char"/>
    <w:basedOn w:val="DefaultParagraphFont"/>
    <w:link w:val="BodyText"/>
    <w:uiPriority w:val="99"/>
    <w:semiHidden/>
    <w:rsid w:val="00E67D34"/>
    <w:rPr>
      <w:rFonts w:ascii="Liberation Serif" w:eastAsia="Liberation Serif"/>
      <w:kern w:val="1"/>
      <w:sz w:val="24"/>
      <w:lang w:val="en-GB"/>
    </w:rPr>
  </w:style>
  <w:style w:type="character" w:customStyle="1" w:styleId="Heading2Char">
    <w:name w:val="Heading 2 Char"/>
    <w:basedOn w:val="DefaultParagraphFont"/>
    <w:link w:val="Heading2"/>
    <w:rsid w:val="006344F0"/>
    <w:rPr>
      <w:rFonts w:ascii="Liberation Serif" w:eastAsia="Liberation Serif"/>
      <w:b/>
      <w:kern w:val="1"/>
      <w:sz w:val="36"/>
      <w:lang w:val="en-GB"/>
    </w:rPr>
  </w:style>
  <w:style w:type="character" w:customStyle="1" w:styleId="Heading3Char">
    <w:name w:val="Heading 3 Char"/>
    <w:basedOn w:val="DefaultParagraphFont"/>
    <w:link w:val="Heading3"/>
    <w:rsid w:val="006344F0"/>
    <w:rPr>
      <w:rFonts w:ascii="Liberation Serif" w:eastAsia="Liberation Serif"/>
      <w:b/>
      <w:kern w:val="1"/>
      <w:sz w:val="28"/>
      <w:lang w:val="en-GB"/>
    </w:rPr>
  </w:style>
  <w:style w:type="character" w:customStyle="1" w:styleId="Heading4Char">
    <w:name w:val="Heading 4 Char"/>
    <w:basedOn w:val="DefaultParagraphFont"/>
    <w:link w:val="Heading4"/>
    <w:rsid w:val="006344F0"/>
    <w:rPr>
      <w:rFonts w:ascii="Liberation Serif" w:eastAsia="Liberation Serif"/>
      <w:b/>
      <w:kern w:val="1"/>
      <w:sz w:val="24"/>
      <w:lang w:val="en-GB"/>
    </w:rPr>
  </w:style>
  <w:style w:type="paragraph" w:styleId="Caption">
    <w:name w:val="caption"/>
    <w:basedOn w:val="Normal"/>
    <w:qFormat/>
    <w:rsid w:val="006344F0"/>
    <w:pPr>
      <w:suppressLineNumbers/>
      <w:spacing w:before="120" w:after="120"/>
    </w:pPr>
    <w:rPr>
      <w:i/>
    </w:rPr>
  </w:style>
  <w:style w:type="paragraph" w:styleId="Title">
    <w:name w:val="Title"/>
    <w:basedOn w:val="Normal"/>
    <w:next w:val="Normal"/>
    <w:link w:val="TitleChar"/>
    <w:qFormat/>
    <w:rsid w:val="006344F0"/>
    <w:pPr>
      <w:keepNext/>
      <w:spacing w:before="240" w:after="120"/>
      <w:jc w:val="center"/>
    </w:pPr>
    <w:rPr>
      <w:rFonts w:ascii="Liberation Sans" w:eastAsia="Liberation Sans"/>
      <w:b/>
      <w:sz w:val="36"/>
    </w:rPr>
  </w:style>
  <w:style w:type="character" w:customStyle="1" w:styleId="TitleChar">
    <w:name w:val="Title Char"/>
    <w:basedOn w:val="DefaultParagraphFont"/>
    <w:link w:val="Title"/>
    <w:rsid w:val="006344F0"/>
    <w:rPr>
      <w:rFonts w:ascii="Liberation Sans" w:eastAsia="Liberation Sans"/>
      <w:b/>
      <w:kern w:val="1"/>
      <w:sz w:val="36"/>
      <w:lang w:val="en-GB"/>
    </w:rPr>
  </w:style>
  <w:style w:type="paragraph" w:styleId="Subtitle">
    <w:name w:val="Subtitle"/>
    <w:basedOn w:val="Normal"/>
    <w:next w:val="BodyText"/>
    <w:link w:val="SubtitleChar"/>
    <w:qFormat/>
    <w:rsid w:val="006344F0"/>
    <w:pPr>
      <w:keepNext/>
      <w:spacing w:before="240" w:after="120"/>
      <w:jc w:val="center"/>
    </w:pPr>
    <w:rPr>
      <w:rFonts w:ascii="Liberation Sans" w:eastAsia="Liberation Sans" w:cstheme="majorBidi"/>
      <w:i/>
      <w:sz w:val="28"/>
    </w:rPr>
  </w:style>
  <w:style w:type="character" w:customStyle="1" w:styleId="SubtitleChar">
    <w:name w:val="Subtitle Char"/>
    <w:basedOn w:val="DefaultParagraphFont"/>
    <w:link w:val="Subtitle"/>
    <w:rsid w:val="006344F0"/>
    <w:rPr>
      <w:rFonts w:ascii="Liberation Sans" w:eastAsia="Liberation Sans" w:cstheme="majorBidi"/>
      <w:i/>
      <w:kern w:val="1"/>
      <w:sz w:val="28"/>
      <w:lang w:val="en-GB"/>
    </w:rPr>
  </w:style>
  <w:style w:type="character" w:styleId="Emphasis">
    <w:name w:val="Emphasis"/>
    <w:qFormat/>
    <w:rsid w:val="006344F0"/>
    <w:rPr>
      <w:i/>
    </w:rPr>
  </w:style>
  <w:style w:type="paragraph" w:styleId="ListParagraph">
    <w:name w:val="List Paragraph"/>
    <w:basedOn w:val="Normal"/>
    <w:qFormat/>
    <w:rsid w:val="006344F0"/>
    <w:pPr>
      <w:ind w:left="720" w:firstLine="284"/>
    </w:pPr>
  </w:style>
  <w:style w:type="paragraph" w:customStyle="1" w:styleId="BalloonText1">
    <w:name w:val="Balloon Text1"/>
    <w:basedOn w:val="CommentText"/>
    <w:link w:val="balloontextChar"/>
    <w:qFormat/>
    <w:rsid w:val="006344F0"/>
  </w:style>
  <w:style w:type="paragraph" w:styleId="CommentText">
    <w:name w:val="annotation text"/>
    <w:basedOn w:val="Normal"/>
    <w:link w:val="CommentTextChar"/>
    <w:uiPriority w:val="99"/>
    <w:unhideWhenUsed/>
    <w:rsid w:val="00525951"/>
    <w:rPr>
      <w:rFonts w:ascii="Arial" w:hAnsi="Arial" w:cs="Arial"/>
      <w:sz w:val="20"/>
    </w:rPr>
  </w:style>
  <w:style w:type="character" w:customStyle="1" w:styleId="CommentTextChar">
    <w:name w:val="Comment Text Char"/>
    <w:basedOn w:val="DefaultParagraphFont"/>
    <w:link w:val="CommentText"/>
    <w:uiPriority w:val="99"/>
    <w:rsid w:val="00525951"/>
    <w:rPr>
      <w:rFonts w:ascii="Arial" w:eastAsia="Liberation Serif" w:hAnsi="Arial" w:cs="Arial"/>
      <w:kern w:val="1"/>
      <w:lang w:val="en-GB"/>
    </w:rPr>
  </w:style>
  <w:style w:type="character" w:customStyle="1" w:styleId="balloontextChar">
    <w:name w:val="balloon text Char"/>
    <w:basedOn w:val="CommentTextChar"/>
    <w:link w:val="BalloonText1"/>
    <w:rsid w:val="006344F0"/>
    <w:rPr>
      <w:rFonts w:ascii="Arial" w:eastAsia="Liberation Serif" w:hAnsi="Arial" w:cs="Arial"/>
      <w:kern w:val="1"/>
      <w:lang w:val="en-GB"/>
    </w:rPr>
  </w:style>
  <w:style w:type="character" w:styleId="CommentReference">
    <w:name w:val="annotation reference"/>
    <w:basedOn w:val="DefaultParagraphFont"/>
    <w:uiPriority w:val="99"/>
    <w:semiHidden/>
    <w:unhideWhenUsed/>
    <w:rsid w:val="00525951"/>
    <w:rPr>
      <w:sz w:val="16"/>
      <w:szCs w:val="16"/>
    </w:rPr>
  </w:style>
  <w:style w:type="paragraph" w:styleId="CommentSubject">
    <w:name w:val="annotation subject"/>
    <w:basedOn w:val="CommentText"/>
    <w:next w:val="CommentText"/>
    <w:link w:val="CommentSubjectChar"/>
    <w:uiPriority w:val="99"/>
    <w:semiHidden/>
    <w:unhideWhenUsed/>
    <w:rsid w:val="00525951"/>
    <w:rPr>
      <w:b/>
      <w:bCs/>
    </w:rPr>
  </w:style>
  <w:style w:type="character" w:customStyle="1" w:styleId="CommentSubjectChar">
    <w:name w:val="Comment Subject Char"/>
    <w:basedOn w:val="CommentTextChar"/>
    <w:link w:val="CommentSubject"/>
    <w:uiPriority w:val="99"/>
    <w:semiHidden/>
    <w:rsid w:val="00525951"/>
    <w:rPr>
      <w:rFonts w:ascii="Arial" w:eastAsia="Liberation Serif" w:hAnsi="Arial" w:cs="Arial"/>
      <w:b/>
      <w:bCs/>
      <w:kern w:val="1"/>
      <w:lang w:val="en-GB"/>
    </w:rPr>
  </w:style>
  <w:style w:type="paragraph" w:styleId="BalloonText">
    <w:name w:val="Balloon Text"/>
    <w:basedOn w:val="Normal"/>
    <w:link w:val="BalloonTextChar0"/>
    <w:uiPriority w:val="99"/>
    <w:semiHidden/>
    <w:unhideWhenUsed/>
    <w:rsid w:val="00525951"/>
    <w:rPr>
      <w:rFonts w:ascii="Tahoma" w:hAnsi="Tahoma" w:cs="Tahoma"/>
      <w:sz w:val="16"/>
      <w:szCs w:val="16"/>
    </w:rPr>
  </w:style>
  <w:style w:type="character" w:customStyle="1" w:styleId="BalloonTextChar0">
    <w:name w:val="Balloon Text Char"/>
    <w:basedOn w:val="DefaultParagraphFont"/>
    <w:link w:val="BalloonText"/>
    <w:uiPriority w:val="99"/>
    <w:semiHidden/>
    <w:rsid w:val="00525951"/>
    <w:rPr>
      <w:rFonts w:ascii="Tahoma" w:eastAsia="Liberation Serif" w:hAnsi="Tahoma" w:cs="Tahoma"/>
      <w:kern w:val="1"/>
      <w:sz w:val="16"/>
      <w:szCs w:val="16"/>
      <w:lang w:val="en-GB"/>
    </w:rPr>
  </w:style>
  <w:style w:type="character" w:styleId="Hyperlink">
    <w:name w:val="Hyperlink"/>
    <w:basedOn w:val="DefaultParagraphFont"/>
    <w:uiPriority w:val="99"/>
    <w:unhideWhenUsed/>
    <w:rsid w:val="008328E1"/>
    <w:rPr>
      <w:color w:val="0000FF" w:themeColor="hyperlink"/>
      <w:u w:val="single"/>
    </w:rPr>
  </w:style>
  <w:style w:type="character" w:styleId="PlaceholderText">
    <w:name w:val="Placeholder Text"/>
    <w:basedOn w:val="DefaultParagraphFont"/>
    <w:uiPriority w:val="99"/>
    <w:semiHidden/>
    <w:rsid w:val="0056419F"/>
    <w:rPr>
      <w:color w:val="808080"/>
    </w:rPr>
  </w:style>
  <w:style w:type="table" w:styleId="TableGrid">
    <w:name w:val="Table Grid"/>
    <w:basedOn w:val="TableNormal"/>
    <w:uiPriority w:val="59"/>
    <w:rsid w:val="00DF76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7062F"/>
    <w:rPr>
      <w:color w:val="800080" w:themeColor="followedHyperlink"/>
      <w:u w:val="single"/>
    </w:rPr>
  </w:style>
  <w:style w:type="character" w:styleId="LineNumber">
    <w:name w:val="line number"/>
    <w:basedOn w:val="DefaultParagraphFont"/>
    <w:uiPriority w:val="99"/>
    <w:semiHidden/>
    <w:unhideWhenUsed/>
    <w:rsid w:val="00DB3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160550">
      <w:bodyDiv w:val="1"/>
      <w:marLeft w:val="0"/>
      <w:marRight w:val="0"/>
      <w:marTop w:val="0"/>
      <w:marBottom w:val="0"/>
      <w:divBdr>
        <w:top w:val="none" w:sz="0" w:space="0" w:color="auto"/>
        <w:left w:val="none" w:sz="0" w:space="0" w:color="auto"/>
        <w:bottom w:val="none" w:sz="0" w:space="0" w:color="auto"/>
        <w:right w:val="none" w:sz="0" w:space="0" w:color="auto"/>
      </w:divBdr>
      <w:divsChild>
        <w:div w:id="693651512">
          <w:marLeft w:val="0"/>
          <w:marRight w:val="0"/>
          <w:marTop w:val="0"/>
          <w:marBottom w:val="0"/>
          <w:divBdr>
            <w:top w:val="none" w:sz="0" w:space="0" w:color="auto"/>
            <w:left w:val="none" w:sz="0" w:space="0" w:color="auto"/>
            <w:bottom w:val="none" w:sz="0" w:space="0" w:color="auto"/>
            <w:right w:val="none" w:sz="0" w:space="0" w:color="auto"/>
          </w:divBdr>
        </w:div>
        <w:div w:id="567956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waveworkshop.org/8thWaves/Papers/E3.pdf"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wmf"/><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omments" Target="commen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polar.ncep.noaa.gov/waves/wavewatch/"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4976</Words>
  <Characters>28365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ibrooks</dc:creator>
  <cp:lastModifiedBy>chris fairall</cp:lastModifiedBy>
  <cp:revision>2</cp:revision>
  <dcterms:created xsi:type="dcterms:W3CDTF">2018-05-01T19:13:00Z</dcterms:created>
  <dcterms:modified xsi:type="dcterms:W3CDTF">2018-05-01T19:13:00Z</dcterms:modified>
</cp:coreProperties>
</file>