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Arial" w:hAnsi="Arial"/>
          <w:b/>
          <w:color w:val="1F4E79"/>
          <w:sz w:val="36"/>
        </w:rPr>
        <w:t>脑卒中相关性肺炎（SAP）常规多模态数据 1:4 匹配嵌套病例对照研究方案</w:t>
      </w: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(基于两篇顶刊方法学融合：Zhang et al., 2026 + Yu et al., 2024)</w:t>
      </w:r>
    </w:p>
    <w:p>
      <w:r>
        <w:rPr>
          <w:b/>
        </w:rPr>
        <w:t>项目代号</w:t>
      </w:r>
      <w:r>
        <w:rPr>
          <w:b w:val="0"/>
        </w:rPr>
        <w:t>：</w:t>
      </w:r>
      <w:r>
        <w:rPr>
          <w:rFonts w:ascii="Consolas" w:hAnsi="Consolas"/>
          <w:color w:val="B42828"/>
          <w:sz w:val="19"/>
        </w:rPr>
        <w:t>SAP-Routine-NCC-Study</w:t>
      </w:r>
    </w:p>
    <w:p>
      <w:r>
        <w:rPr>
          <w:b/>
        </w:rPr>
        <w:t>版本</w:t>
      </w:r>
      <w:r>
        <w:rPr>
          <w:b w:val="0"/>
        </w:rPr>
        <w:t>：v1.0 (2026-08-18)</w:t>
      </w:r>
    </w:p>
    <w:p>
      <w:r>
        <w:rPr>
          <w:b/>
        </w:rPr>
        <w:t>设计类型</w:t>
      </w:r>
      <w:r>
        <w:rPr>
          <w:b w:val="0"/>
        </w:rPr>
        <w:t>：单中心回顾性队列 1:4 嵌套病例对照研究（1:4 Matched Nested Case-Control Study）</w:t>
      </w:r>
    </w:p>
    <w:p>
      <w:r>
        <w:rPr>
          <w:b/>
        </w:rPr>
        <w:t>数据基底</w:t>
      </w:r>
      <w:r>
        <w:rPr>
          <w:b w:val="0"/>
        </w:rPr>
        <w:t>：200 余例脑卒中住院患者历史常规病历、化验单与护理记录（SAP 发生率 &lt; 3%）</w:t>
      </w:r>
    </w:p>
    <w:p>
      <w:r>
        <w:rPr>
          <w:b/>
        </w:rPr>
        <w:t>方法学对标</w:t>
      </w:r>
      <w:r>
        <w:rPr>
          <w:b w:val="0"/>
        </w:rPr>
        <w:t>：</w:t>
      </w:r>
    </w:p>
    <w:p>
      <w:pPr>
        <w:pStyle w:val="ListNumber"/>
        <w:spacing w:after="60" w:line="300" w:lineRule="auto"/>
      </w:pPr>
      <w:r>
        <w:rPr>
          <w:b w:val="0"/>
        </w:rPr>
        <w:t>*Acta Microbiol Immunol Hung (2026, Zhang et al.)*: 增量价值分析（</w:t>
      </w:r>
      <w:r>
        <w:rPr>
          <w:i/>
        </w:rPr>
        <w:t>\Delta\text{AUC}</w:t>
      </w:r>
      <w:r>
        <w:rPr>
          <w:b w:val="0"/>
        </w:rPr>
        <w:t>、NRI、IDI、Brier 评分）与复合评分构建；</w:t>
      </w:r>
    </w:p>
    <w:p>
      <w:pPr>
        <w:pStyle w:val="ListNumber"/>
        <w:spacing w:after="60" w:line="300" w:lineRule="auto"/>
      </w:pPr>
      <w:r>
        <w:rPr>
          <w:b w:val="0"/>
        </w:rPr>
        <w:t>*Front. Endocrinol. (2024, Yu et al., PMID: 39588332)*: 常规检验（WBC/CRP/生化）、吞咽量表（KWDT/GCS）与时序生存分析（Kaplan-Meier）。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一、 研究背景与立题依据</w:t>
      </w:r>
    </w:p>
    <w:p>
      <w:pPr>
        <w:pStyle w:val="ListNumber"/>
        <w:spacing w:after="60" w:line="300" w:lineRule="auto"/>
      </w:pPr>
      <w:r>
        <w:rPr>
          <w:b/>
        </w:rPr>
        <w:t>临床痛点</w:t>
      </w:r>
      <w:r>
        <w:rPr>
          <w:b w:val="0"/>
        </w:rPr>
        <w:t>：脑卒中相关性肺炎（SAP）是急性卒中住院期间最常见的致命并发症，显著增加病死率并延长住院日。</w:t>
      </w:r>
    </w:p>
    <w:p>
      <w:pPr>
        <w:pStyle w:val="ListNumber"/>
        <w:spacing w:after="60" w:line="300" w:lineRule="auto"/>
      </w:pPr>
      <w:r>
        <w:rPr>
          <w:b/>
        </w:rPr>
        <w:t>现有工具瓶颈</w:t>
      </w:r>
      <w:r>
        <w:rPr>
          <w:b w:val="0"/>
        </w:rPr>
        <w:t xml:space="preserve">：临床常用的 </w:t>
      </w:r>
      <w:r>
        <w:rPr>
          <w:i/>
        </w:rPr>
        <w:t>A_2DS_2</w:t>
      </w:r>
      <w:r>
        <w:rPr>
          <w:b w:val="0"/>
        </w:rPr>
        <w:t>、AIS-APS 等评分虽被广泛使用，但在低发生率、轻中度卒中病区存在“区分度不足（AUC 往往低于 0.80）”与“校准度漂移”的局限。</w:t>
      </w:r>
    </w:p>
    <w:p>
      <w:pPr>
        <w:pStyle w:val="ListNumber"/>
        <w:spacing w:after="60" w:line="300" w:lineRule="auto"/>
      </w:pPr>
      <w:r>
        <w:rPr>
          <w:b/>
        </w:rPr>
        <w:t>创新切入点</w:t>
      </w:r>
      <w:r>
        <w:rPr>
          <w:b w:val="0"/>
        </w:rPr>
        <w:t>：无需开展高成本的新化验，直接挖掘患者入院 24h 内已有的</w:t>
      </w:r>
      <w:r>
        <w:rPr>
          <w:b/>
        </w:rPr>
        <w:t>常规血常规（NLR/SII）、常规生化（白蛋白/CRP/eGFR）及常规护理文书（首次吞咽筛查时效、GCS、洼田饮水试验 KWDT）</w:t>
      </w:r>
      <w:r>
        <w:rPr>
          <w:b w:val="0"/>
        </w:rPr>
        <w:t xml:space="preserve">，通过 1:4 嵌套匹配与增量价值分析，证实其对 </w:t>
      </w:r>
      <w:r>
        <w:rPr>
          <w:i/>
        </w:rPr>
        <w:t>A_2DS_2</w:t>
      </w:r>
      <w:r>
        <w:rPr>
          <w:b w:val="0"/>
        </w:rPr>
        <w:t xml:space="preserve"> 具有显著的风险重分类与预测增量价值。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二、 研究对象与 1:4 匹配流程（Flowchart）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【总队列：200 余例急性脑卒中患者】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│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┌────────────────┴────────────────┐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▼                                 ▼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【病例组：全部 6 例 SAP】         【对照池：~194 例未发生 SAP】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│                                 │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└────────────────┬────────────────┘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▼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【以 1:4 比例进行严格风险集匹配（Risk-Set Matched Sampling）】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• 匹配变量 1：年龄（±3 岁）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• 匹配变量 2：性别（100% 精确同性）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• 匹配变量 3：初始瘫痪严重度 NIHSS 评分（±2 分）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• 匹配变量 4：卒中亚型（脑梗死 vs 脑出血 100% 相同）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│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┌────────────────┴────────────────┐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▼                                 ▼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6 例 SAP 患者                     24 例精准匹配的 Control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│                                 │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└────────────────┬────────────────┘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▼</w:t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 【最终核心分析数据集：总计 30 例深度比对】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1. 纳入标准（Inclusion Criteria）</w:t>
      </w:r>
    </w:p>
    <w:p>
      <w:pPr>
        <w:pStyle w:val="ListBullet"/>
        <w:spacing w:after="60" w:line="300" w:lineRule="auto"/>
      </w:pPr>
      <w:r>
        <w:rPr>
          <w:b w:val="0"/>
        </w:rPr>
        <w:t xml:space="preserve">年龄 </w:t>
      </w:r>
      <w:r>
        <w:rPr>
          <w:i/>
        </w:rPr>
        <w:t>\ge 18</w:t>
      </w:r>
      <w:r>
        <w:rPr>
          <w:b w:val="0"/>
        </w:rPr>
        <w:t xml:space="preserve"> 岁；</w:t>
      </w:r>
    </w:p>
    <w:p>
      <w:pPr>
        <w:pStyle w:val="ListBullet"/>
        <w:spacing w:after="60" w:line="300" w:lineRule="auto"/>
      </w:pPr>
      <w:r>
        <w:rPr>
          <w:b w:val="0"/>
        </w:rPr>
        <w:t xml:space="preserve">经头颅 CT/MRI 确诊为急性脑卒中（脑梗死或脑出血），发病至入院时间 </w:t>
      </w:r>
      <w:r>
        <w:rPr>
          <w:i/>
        </w:rPr>
        <w:t>\le 7</w:t>
      </w:r>
      <w:r>
        <w:rPr>
          <w:b w:val="0"/>
        </w:rPr>
        <w:t xml:space="preserve"> 天；</w:t>
      </w:r>
    </w:p>
    <w:p>
      <w:pPr>
        <w:pStyle w:val="ListBullet"/>
        <w:spacing w:after="60" w:line="300" w:lineRule="auto"/>
      </w:pPr>
      <w:r>
        <w:rPr>
          <w:b w:val="0"/>
        </w:rPr>
        <w:t>具有完整的入院首日血常规、生化及护理文书记录；</w:t>
      </w:r>
    </w:p>
    <w:p>
      <w:pPr>
        <w:pStyle w:val="ListBullet"/>
        <w:spacing w:after="60" w:line="300" w:lineRule="auto"/>
      </w:pPr>
      <w:r>
        <w:rPr>
          <w:b w:val="0"/>
        </w:rPr>
        <w:t>随访至卒中发病第 7~14 天或出院。</w:t>
      </w: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2. 排除标准（Exclusion Criteria）</w:t>
      </w:r>
    </w:p>
    <w:p>
      <w:pPr>
        <w:pStyle w:val="ListBullet"/>
        <w:spacing w:after="60" w:line="300" w:lineRule="auto"/>
      </w:pPr>
      <w:r>
        <w:rPr>
          <w:b w:val="0"/>
        </w:rPr>
        <w:t xml:space="preserve">入院前已存在活动性肺部感染或体温 </w:t>
      </w:r>
      <w:r>
        <w:rPr>
          <w:i/>
        </w:rPr>
        <w:t>&gt;38.0^\circ\text{C}</w:t>
      </w:r>
      <w:r>
        <w:rPr>
          <w:b w:val="0"/>
        </w:rPr>
        <w:t>；</w:t>
      </w:r>
    </w:p>
    <w:p>
      <w:pPr>
        <w:pStyle w:val="ListBullet"/>
        <w:spacing w:after="60" w:line="300" w:lineRule="auto"/>
      </w:pPr>
      <w:r>
        <w:rPr>
          <w:b w:val="0"/>
        </w:rPr>
        <w:t>入院即刻行气管插管/有创机械通气；</w:t>
      </w:r>
    </w:p>
    <w:p>
      <w:pPr>
        <w:pStyle w:val="ListBullet"/>
        <w:spacing w:after="60" w:line="300" w:lineRule="auto"/>
      </w:pPr>
      <w:r>
        <w:rPr>
          <w:b w:val="0"/>
        </w:rPr>
        <w:t>既往严重终末期肾病（透析）或恶性肿瘤晚期。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三、 从常规病历中提取的变量清单（Zero-Cost Data Dictionary）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模块分类</w:t>
            </w:r>
          </w:p>
        </w:tc>
        <w:tc>
          <w:tcPr>
            <w:tcW w:type="dxa" w:w="180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变量名称</w:t>
            </w:r>
          </w:p>
        </w:tc>
        <w:tc>
          <w:tcPr>
            <w:tcW w:type="dxa" w:w="180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英文缩写</w:t>
            </w:r>
          </w:p>
        </w:tc>
        <w:tc>
          <w:tcPr>
            <w:tcW w:type="dxa" w:w="180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提取来源</w:t>
            </w:r>
          </w:p>
        </w:tc>
        <w:tc>
          <w:tcPr>
            <w:tcW w:type="dxa" w:w="180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数据类型</w:t>
            </w:r>
          </w:p>
        </w:tc>
      </w:tr>
      <w:tr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临床基准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i/>
              </w:rPr>
              <w:t>A_2DS_2</w:t>
            </w:r>
            <w:r>
              <w:rPr>
                <w:b w:val="0"/>
              </w:rPr>
              <w:t xml:space="preserve"> 评分 (0~10分)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i/>
              </w:rPr>
              <w:t>A_2DS_2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临床评分表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连续/离散</w:t>
            </w:r>
          </w:p>
        </w:tc>
      </w:tr>
      <w:tr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神经与吞咽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格拉斯哥昏迷评分&lt;br&gt;洼田饮水试验评级 (1~5级)&lt;br&gt;基线 NIHSS 评分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GCS&lt;br&gt;KWDT&lt;br&gt;NIHSS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入院神经查体&lt;br&gt;护士床旁评估单&lt;br&gt;神经专科病历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离散 (3-15)&lt;br&gt;等级 (1-5)&lt;br&gt;连续 (0-42)</w:t>
            </w:r>
          </w:p>
        </w:tc>
      </w:tr>
      <w:tr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常规血常规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中性粒细胞绝对值&lt;br&gt;淋巴细胞绝对值&lt;br&gt;中性粒/淋巴比值&lt;br&gt;全身免疫炎症指数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i/>
              </w:rPr>
              <w:t>N</w:t>
            </w:r>
            <w:r>
              <w:rPr>
                <w:b w:val="0"/>
              </w:rPr>
              <w:t>&lt;br&gt;</w:t>
            </w:r>
            <w:r>
              <w:rPr>
                <w:i/>
              </w:rPr>
              <w:t>L</w:t>
            </w:r>
            <w:r>
              <w:rPr>
                <w:b w:val="0"/>
              </w:rPr>
              <w:t>&lt;br&gt;NLR&lt;br&gt;SII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入院第 1 次血常规&lt;br&gt;(</w:t>
            </w:r>
            <w:r>
              <w:rPr>
                <w:i/>
              </w:rPr>
              <w:t>N/L</w:t>
            </w:r>
            <w:r>
              <w:rPr>
                <w:b w:val="0"/>
              </w:rPr>
              <w:t>)&lt;br&gt;(</w:t>
            </w:r>
            <w:r>
              <w:rPr>
                <w:i/>
              </w:rPr>
              <w:t>PLT \times N / L</w:t>
            </w:r>
            <w:r>
              <w:rPr>
                <w:b w:val="0"/>
              </w:rPr>
              <w:t>)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连续 (</w:t>
            </w:r>
            <w:r>
              <w:rPr>
                <w:i/>
              </w:rPr>
              <w:t>10^9/\text{L}</w:t>
            </w:r>
            <w:r>
              <w:rPr>
                <w:b w:val="0"/>
              </w:rPr>
              <w:t>)&lt;br&gt;连续&lt;br&gt;连续&lt;br&gt;连续</w:t>
            </w:r>
          </w:p>
        </w:tc>
      </w:tr>
      <w:tr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常规生化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C反应蛋白&lt;br&gt;血清白蛋白&lt;br&gt;估算肾小球滤过率&lt;br&gt;空腹/随机血糖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CRP&lt;br&gt;ALB&lt;br&gt;eGFR&lt;br&gt;GLU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入院第 1 次生化单&lt;br&gt;生化单&lt;br&gt;根据肌酐计算&lt;br&gt;急诊生化</w:t>
            </w:r>
          </w:p>
        </w:tc>
        <w:tc>
          <w:tcPr>
            <w:tcW w:type="dxa" w:w="18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连续 (mg/L)&lt;br&gt;连续 (g/L)&lt;br&gt;连续 (mL/min)&lt;br&gt;连续 (mmol/L)</w:t>
            </w:r>
          </w:p>
        </w:tc>
      </w:tr>
      <w:tr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护理敏感指标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首次吞咽筛查延迟时间&lt;br&gt;入院首日最高体温&lt;br&gt;喂养方式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Delay&lt;br&gt;</w:t>
            </w:r>
            <w:r>
              <w:rPr>
                <w:i/>
              </w:rPr>
              <w:t>T_{\max}</w:t>
            </w:r>
            <w:r>
              <w:rPr>
                <w:b w:val="0"/>
              </w:rPr>
              <w:t>&lt;br&gt;Feeding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护士体温单/记录单&lt;br&gt;体温单&lt;br&gt;医嘱/护理记录</w:t>
            </w:r>
          </w:p>
        </w:tc>
        <w:tc>
          <w:tcPr>
            <w:tcW w:type="dxa" w:w="1806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连续 (小时)&lt;br&gt;连续 (</w:t>
            </w:r>
            <w:r>
              <w:rPr>
                <w:i/>
              </w:rPr>
              <w:t>^\circ\text{C}</w:t>
            </w:r>
            <w:r>
              <w:rPr>
                <w:b w:val="0"/>
              </w:rPr>
              <w:t>)&lt;br&gt;分类 (普食/增稠/胃管/禁食)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四、 核心统计分析路线图（Statistical Pipeline）</w:t>
      </w: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步骤 1：匹配前后基线特征对比（Table 1）</w:t>
      </w:r>
    </w:p>
    <w:p>
      <w:pPr>
        <w:pStyle w:val="ListBullet"/>
        <w:spacing w:after="60" w:line="300" w:lineRule="auto"/>
      </w:pPr>
      <w:r>
        <w:rPr>
          <w:b w:val="0"/>
        </w:rPr>
        <w:t>对比 6 例 Case 与 24 例 Control 在人口学、神经功能、常规化验及护理指标上的差异；</w:t>
      </w:r>
    </w:p>
    <w:p>
      <w:pPr>
        <w:pStyle w:val="ListBullet"/>
        <w:spacing w:after="60" w:line="300" w:lineRule="auto"/>
      </w:pPr>
      <w:r>
        <w:rPr>
          <w:b w:val="0"/>
        </w:rPr>
        <w:t xml:space="preserve">正态连续变量用均数 </w:t>
      </w:r>
      <w:r>
        <w:rPr>
          <w:i/>
        </w:rPr>
        <w:t>\pm</w:t>
      </w:r>
      <w:r>
        <w:rPr>
          <w:b w:val="0"/>
        </w:rPr>
        <w:t xml:space="preserve"> 标准差（</w:t>
      </w:r>
      <w:r>
        <w:rPr>
          <w:i/>
        </w:rPr>
        <w:t>t</w:t>
      </w:r>
      <w:r>
        <w:rPr>
          <w:b w:val="0"/>
        </w:rPr>
        <w:t xml:space="preserve"> 检验），非正态用中位数及四分位数（IQR，配对 Wilcoxon 符号秩检验），分类变量用频数及百分比（McNemar 配对卡方 / Fisher 精确检验）；</w:t>
      </w:r>
    </w:p>
    <w:p>
      <w:pPr>
        <w:pStyle w:val="ListBullet"/>
        <w:spacing w:after="60" w:line="300" w:lineRule="auto"/>
      </w:pPr>
      <w:r>
        <w:rPr>
          <w:b w:val="0"/>
        </w:rPr>
        <w:t>报告标准化差异（</w:t>
      </w:r>
      <w:r>
        <w:rPr>
          <w:i/>
        </w:rPr>
        <w:t>|\text{Std Diff}| &lt; 0.10</w:t>
      </w:r>
      <w:r>
        <w:rPr>
          <w:b w:val="0"/>
        </w:rPr>
        <w:t xml:space="preserve"> 表示完美均衡）。</w:t>
      </w: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步骤 2：条件 Logistic 回归与 Forest Plot（Table 2 &amp; Figure 1）</w:t>
      </w:r>
    </w:p>
    <w:p>
      <w:pPr>
        <w:pStyle w:val="ListBullet"/>
        <w:spacing w:after="60" w:line="300" w:lineRule="auto"/>
      </w:pPr>
      <w:r>
        <w:rPr>
          <w:b w:val="0"/>
        </w:rPr>
        <w:t xml:space="preserve">采用 </w:t>
      </w:r>
      <w:r>
        <w:rPr>
          <w:b/>
        </w:rPr>
        <w:t>条件 Logistic 回归（Conditional Logistic Regression）</w:t>
      </w:r>
      <w:r>
        <w:rPr>
          <w:b w:val="0"/>
        </w:rPr>
        <w:t xml:space="preserve"> 分析 NLR、白蛋白、CRP、KWDT 及吞咽延迟时间与 SAP 的独立关联；</w:t>
      </w:r>
    </w:p>
    <w:p>
      <w:pPr>
        <w:pStyle w:val="ListBullet"/>
        <w:spacing w:after="60" w:line="300" w:lineRule="auto"/>
      </w:pPr>
      <w:r>
        <w:rPr>
          <w:b w:val="0"/>
        </w:rPr>
        <w:t>报告单因素（Unadjusted OR）与校正后比值比（Adjusted aOR, 95% CI, P 值）；</w:t>
      </w:r>
    </w:p>
    <w:p>
      <w:pPr>
        <w:pStyle w:val="ListBullet"/>
        <w:spacing w:after="60" w:line="300" w:lineRule="auto"/>
      </w:pPr>
      <w:r>
        <w:rPr>
          <w:b w:val="0"/>
        </w:rPr>
        <w:t>绘制 OR 森林图（Forest Plot）。</w:t>
      </w: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步骤 3：复合指标构建（CIN-score，对标 Zhang et al. 2026）</w:t>
      </w:r>
    </w:p>
    <w:p>
      <w:pPr>
        <w:pStyle w:val="ListBullet"/>
        <w:spacing w:after="60" w:line="300" w:lineRule="auto"/>
      </w:pPr>
      <w:r>
        <w:rPr>
          <w:b w:val="0"/>
        </w:rPr>
        <w:t>选取与 SAP 独立相关的 2~3 个常规指标（例如：NLR、ALB、吞咽延迟时间），通过 Bootstrap 惩罚逻辑回归系数构建加权的</w:t>
      </w:r>
      <w:r>
        <w:rPr>
          <w:b/>
        </w:rPr>
        <w:t>“临床-炎症-护理复合评分（CIN-score）”</w:t>
      </w:r>
      <w:r>
        <w:rPr>
          <w:b w:val="0"/>
        </w:rPr>
        <w:t>：</w:t>
      </w:r>
    </w:p>
    <w:p>
      <w:r>
        <w:rPr>
          <w:i/>
        </w:rPr>
      </w:r>
      <w:r>
        <w:rPr>
          <w:i/>
        </w:rPr>
        <w:t>\text{CIN-score} = \beta_0 + \beta_1 \cdot \text{Z(NLR)} + \beta_2 \cdot \text{Z(ALB)} + \beta_3 \cdot \text{Z(KWDT/Delay)}</w:t>
      </w:r>
      <w:r>
        <w:rPr>
          <w:i/>
        </w:rPr>
      </w: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步骤 4：增量价值评估（Table 3 &amp; Figure 2，核心发文亮点）</w:t>
      </w:r>
    </w:p>
    <w:p>
      <w:r>
        <w:rPr>
          <w:b w:val="0"/>
        </w:rPr>
        <w:t>构建两大竞争模型：</w:t>
      </w:r>
    </w:p>
    <w:p>
      <w:pPr>
        <w:pStyle w:val="ListBullet"/>
        <w:spacing w:after="60" w:line="300" w:lineRule="auto"/>
      </w:pPr>
      <w:r>
        <w:rPr>
          <w:b/>
        </w:rPr>
        <w:t>模型 A（Model-C）</w:t>
      </w:r>
      <w:r>
        <w:rPr>
          <w:b w:val="0"/>
        </w:rPr>
        <w:t xml:space="preserve">：单用 </w:t>
      </w:r>
      <w:r>
        <w:rPr>
          <w:i/>
        </w:rPr>
        <w:t>A_2DS_2</w:t>
      </w:r>
      <w:r>
        <w:rPr>
          <w:b w:val="0"/>
        </w:rPr>
        <w:t xml:space="preserve"> 评分；</w:t>
      </w:r>
    </w:p>
    <w:p>
      <w:pPr>
        <w:pStyle w:val="ListBullet"/>
        <w:spacing w:after="60" w:line="300" w:lineRule="auto"/>
      </w:pPr>
      <w:r>
        <w:rPr>
          <w:b/>
        </w:rPr>
        <w:t>模型 B（Model-CM）</w:t>
      </w:r>
      <w:r>
        <w:rPr>
          <w:b w:val="0"/>
        </w:rPr>
        <w:t>：</w:t>
      </w:r>
      <w:r>
        <w:rPr>
          <w:i/>
        </w:rPr>
        <w:t>A_2DS_2</w:t>
      </w:r>
      <w:r>
        <w:rPr>
          <w:b w:val="0"/>
        </w:rPr>
        <w:t xml:space="preserve"> 评分 + </w:t>
      </w:r>
      <w:r>
        <w:rPr>
          <w:b/>
        </w:rPr>
        <w:t>CIN-score</w:t>
      </w:r>
      <w:r>
        <w:rPr>
          <w:b w:val="0"/>
        </w:rPr>
        <w:t>。</w:t>
      </w:r>
    </w:p>
    <w:p>
      <w:r>
        <w:rPr>
          <w:b w:val="0"/>
        </w:rPr>
        <w:t>评估指标：</w:t>
      </w:r>
    </w:p>
    <w:p>
      <w:pPr>
        <w:pStyle w:val="ListNumber"/>
        <w:spacing w:after="60" w:line="300" w:lineRule="auto"/>
      </w:pPr>
      <w:r>
        <w:rPr>
          <w:b/>
        </w:rPr>
        <w:t>$\Delta\text{AUC}$</w:t>
      </w:r>
      <w:r>
        <w:rPr>
          <w:b w:val="0"/>
        </w:rPr>
        <w:t>：DeLong 检验对比受试者工作特征曲线（ROC），证明 AUC 显著提升；</w:t>
      </w:r>
    </w:p>
    <w:p>
      <w:pPr>
        <w:pStyle w:val="ListNumber"/>
        <w:spacing w:after="60" w:line="300" w:lineRule="auto"/>
      </w:pPr>
      <w:r>
        <w:rPr>
          <w:b/>
        </w:rPr>
        <w:t>净重新分类改善指数（Continuous NRI）</w:t>
      </w:r>
      <w:r>
        <w:rPr>
          <w:b w:val="0"/>
        </w:rPr>
        <w:t>：量化纠正假阴性/假阳性的患者净比例；</w:t>
      </w:r>
    </w:p>
    <w:p>
      <w:pPr>
        <w:pStyle w:val="ListNumber"/>
        <w:spacing w:after="60" w:line="300" w:lineRule="auto"/>
      </w:pPr>
      <w:r>
        <w:rPr>
          <w:b/>
        </w:rPr>
        <w:t>综合判别改善指数（IDI）</w:t>
      </w:r>
      <w:r>
        <w:rPr>
          <w:b w:val="0"/>
        </w:rPr>
        <w:t xml:space="preserve"> 与 </w:t>
      </w:r>
      <w:r>
        <w:rPr>
          <w:b/>
        </w:rPr>
        <w:t>Brier Score</w:t>
      </w:r>
      <w:r>
        <w:rPr>
          <w:b w:val="0"/>
        </w:rPr>
        <w:t>（评估总体预测误差降低）；</w:t>
      </w:r>
    </w:p>
    <w:p>
      <w:pPr>
        <w:pStyle w:val="ListNumber"/>
        <w:spacing w:after="60" w:line="300" w:lineRule="auto"/>
      </w:pPr>
      <w:r>
        <w:rPr>
          <w:b/>
        </w:rPr>
        <w:t>校准度曲线（Calibration Plot）</w:t>
      </w:r>
      <w:r>
        <w:rPr>
          <w:b w:val="0"/>
        </w:rPr>
        <w:t>：评价预测概率与实际发生率的一致性；</w:t>
      </w:r>
    </w:p>
    <w:p>
      <w:pPr>
        <w:pStyle w:val="ListNumber"/>
        <w:spacing w:after="60" w:line="300" w:lineRule="auto"/>
      </w:pPr>
      <w:r>
        <w:rPr>
          <w:b/>
        </w:rPr>
        <w:t>临床决策曲线分析（DCA）</w:t>
      </w:r>
      <w:r>
        <w:rPr>
          <w:b w:val="0"/>
        </w:rPr>
        <w:t>：评估在低阈值概率下的临床净获益。</w:t>
      </w:r>
    </w:p>
    <w:p>
      <w:pPr>
        <w:keepNext/>
        <w:spacing w:before="160" w:after="80"/>
      </w:pPr>
      <w:r>
        <w:rPr>
          <w:rFonts w:ascii="Arial" w:hAnsi="Arial"/>
          <w:b/>
          <w:color w:val="3C3C3C"/>
          <w:sz w:val="24"/>
        </w:rPr>
        <w:t>步骤 5：感染时间-事件生存分析（Figure 3，对标 Yu et al. 2024）</w:t>
      </w:r>
    </w:p>
    <w:p>
      <w:pPr>
        <w:pStyle w:val="ListBullet"/>
        <w:spacing w:after="60" w:line="300" w:lineRule="auto"/>
      </w:pPr>
      <w:r>
        <w:rPr>
          <w:b w:val="0"/>
        </w:rPr>
        <w:t>绘制 Kaplan-Meier 曲线，Log-Rank 检验评估高 CIN-score 组 vs 低 CIN-score 组在入院 7~14 天内的</w:t>
      </w:r>
      <w:r>
        <w:rPr>
          <w:b/>
        </w:rPr>
        <w:t>中位无感染生存时间（Infection-free survival time）</w:t>
      </w:r>
      <w:r>
        <w:rPr>
          <w:b w:val="0"/>
        </w:rPr>
        <w:t>。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五、 全文图表规划（Tables &amp; Figures Plan）</w:t>
      </w:r>
    </w:p>
    <w:p>
      <w:pPr>
        <w:pStyle w:val="ListBullet"/>
        <w:spacing w:after="60" w:line="300" w:lineRule="auto"/>
      </w:pPr>
      <w:r>
        <w:rPr>
          <w:b/>
        </w:rPr>
        <w:t>Table 1</w:t>
      </w:r>
      <w:r>
        <w:rPr>
          <w:b w:val="0"/>
        </w:rPr>
        <w:t>：匹配后病例组（</w:t>
      </w:r>
      <w:r>
        <w:rPr>
          <w:i/>
        </w:rPr>
        <w:t>n=6</w:t>
      </w:r>
      <w:r>
        <w:rPr>
          <w:b w:val="0"/>
        </w:rPr>
        <w:t>）与对照组（</w:t>
      </w:r>
      <w:r>
        <w:rPr>
          <w:i/>
        </w:rPr>
        <w:t>n=24</w:t>
      </w:r>
      <w:r>
        <w:rPr>
          <w:b w:val="0"/>
        </w:rPr>
        <w:t>）基线临床、实验室与护理特征比较表；</w:t>
      </w:r>
    </w:p>
    <w:p>
      <w:pPr>
        <w:pStyle w:val="ListBullet"/>
        <w:spacing w:after="60" w:line="300" w:lineRule="auto"/>
      </w:pPr>
      <w:r>
        <w:rPr>
          <w:b/>
        </w:rPr>
        <w:t>Table 2</w:t>
      </w:r>
      <w:r>
        <w:rPr>
          <w:b w:val="0"/>
        </w:rPr>
        <w:t>：条件 Logistic 回归分析表（单因素与多因素 aOR 及其 95% CI）；</w:t>
      </w:r>
    </w:p>
    <w:p>
      <w:pPr>
        <w:pStyle w:val="ListBullet"/>
        <w:spacing w:after="60" w:line="300" w:lineRule="auto"/>
      </w:pPr>
      <w:r>
        <w:rPr>
          <w:b/>
        </w:rPr>
        <w:t>Table 3</w:t>
      </w:r>
      <w:r>
        <w:rPr>
          <w:b w:val="0"/>
        </w:rPr>
        <w:t>：模型预测性能与增量价值对比表（AUC、</w:t>
      </w:r>
      <w:r>
        <w:rPr>
          <w:i/>
        </w:rPr>
        <w:t>\Delta\text{AUC}</w:t>
      </w:r>
      <w:r>
        <w:rPr>
          <w:b w:val="0"/>
        </w:rPr>
        <w:t>、NRI、IDI、Brier 评分、校准截距与斜率）；</w:t>
      </w:r>
    </w:p>
    <w:p>
      <w:pPr>
        <w:pStyle w:val="ListBullet"/>
        <w:spacing w:after="60" w:line="300" w:lineRule="auto"/>
      </w:pPr>
      <w:r>
        <w:rPr>
          <w:b/>
        </w:rPr>
        <w:t>Figure 1</w:t>
      </w:r>
      <w:r>
        <w:rPr>
          <w:b w:val="0"/>
        </w:rPr>
        <w:t>：研究人群筛选与 1:4 风险集匹配流程图（Flowchart）；</w:t>
      </w:r>
    </w:p>
    <w:p>
      <w:pPr>
        <w:pStyle w:val="ListBullet"/>
        <w:spacing w:after="60" w:line="300" w:lineRule="auto"/>
      </w:pPr>
      <w:r>
        <w:rPr>
          <w:b/>
        </w:rPr>
        <w:t>Figure 2</w:t>
      </w:r>
      <w:r>
        <w:rPr>
          <w:b w:val="0"/>
        </w:rPr>
        <w:t>：差异生物标志物（NLR、SII、ALB、KWDT）在 Case 组与 Control 组中的箱线图（Boxplots）；</w:t>
      </w:r>
    </w:p>
    <w:p>
      <w:pPr>
        <w:pStyle w:val="ListBullet"/>
        <w:spacing w:after="60" w:line="300" w:lineRule="auto"/>
      </w:pPr>
      <w:r>
        <w:rPr>
          <w:b/>
        </w:rPr>
        <w:t>Figure 3</w:t>
      </w:r>
      <w:r>
        <w:rPr>
          <w:b w:val="0"/>
        </w:rPr>
        <w:t>：</w:t>
      </w:r>
    </w:p>
    <w:p>
      <w:pPr>
        <w:pStyle w:val="ListBullet"/>
        <w:spacing w:after="60" w:line="300" w:lineRule="auto"/>
      </w:pPr>
      <w:r>
        <w:rPr>
          <w:b/>
        </w:rPr>
        <w:t>(A)</w:t>
      </w:r>
      <w:r>
        <w:rPr>
          <w:b w:val="0"/>
        </w:rPr>
        <w:t xml:space="preserve"> Model-C vs. Model-CM 的 ROC 曲线对比图；</w:t>
      </w:r>
    </w:p>
    <w:p>
      <w:pPr>
        <w:pStyle w:val="ListBullet"/>
        <w:spacing w:after="60" w:line="300" w:lineRule="auto"/>
      </w:pPr>
      <w:r>
        <w:rPr>
          <w:b/>
        </w:rPr>
        <w:t>(B)</w:t>
      </w:r>
      <w:r>
        <w:rPr>
          <w:b w:val="0"/>
        </w:rPr>
        <w:t xml:space="preserve"> Bootstrap 校准度曲线（Calibration curves）；</w:t>
      </w:r>
    </w:p>
    <w:p>
      <w:pPr>
        <w:pStyle w:val="ListBullet"/>
        <w:spacing w:after="60" w:line="300" w:lineRule="auto"/>
      </w:pPr>
      <w:r>
        <w:rPr>
          <w:b/>
        </w:rPr>
        <w:t>(C)</w:t>
      </w:r>
      <w:r>
        <w:rPr>
          <w:b w:val="0"/>
        </w:rPr>
        <w:t xml:space="preserve"> 临床决策曲线（DCA plots）；</w:t>
      </w:r>
    </w:p>
    <w:p>
      <w:pPr>
        <w:pStyle w:val="ListBullet"/>
        <w:spacing w:after="60" w:line="300" w:lineRule="auto"/>
      </w:pPr>
      <w:r>
        <w:rPr>
          <w:b/>
        </w:rPr>
        <w:t>Figure 4</w:t>
      </w:r>
      <w:r>
        <w:rPr>
          <w:b w:val="0"/>
        </w:rPr>
        <w:t>：基于高/低风险组的 Kaplan-Meier 无感染时间-事件生存曲线。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六、 执行时间表（4 周成稿计划）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周期</w:t>
            </w:r>
          </w:p>
        </w:tc>
        <w:tc>
          <w:tcPr>
            <w:tcW w:type="dxa" w:w="3010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任务内容</w:t>
            </w:r>
          </w:p>
        </w:tc>
        <w:tc>
          <w:tcPr>
            <w:tcW w:type="dxa" w:w="3010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  <w:color w:val="FFFFFF"/>
              </w:rPr>
              <w:t>交付产物</w:t>
            </w:r>
          </w:p>
        </w:tc>
      </w:tr>
      <w:tr>
        <w:tc>
          <w:tcPr>
            <w:tcW w:type="dxa" w:w="301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第 1 周</w:t>
            </w:r>
          </w:p>
        </w:tc>
        <w:tc>
          <w:tcPr>
            <w:tcW w:type="dxa" w:w="301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 xml:space="preserve">提取并清洗 Excel 表格中的常规化验、护理记录与 </w:t>
            </w:r>
            <w:r>
              <w:rPr>
                <w:i/>
              </w:rPr>
              <w:t>A_2DS_2</w:t>
            </w:r>
            <w:r>
              <w:rPr>
                <w:b w:val="0"/>
              </w:rPr>
              <w:t xml:space="preserve"> 评分</w:t>
            </w:r>
          </w:p>
        </w:tc>
        <w:tc>
          <w:tcPr>
            <w:tcW w:type="dxa" w:w="301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整理出规整的 30 行分析宽表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第 2 周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运行 R/Python 统计脚本，完成 1:4 匹配、条件回归、NRI/IDI 与高清绘图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输出 Table 1-3 及 Figure 1-4 高清图</w:t>
            </w:r>
          </w:p>
        </w:tc>
      </w:tr>
      <w:tr>
        <w:tc>
          <w:tcPr>
            <w:tcW w:type="dxa" w:w="301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第 3 周</w:t>
            </w:r>
          </w:p>
        </w:tc>
        <w:tc>
          <w:tcPr>
            <w:tcW w:type="dxa" w:w="301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撰写 Introduction、Methods 与 Results 章节（基于真实统计结果）</w:t>
            </w:r>
          </w:p>
        </w:tc>
        <w:tc>
          <w:tcPr>
            <w:tcW w:type="dxa" w:w="301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完成英文稿主体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/>
              </w:rPr>
              <w:t>第 4 周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撰写 Discussion 机制讨论（结合 SIID 与吞咽病理）、语言润色与投稿自查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 w:before="40"/>
            </w:pPr>
            <w:r/>
            <w:r>
              <w:rPr>
                <w:b w:val="0"/>
              </w:rPr>
              <w:t>产出完整投稿 Submission Package</w:t>
            </w:r>
          </w:p>
        </w:tc>
      </w:tr>
    </w:tbl>
    <w:p>
      <w:pPr>
        <w:spacing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