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jc w:val="left"/>
      </w:pPr>
      <w:r>
        <w:rPr>
          <w:rFonts w:ascii="Calibri" w:cs="Calibri" w:eastAsia="Calibri" w:hAnsi="Calibri"/>
          <w:b/>
          <w:bCs/>
          <w:color w:val="0D1526"/>
          <w:sz w:val="22"/>
          <w:szCs w:val="22"/>
        </w:rPr>
        <w:t xml:space="preserve">[Nom du Chef d'Exploitation]</w:t>
      </w:r>
    </w:p>
    <w:p>
      <w:pPr>
        <w:spacing w:after="0" w:before="0"/>
        <w:jc w:val="left"/>
      </w:pPr>
      <w:r>
        <w:rPr>
          <w:rFonts w:ascii="Calibri" w:cs="Calibri" w:eastAsia="Calibri" w:hAnsi="Calibri"/>
          <w:b w:val="false"/>
          <w:bCs w:val="false"/>
          <w:color w:val="6B7280"/>
          <w:sz w:val="22"/>
          <w:szCs w:val="22"/>
        </w:rPr>
        <w:t xml:space="preserve">[Société de Sécurité]</w:t>
      </w:r>
    </w:p>
    <w:p>
      <w:pPr>
        <w:spacing w:after="0" w:before="0"/>
        <w:jc w:val="left"/>
      </w:pPr>
      <w:r>
        <w:rPr>
          <w:rFonts w:ascii="Calibri" w:cs="Calibri" w:eastAsia="Calibri" w:hAnsi="Calibri"/>
          <w:b w:val="false"/>
          <w:bCs w:val="false"/>
          <w:color w:val="6B7280"/>
          <w:sz w:val="22"/>
          <w:szCs w:val="22"/>
        </w:rPr>
        <w:t xml:space="preserve">[Ville, Code Postal]</w:t>
      </w:r>
    </w:p>
    <w:p>
      <w:pPr>
        <w:spacing w:after="0" w:before="160"/>
      </w:pPr>
    </w:p>
    <w:p>
      <w:pPr>
        <w:spacing w:after="0" w:before="0"/>
        <w:jc w:val="right"/>
      </w:pPr>
      <w:r>
        <w:rPr>
          <w:rFonts w:ascii="Calibri" w:cs="Calibri" w:eastAsia="Calibri" w:hAnsi="Calibri"/>
          <w:b w:val="false"/>
          <w:bCs w:val="false"/>
          <w:color w:val="6B7280"/>
          <w:sz w:val="22"/>
          <w:szCs w:val="22"/>
        </w:rPr>
        <w:t xml:space="preserve">Lyon, le 23 avril 2026</w:t>
      </w:r>
    </w:p>
    <w:p>
      <w:pPr>
        <w:spacing w:after="0" w:before="200"/>
      </w:pPr>
    </w:p>
    <w:p>
      <w:pPr>
        <w:spacing w:after="80" w:before="0"/>
        <w:jc w:val="left"/>
      </w:pPr>
      <w:r>
        <w:rPr>
          <w:rFonts w:ascii="Calibri" w:cs="Calibri" w:eastAsia="Calibri" w:hAnsi="Calibri"/>
          <w:b/>
          <w:bCs/>
          <w:color w:val="0D1526"/>
          <w:sz w:val="22"/>
          <w:szCs w:val="22"/>
        </w:rPr>
        <w:t xml:space="preserve">Objet : </w:t>
      </w:r>
      <w:r>
        <w:rPr>
          <w:rFonts w:ascii="Calibri" w:cs="Calibri" w:eastAsia="Calibri" w:hAnsi="Calibri"/>
          <w:b w:val="false"/>
          <w:bCs w:val="false"/>
          <w:color w:val="0D1526"/>
          <w:sz w:val="22"/>
          <w:szCs w:val="22"/>
        </w:rPr>
        <w:t xml:space="preserve">Proposition SecuPRO — Solution digitale pour vos agents de sécurité</w:t>
      </w:r>
    </w:p>
    <w:p>
      <w:pPr>
        <w:pBdr>
          <w:bottom w:val="single" w:color="1A6FD4" w:sz="8" w:space="2"/>
        </w:pBdr>
        <w:spacing w:after="0" w:before="0"/>
      </w:pPr>
    </w:p>
    <w:p>
      <w:pPr>
        <w:spacing w:after="0" w:before="200"/>
      </w:pPr>
    </w:p>
    <w:p>
      <w:pPr>
        <w:spacing w:after="160" w:before="0"/>
        <w:jc w:val="left"/>
      </w:pPr>
      <w:r>
        <w:rPr>
          <w:rFonts w:ascii="Calibri" w:cs="Calibri" w:eastAsia="Calibri" w:hAnsi="Calibri"/>
          <w:b/>
          <w:bCs/>
          <w:color w:val="0D1526"/>
          <w:sz w:val="22"/>
          <w:szCs w:val="22"/>
        </w:rPr>
        <w:t xml:space="preserve">Madame, Monsieur,</w:t>
      </w:r>
    </w:p>
    <w:p>
      <w:pPr>
        <w:spacing w:after="160" w:before="0"/>
        <w:jc w:val="left"/>
      </w:pPr>
      <w:r>
        <w:rPr>
          <w:rFonts w:ascii="Calibri" w:cs="Calibri" w:eastAsia="Calibri" w:hAnsi="Calibri"/>
          <w:b w:val="false"/>
          <w:bCs w:val="false"/>
          <w:color w:val="0D1526"/>
          <w:sz w:val="22"/>
          <w:szCs w:val="22"/>
        </w:rPr>
        <w:t xml:space="preserve">En tant qu'ancien agent de sécurité ayant travaillé sur des sites tels que le Musée des Confluences et le CIRC à Lyon, je sais pertinemment les difficultés quotidiennes auxquelles font face vos équipes : plannings illisibles, bulletins de paie flous, documents éparpillés, et droits IDCC 1351 difficiles à faire valoir.</w:t>
      </w:r>
    </w:p>
    <w:p>
      <w:pPr>
        <w:spacing w:after="160" w:before="0"/>
        <w:jc w:val="left"/>
      </w:pPr>
      <w:r>
        <w:rPr>
          <w:rFonts w:ascii="Calibri" w:cs="Calibri" w:eastAsia="Calibri" w:hAnsi="Calibri"/>
          <w:b w:val="false"/>
          <w:bCs w:val="false"/>
          <w:color w:val="0D1526"/>
          <w:sz w:val="22"/>
          <w:szCs w:val="22"/>
        </w:rPr>
        <w:t xml:space="preserve">C'est pourquoi j'ai créé SecuPRO — la première plateforme digitale pensée par un agent, pour les agents de sécurité privée. Aujourd'hui opérationnelle sur secupro.app, elle simplifie la gestion administrative de vos collaborateurs tout en les rendant plus autonomes et mieux informés de leurs droits.</w:t>
      </w:r>
    </w:p>
    <w:p>
      <w:pPr>
        <w:spacing w:after="0" w:before="0"/>
        <w:jc w:val="left"/>
      </w:pPr>
      <w:r>
        <w:rPr>
          <w:rFonts w:ascii="Calibri" w:cs="Calibri" w:eastAsia="Calibri" w:hAnsi="Calibri"/>
          <w:b w:val="false"/>
          <w:bCs w:val="false"/>
          <w:color w:val="0D1526"/>
          <w:sz w:val="22"/>
          <w:szCs w:val="22"/>
        </w:rPr>
        <w:t xml:space="preserve">Je vous soumets ci-dessous notre proposition commerciale, adaptée à la réalité de votre terrain.</w:t>
      </w:r>
    </w:p>
    <w:p>
      <w:r>
        <w:br w:type="page"/>
      </w:r>
    </w:p>
    <w:p>
      <w:pPr>
        <w:spacing w:after="100" w:before="280"/>
      </w:pPr>
      <w:r>
        <w:rPr>
          <w:rFonts w:ascii="Calibri" w:cs="Calibri" w:eastAsia="Calibri" w:hAnsi="Calibri"/>
          <w:b/>
          <w:bCs/>
          <w:color w:val="0D1526"/>
          <w:sz w:val="32"/>
          <w:szCs w:val="32"/>
        </w:rPr>
        <w:t xml:space="preserve">1. Ce que SecuPRO apporte à vos agents</w:t>
      </w:r>
    </w:p>
    <w:p>
      <w:pPr>
        <w:pBdr>
          <w:bottom w:val="single" w:color="1A6FD4" w:sz="8" w:space="2"/>
        </w:pBdr>
        <w:spacing w:after="0" w:before="0"/>
      </w:pPr>
    </w:p>
    <w:p>
      <w:pPr>
        <w:spacing w:after="0" w:before="120"/>
      </w:pPr>
    </w:p>
    <w:p>
      <w:pPr>
        <w:spacing w:after="160" w:before="0"/>
        <w:jc w:val="left"/>
      </w:pPr>
      <w:r>
        <w:rPr>
          <w:rFonts w:ascii="Calibri" w:cs="Calibri" w:eastAsia="Calibri" w:hAnsi="Calibri"/>
          <w:b w:val="false"/>
          <w:bCs w:val="false"/>
          <w:color w:val="0D1526"/>
          <w:sz w:val="22"/>
          <w:szCs w:val="22"/>
        </w:rPr>
        <w:t xml:space="preserve">SecuPRO est une Progressive Web App (PWA) accessible sur smartphone et ordinateur, sans installation. Elle centralise les 6 outils essentiels dont chaque agent de sécurité a besoin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color w:val="0D1526"/>
                <w:sz w:val="28"/>
                <w:szCs w:val="28"/>
              </w:rPr>
              <w:t xml:space="preserve">📅</w:t>
            </w:r>
          </w:p>
        </w:tc>
        <w:tc>
          <w:tcPr>
            <w:tcW w:type="dxa" w:w="8760"/>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40" w:before="0"/>
              <w:jc w:val="left"/>
            </w:pPr>
            <w:r>
              <w:rPr>
                <w:rFonts w:ascii="Calibri" w:cs="Calibri" w:eastAsia="Calibri" w:hAnsi="Calibri"/>
                <w:b/>
                <w:bCs/>
                <w:color w:val="0D1526"/>
                <w:sz w:val="22"/>
                <w:szCs w:val="22"/>
              </w:rPr>
              <w:t xml:space="preserve">Import de planning PDF</w:t>
            </w:r>
          </w:p>
          <w:p>
            <w:pPr>
              <w:spacing w:after="0" w:before="0"/>
              <w:jc w:val="left"/>
            </w:pPr>
            <w:r>
              <w:rPr>
                <w:rFonts w:ascii="Calibri" w:cs="Calibri" w:eastAsia="Calibri" w:hAnsi="Calibri"/>
                <w:b w:val="false"/>
                <w:bCs w:val="false"/>
                <w:color w:val="6B7280"/>
                <w:sz w:val="20"/>
                <w:szCs w:val="20"/>
              </w:rPr>
              <w:t xml:space="preserve">Détection automatique des conflits horaires, des heures supplémentaires et du non-respect des temps de repos (IDCC 1351).</w:t>
            </w:r>
          </w:p>
        </w:tc>
      </w:tr>
      <w:tr>
        <w:tc>
          <w:tcPr>
            <w:tcW w:type="dxa" w:w="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color w:val="0D1526"/>
                <w:sz w:val="28"/>
                <w:szCs w:val="28"/>
              </w:rPr>
              <w:t xml:space="preserve">🔍</w:t>
            </w:r>
          </w:p>
        </w:tc>
        <w:tc>
          <w:tcPr>
            <w:tcW w:type="dxa" w:w="8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after="40" w:before="0"/>
              <w:jc w:val="left"/>
            </w:pPr>
            <w:r>
              <w:rPr>
                <w:rFonts w:ascii="Calibri" w:cs="Calibri" w:eastAsia="Calibri" w:hAnsi="Calibri"/>
                <w:b/>
                <w:bCs/>
                <w:color w:val="0D1526"/>
                <w:sz w:val="22"/>
                <w:szCs w:val="22"/>
              </w:rPr>
              <w:t xml:space="preserve">Analyse des bulletins de paie</w:t>
            </w:r>
          </w:p>
          <w:p>
            <w:pPr>
              <w:spacing w:after="0" w:before="0"/>
              <w:jc w:val="left"/>
            </w:pPr>
            <w:r>
              <w:rPr>
                <w:rFonts w:ascii="Calibri" w:cs="Calibri" w:eastAsia="Calibri" w:hAnsi="Calibri"/>
                <w:b w:val="false"/>
                <w:bCs w:val="false"/>
                <w:color w:val="6B7280"/>
                <w:sz w:val="20"/>
                <w:szCs w:val="20"/>
              </w:rPr>
              <w:t xml:space="preserve">Identification des déductions injustifiées, primes manquantes, heures majorées non payées.</w:t>
            </w:r>
          </w:p>
        </w:tc>
      </w:tr>
      <w:tr>
        <w:tc>
          <w:tcPr>
            <w:tcW w:type="dxa" w:w="600"/>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color w:val="0D1526"/>
                <w:sz w:val="28"/>
                <w:szCs w:val="28"/>
              </w:rPr>
              <w:t xml:space="preserve">📁</w:t>
            </w:r>
          </w:p>
        </w:tc>
        <w:tc>
          <w:tcPr>
            <w:tcW w:type="dxa" w:w="8760"/>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40" w:before="0"/>
              <w:jc w:val="left"/>
            </w:pPr>
            <w:r>
              <w:rPr>
                <w:rFonts w:ascii="Calibri" w:cs="Calibri" w:eastAsia="Calibri" w:hAnsi="Calibri"/>
                <w:b/>
                <w:bCs/>
                <w:color w:val="0D1526"/>
                <w:sz w:val="22"/>
                <w:szCs w:val="22"/>
              </w:rPr>
              <w:t xml:space="preserve">Coffre-fort de documents</w:t>
            </w:r>
          </w:p>
          <w:p>
            <w:pPr>
              <w:spacing w:after="0" w:before="0"/>
              <w:jc w:val="left"/>
            </w:pPr>
            <w:r>
              <w:rPr>
                <w:rFonts w:ascii="Calibri" w:cs="Calibri" w:eastAsia="Calibri" w:hAnsi="Calibri"/>
                <w:b w:val="false"/>
                <w:bCs w:val="false"/>
                <w:color w:val="6B7280"/>
                <w:sz w:val="20"/>
                <w:szCs w:val="20"/>
              </w:rPr>
              <w:t xml:space="preserve">Carte pro, SST, CQP APS, SSIAP — alertes automatiques avant expiration CNAPS.</w:t>
            </w:r>
          </w:p>
        </w:tc>
      </w:tr>
      <w:tr>
        <w:tc>
          <w:tcPr>
            <w:tcW w:type="dxa" w:w="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color w:val="0D1526"/>
                <w:sz w:val="28"/>
                <w:szCs w:val="28"/>
              </w:rPr>
              <w:t xml:space="preserve">⚖️</w:t>
            </w:r>
          </w:p>
        </w:tc>
        <w:tc>
          <w:tcPr>
            <w:tcW w:type="dxa" w:w="8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after="40" w:before="0"/>
              <w:jc w:val="left"/>
            </w:pPr>
            <w:r>
              <w:rPr>
                <w:rFonts w:ascii="Calibri" w:cs="Calibri" w:eastAsia="Calibri" w:hAnsi="Calibri"/>
                <w:b/>
                <w:bCs/>
                <w:color w:val="0D1526"/>
                <w:sz w:val="22"/>
                <w:szCs w:val="22"/>
              </w:rPr>
              <w:t xml:space="preserve">SecuDroit — Base juridique</w:t>
            </w:r>
          </w:p>
          <w:p>
            <w:pPr>
              <w:spacing w:after="0" w:before="0"/>
              <w:jc w:val="left"/>
            </w:pPr>
            <w:r>
              <w:rPr>
                <w:rFonts w:ascii="Calibri" w:cs="Calibri" w:eastAsia="Calibri" w:hAnsi="Calibri"/>
                <w:b w:val="false"/>
                <w:bCs w:val="false"/>
                <w:color w:val="6B7280"/>
                <w:sz w:val="20"/>
                <w:szCs w:val="20"/>
              </w:rPr>
              <w:t xml:space="preserve">38 articles de la Convention collective IDCC 1351 consultables instantanément.</w:t>
            </w:r>
          </w:p>
        </w:tc>
      </w:tr>
      <w:tr>
        <w:tc>
          <w:tcPr>
            <w:tcW w:type="dxa" w:w="600"/>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color w:val="0D1526"/>
                <w:sz w:val="28"/>
                <w:szCs w:val="28"/>
              </w:rPr>
              <w:t xml:space="preserve">🤖</w:t>
            </w:r>
          </w:p>
        </w:tc>
        <w:tc>
          <w:tcPr>
            <w:tcW w:type="dxa" w:w="8760"/>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40" w:before="0"/>
              <w:jc w:val="left"/>
            </w:pPr>
            <w:r>
              <w:rPr>
                <w:rFonts w:ascii="Calibri" w:cs="Calibri" w:eastAsia="Calibri" w:hAnsi="Calibri"/>
                <w:b/>
                <w:bCs/>
                <w:color w:val="0D1526"/>
                <w:sz w:val="22"/>
                <w:szCs w:val="22"/>
              </w:rPr>
              <w:t xml:space="preserve">SecuIA — Assistant juridique IA</w:t>
            </w:r>
          </w:p>
          <w:p>
            <w:pPr>
              <w:spacing w:after="0" w:before="0"/>
              <w:jc w:val="left"/>
            </w:pPr>
            <w:r>
              <w:rPr>
                <w:rFonts w:ascii="Calibri" w:cs="Calibri" w:eastAsia="Calibri" w:hAnsi="Calibri"/>
                <w:b w:val="false"/>
                <w:bCs w:val="false"/>
                <w:color w:val="6B7280"/>
                <w:sz w:val="20"/>
                <w:szCs w:val="20"/>
              </w:rPr>
              <w:t xml:space="preserve">Répond aux questions de droit en temps réel (Anthropic Claude API). Gratuit sur le plan Pro.</w:t>
            </w:r>
          </w:p>
        </w:tc>
      </w:tr>
      <w:tr>
        <w:tc>
          <w:tcPr>
            <w:tcW w:type="dxa" w:w="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val="false"/>
                <w:bCs w:val="false"/>
                <w:color w:val="0D1526"/>
                <w:sz w:val="28"/>
                <w:szCs w:val="28"/>
              </w:rPr>
              <w:t xml:space="preserve">📰</w:t>
            </w:r>
          </w:p>
        </w:tc>
        <w:tc>
          <w:tcPr>
            <w:tcW w:type="dxa" w:w="876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after="40" w:before="0"/>
              <w:jc w:val="left"/>
            </w:pPr>
            <w:r>
              <w:rPr>
                <w:rFonts w:ascii="Calibri" w:cs="Calibri" w:eastAsia="Calibri" w:hAnsi="Calibri"/>
                <w:b/>
                <w:bCs/>
                <w:color w:val="0D1526"/>
                <w:sz w:val="22"/>
                <w:szCs w:val="22"/>
              </w:rPr>
              <w:t xml:space="preserve">Actu Sécu</w:t>
            </w:r>
          </w:p>
          <w:p>
            <w:pPr>
              <w:spacing w:after="0" w:before="0"/>
              <w:jc w:val="left"/>
            </w:pPr>
            <w:r>
              <w:rPr>
                <w:rFonts w:ascii="Calibri" w:cs="Calibri" w:eastAsia="Calibri" w:hAnsi="Calibri"/>
                <w:b w:val="false"/>
                <w:bCs w:val="false"/>
                <w:color w:val="6B7280"/>
                <w:sz w:val="20"/>
                <w:szCs w:val="20"/>
              </w:rPr>
              <w:t xml:space="preserve">Veille réglementaire quotidienne sur le secteur de la sécurité privée en France.</w:t>
            </w:r>
          </w:p>
        </w:tc>
      </w:tr>
    </w:tbl>
    <w:p>
      <w:pPr>
        <w:spacing w:after="0" w:before="200"/>
      </w:pPr>
    </w:p>
    <w:p>
      <w:pPr>
        <w:spacing w:after="100" w:before="280"/>
      </w:pPr>
      <w:r>
        <w:rPr>
          <w:rFonts w:ascii="Calibri" w:cs="Calibri" w:eastAsia="Calibri" w:hAnsi="Calibri"/>
          <w:b/>
          <w:bCs/>
          <w:color w:val="0D1526"/>
          <w:sz w:val="32"/>
          <w:szCs w:val="32"/>
        </w:rPr>
        <w:t xml:space="preserve">2. Ce que SecuPRO Premium apporte à votre société</w:t>
      </w:r>
    </w:p>
    <w:p>
      <w:pPr>
        <w:pBdr>
          <w:bottom w:val="single" w:color="1A6FD4" w:sz="8" w:space="2"/>
        </w:pBdr>
        <w:spacing w:after="0" w:before="0"/>
      </w:pPr>
    </w:p>
    <w:p>
      <w:pPr>
        <w:spacing w:after="0" w:before="120"/>
      </w:pPr>
    </w:p>
    <w:p>
      <w:pPr>
        <w:spacing w:after="160" w:before="0"/>
        <w:jc w:val="left"/>
      </w:pPr>
      <w:r>
        <w:rPr>
          <w:rFonts w:ascii="Calibri" w:cs="Calibri" w:eastAsia="Calibri" w:hAnsi="Calibri"/>
          <w:b w:val="false"/>
          <w:bCs w:val="false"/>
          <w:color w:val="0D1526"/>
          <w:sz w:val="22"/>
          <w:szCs w:val="22"/>
        </w:rPr>
        <w:t xml:space="preserve">En souscrivant au plan Premium pour vos équipes, vous bénéficiez d'un Dashboard Chef d'Exploitation complet :</w:t>
      </w:r>
    </w:p>
    <w:p>
      <w:pPr>
        <w:pStyle w:val="ListParagraph"/>
        <w:numPr>
          <w:ilvl w:val="0"/>
          <w:numId w:val="2"/>
        </w:numPr>
        <w:spacing w:after="40" w:before="40"/>
      </w:pPr>
      <w:r>
        <w:rPr>
          <w:rFonts w:ascii="Calibri" w:cs="Calibri" w:eastAsia="Calibri" w:hAnsi="Calibri"/>
          <w:b w:val="false"/>
          <w:bCs w:val="false"/>
          <w:color w:val="0D1526"/>
          <w:sz w:val="22"/>
          <w:szCs w:val="22"/>
        </w:rPr>
        <w:t xml:space="preserve">Import massif CSV — intégrez jusqu'à 50 agents en un seul fichier</w:t>
      </w:r>
    </w:p>
    <w:p>
      <w:pPr>
        <w:pStyle w:val="ListParagraph"/>
        <w:numPr>
          <w:ilvl w:val="0"/>
          <w:numId w:val="2"/>
        </w:numPr>
        <w:spacing w:after="40" w:before="40"/>
      </w:pPr>
      <w:r>
        <w:rPr>
          <w:rFonts w:ascii="Calibri" w:cs="Calibri" w:eastAsia="Calibri" w:hAnsi="Calibri"/>
          <w:b w:val="false"/>
          <w:bCs w:val="false"/>
          <w:color w:val="0D1526"/>
          <w:sz w:val="22"/>
          <w:szCs w:val="22"/>
        </w:rPr>
        <w:t xml:space="preserve">Module Compliance — tableau de bord de conformité CNAPS par agent</w:t>
      </w:r>
    </w:p>
    <w:p>
      <w:pPr>
        <w:pStyle w:val="ListParagraph"/>
        <w:numPr>
          <w:ilvl w:val="0"/>
          <w:numId w:val="2"/>
        </w:numPr>
        <w:spacing w:after="40" w:before="40"/>
      </w:pPr>
      <w:r>
        <w:rPr>
          <w:rFonts w:ascii="Calibri" w:cs="Calibri" w:eastAsia="Calibri" w:hAnsi="Calibri"/>
          <w:b w:val="false"/>
          <w:bCs w:val="false"/>
          <w:color w:val="0D1526"/>
          <w:sz w:val="22"/>
          <w:szCs w:val="22"/>
        </w:rPr>
        <w:t xml:space="preserve">Module Performance — KPIs en temps réel, suivi multi-sites</w:t>
      </w:r>
    </w:p>
    <w:p>
      <w:pPr>
        <w:pStyle w:val="ListParagraph"/>
        <w:numPr>
          <w:ilvl w:val="0"/>
          <w:numId w:val="2"/>
        </w:numPr>
        <w:spacing w:after="40" w:before="40"/>
      </w:pPr>
      <w:r>
        <w:rPr>
          <w:rFonts w:ascii="Calibri" w:cs="Calibri" w:eastAsia="Calibri" w:hAnsi="Calibri"/>
          <w:b w:val="false"/>
          <w:bCs w:val="false"/>
          <w:color w:val="0D1526"/>
          <w:sz w:val="22"/>
          <w:szCs w:val="22"/>
        </w:rPr>
        <w:t xml:space="preserve">Alertes push automatiques — expirations carte pro, visites médicales, formations</w:t>
      </w:r>
    </w:p>
    <w:p>
      <w:pPr>
        <w:pStyle w:val="ListParagraph"/>
        <w:numPr>
          <w:ilvl w:val="0"/>
          <w:numId w:val="2"/>
        </w:numPr>
        <w:spacing w:after="40" w:before="40"/>
      </w:pPr>
      <w:r>
        <w:rPr>
          <w:rFonts w:ascii="Calibri" w:cs="Calibri" w:eastAsia="Calibri" w:hAnsi="Calibri"/>
          <w:b w:val="false"/>
          <w:bCs w:val="false"/>
          <w:color w:val="0D1526"/>
          <w:sz w:val="22"/>
          <w:szCs w:val="22"/>
        </w:rPr>
        <w:t xml:space="preserve">Export rapports PDF — prêts pour l'audit ou la direction</w:t>
      </w:r>
    </w:p>
    <w:p>
      <w:pPr>
        <w:spacing w:after="0" w:before="200"/>
      </w:pPr>
    </w:p>
    <w:p>
      <w:pPr>
        <w:spacing w:after="100" w:before="280"/>
      </w:pPr>
      <w:r>
        <w:rPr>
          <w:rFonts w:ascii="Calibri" w:cs="Calibri" w:eastAsia="Calibri" w:hAnsi="Calibri"/>
          <w:b/>
          <w:bCs/>
          <w:color w:val="0D1526"/>
          <w:sz w:val="32"/>
          <w:szCs w:val="32"/>
        </w:rPr>
        <w:t xml:space="preserve">3. Nos formules tarifaires</w:t>
      </w:r>
    </w:p>
    <w:p>
      <w:pPr>
        <w:pBdr>
          <w:bottom w:val="single" w:color="1A6FD4" w:sz="8" w:space="2"/>
        </w:pBdr>
        <w:spacing w:after="0" w:before="0"/>
      </w:pPr>
    </w:p>
    <w:p>
      <w:pPr>
        <w:spacing w:after="0" w:before="120"/>
      </w:pPr>
    </w:p>
    <w:p>
      <w:pPr>
        <w:spacing w:after="160" w:before="0"/>
        <w:jc w:val="left"/>
      </w:pPr>
      <w:r>
        <w:rPr>
          <w:rFonts w:ascii="Calibri" w:cs="Calibri" w:eastAsia="Calibri" w:hAnsi="Calibri"/>
          <w:b w:val="false"/>
          <w:bCs w:val="false"/>
          <w:color w:val="6B7280"/>
          <w:sz w:val="22"/>
          <w:szCs w:val="22"/>
        </w:rPr>
        <w:t xml:space="preserve">Toutes les formules incluent un essai gratuit de 7 jours, sans engagement, résiliation en 1 clic.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0"/>
        <w:gridCol w:w="6518"/>
      </w:tblGrid>
      <w:tr>
        <w:tc>
          <w:tcPr>
            <w:tcW w:type="dxa" w:w="3120"/>
            <w:tcBorders>
              <w:top w:val="none" w:color="FFFFFF" w:sz="0"/>
              <w:left w:val="none" w:color="FFFFFF" w:sz="0"/>
              <w:bottom w:val="none" w:color="FFFFFF" w:sz="0"/>
              <w:right w:val="none" w:color="FFFFFF" w:sz="0"/>
            </w:tcBorders>
            <w:shd w:fill="0D1526"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0"/>
                <w:szCs w:val="20"/>
              </w:rPr>
              <w:t xml:space="preserve">Formule</w:t>
            </w:r>
          </w:p>
        </w:tc>
        <w:tc>
          <w:tcPr>
            <w:tcW w:type="dxa" w:w="6518"/>
            <w:tcBorders>
              <w:top w:val="none" w:color="FFFFFF" w:sz="0"/>
              <w:left w:val="none" w:color="FFFFFF" w:sz="0"/>
              <w:bottom w:val="none" w:color="FFFFFF" w:sz="0"/>
              <w:right w:val="none" w:color="FFFFFF" w:sz="0"/>
            </w:tcBorders>
            <w:shd w:fill="0D1526" w:val="clear"/>
            <w:tcMar>
              <w:top w:type="dxa" w:w="100"/>
              <w:left w:type="dxa" w:w="160"/>
              <w:bottom w:type="dxa" w:w="100"/>
              <w:right w:type="dxa" w:w="160"/>
            </w:tcMar>
            <w:vAlign w:val="center"/>
          </w:tcPr>
          <w:p>
            <w:pPr>
              <w:spacing w:after="0" w:before="0"/>
              <w:jc w:val="left"/>
            </w:pPr>
            <w:r>
              <w:rPr>
                <w:rFonts w:ascii="Calibri" w:cs="Calibri" w:eastAsia="Calibri" w:hAnsi="Calibri"/>
                <w:b/>
                <w:bCs/>
                <w:color w:val="FFFFFF"/>
                <w:sz w:val="20"/>
                <w:szCs w:val="20"/>
              </w:rPr>
              <w:t xml:space="preserve">Fonctionnalités incluses</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0D1526"/>
                <w:sz w:val="24"/>
                <w:szCs w:val="24"/>
              </w:rPr>
              <w:t xml:space="preserve">Essentiel</w:t>
            </w:r>
          </w:p>
          <w:p>
            <w:pPr>
              <w:spacing w:after="0" w:before="0"/>
              <w:jc w:val="center"/>
            </w:pPr>
            <w:r>
              <w:rPr>
                <w:rFonts w:ascii="Calibri" w:cs="Calibri" w:eastAsia="Calibri" w:hAnsi="Calibri"/>
                <w:b/>
                <w:bCs/>
                <w:color w:val="6B7280"/>
                <w:sz w:val="32"/>
                <w:szCs w:val="32"/>
              </w:rPr>
              <w:t xml:space="preserve">4,99 €</w:t>
            </w:r>
          </w:p>
          <w:p>
            <w:pPr>
              <w:spacing w:after="0" w:before="0"/>
              <w:jc w:val="center"/>
            </w:pPr>
            <w:r>
              <w:rPr>
                <w:rFonts w:ascii="Calibri" w:cs="Calibri" w:eastAsia="Calibri" w:hAnsi="Calibri"/>
                <w:b w:val="false"/>
                <w:bCs w:val="false"/>
                <w:color w:val="6B7280"/>
                <w:sz w:val="18"/>
                <w:szCs w:val="18"/>
              </w:rPr>
              <w:t xml:space="preserve">/ mois / agent</w:t>
            </w:r>
          </w:p>
        </w:tc>
        <w:tc>
          <w:tcPr>
            <w:tcW w:type="dxa" w:w="62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pStyle w:val="ListParagraph"/>
              <w:numPr>
                <w:ilvl w:val="0"/>
                <w:numId w:val="2"/>
              </w:numPr>
              <w:spacing w:after="40" w:before="40"/>
            </w:pPr>
            <w:r>
              <w:rPr>
                <w:rFonts w:ascii="Calibri" w:cs="Calibri" w:eastAsia="Calibri" w:hAnsi="Calibri"/>
                <w:b w:val="false"/>
                <w:bCs w:val="false"/>
                <w:color w:val="6B7280"/>
                <w:sz w:val="20"/>
                <w:szCs w:val="20"/>
              </w:rPr>
              <w:t xml:space="preserve">✓  Planning PDF import</w:t>
            </w:r>
          </w:p>
          <w:p>
            <w:pPr>
              <w:pStyle w:val="ListParagraph"/>
              <w:numPr>
                <w:ilvl w:val="0"/>
                <w:numId w:val="2"/>
              </w:numPr>
              <w:spacing w:after="40" w:before="40"/>
            </w:pPr>
            <w:r>
              <w:rPr>
                <w:rFonts w:ascii="Calibri" w:cs="Calibri" w:eastAsia="Calibri" w:hAnsi="Calibri"/>
                <w:b w:val="false"/>
                <w:bCs w:val="false"/>
                <w:color w:val="6B7280"/>
                <w:sz w:val="20"/>
                <w:szCs w:val="20"/>
              </w:rPr>
              <w:t xml:space="preserve">✓  Coffre documents</w:t>
            </w:r>
          </w:p>
          <w:p>
            <w:pPr>
              <w:pStyle w:val="ListParagraph"/>
              <w:numPr>
                <w:ilvl w:val="0"/>
                <w:numId w:val="2"/>
              </w:numPr>
              <w:spacing w:after="40" w:before="40"/>
            </w:pPr>
            <w:r>
              <w:rPr>
                <w:rFonts w:ascii="Calibri" w:cs="Calibri" w:eastAsia="Calibri" w:hAnsi="Calibri"/>
                <w:b w:val="false"/>
                <w:bCs w:val="false"/>
                <w:color w:val="6B7280"/>
                <w:sz w:val="20"/>
                <w:szCs w:val="20"/>
              </w:rPr>
              <w:t xml:space="preserve">✓  SecuDroit (38 articles)</w:t>
            </w:r>
          </w:p>
          <w:p>
            <w:pPr>
              <w:pStyle w:val="ListParagraph"/>
              <w:numPr>
                <w:ilvl w:val="0"/>
                <w:numId w:val="2"/>
              </w:numPr>
              <w:spacing w:after="40" w:before="40"/>
            </w:pPr>
            <w:r>
              <w:rPr>
                <w:rFonts w:ascii="Calibri" w:cs="Calibri" w:eastAsia="Calibri" w:hAnsi="Calibri"/>
                <w:b w:val="false"/>
                <w:bCs w:val="false"/>
                <w:color w:val="6B7280"/>
                <w:sz w:val="20"/>
                <w:szCs w:val="20"/>
              </w:rPr>
              <w:t xml:space="preserve">✓  Actu Sécu</w:t>
            </w:r>
          </w:p>
        </w:tc>
      </w:tr>
      <w:tr>
        <w:tc>
          <w:tcPr>
            <w:tcW w:type="dxa" w:w="3120"/>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1A6FD4"/>
                <w:sz w:val="24"/>
                <w:szCs w:val="24"/>
              </w:rPr>
              <w:t xml:space="preserve">Pro ⭐</w:t>
            </w:r>
          </w:p>
          <w:p>
            <w:pPr>
              <w:spacing w:after="0" w:before="0"/>
              <w:jc w:val="center"/>
            </w:pPr>
            <w:r>
              <w:rPr>
                <w:rFonts w:ascii="Calibri" w:cs="Calibri" w:eastAsia="Calibri" w:hAnsi="Calibri"/>
                <w:b/>
                <w:bCs/>
                <w:color w:val="1A6FD4"/>
                <w:sz w:val="32"/>
                <w:szCs w:val="32"/>
              </w:rPr>
              <w:t xml:space="preserve">14,99 €</w:t>
            </w:r>
          </w:p>
          <w:p>
            <w:pPr>
              <w:spacing w:after="0" w:before="0"/>
              <w:jc w:val="center"/>
            </w:pPr>
            <w:r>
              <w:rPr>
                <w:rFonts w:ascii="Calibri" w:cs="Calibri" w:eastAsia="Calibri" w:hAnsi="Calibri"/>
                <w:b w:val="false"/>
                <w:bCs w:val="false"/>
                <w:color w:val="6B7280"/>
                <w:sz w:val="18"/>
                <w:szCs w:val="18"/>
              </w:rPr>
              <w:t xml:space="preserve">/ mois / agent</w:t>
            </w:r>
          </w:p>
        </w:tc>
        <w:tc>
          <w:tcPr>
            <w:tcW w:type="dxa" w:w="6240"/>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pStyle w:val="ListParagraph"/>
              <w:numPr>
                <w:ilvl w:val="0"/>
                <w:numId w:val="2"/>
              </w:numPr>
              <w:spacing w:after="40" w:before="40"/>
            </w:pPr>
            <w:r>
              <w:rPr>
                <w:rFonts w:ascii="Calibri" w:cs="Calibri" w:eastAsia="Calibri" w:hAnsi="Calibri"/>
                <w:b w:val="false"/>
                <w:bCs w:val="false"/>
                <w:color w:val="0D1526"/>
                <w:sz w:val="20"/>
                <w:szCs w:val="20"/>
              </w:rPr>
              <w:t xml:space="preserve">✓  Tout Essentiel +</w:t>
            </w:r>
          </w:p>
          <w:p>
            <w:pPr>
              <w:pStyle w:val="ListParagraph"/>
              <w:numPr>
                <w:ilvl w:val="0"/>
                <w:numId w:val="2"/>
              </w:numPr>
              <w:spacing w:after="40" w:before="40"/>
            </w:pPr>
            <w:r>
              <w:rPr>
                <w:rFonts w:ascii="Calibri" w:cs="Calibri" w:eastAsia="Calibri" w:hAnsi="Calibri"/>
                <w:b w:val="false"/>
                <w:bCs w:val="false"/>
                <w:color w:val="0D1526"/>
                <w:sz w:val="20"/>
                <w:szCs w:val="20"/>
              </w:rPr>
              <w:t xml:space="preserve">✓  Analyse bulletins de paie IA</w:t>
            </w:r>
          </w:p>
          <w:p>
            <w:pPr>
              <w:pStyle w:val="ListParagraph"/>
              <w:numPr>
                <w:ilvl w:val="0"/>
                <w:numId w:val="2"/>
              </w:numPr>
              <w:spacing w:after="40" w:before="40"/>
            </w:pPr>
            <w:r>
              <w:rPr>
                <w:rFonts w:ascii="Calibri" w:cs="Calibri" w:eastAsia="Calibri" w:hAnsi="Calibri"/>
                <w:b w:val="false"/>
                <w:bCs w:val="false"/>
                <w:color w:val="0D1526"/>
                <w:sz w:val="20"/>
                <w:szCs w:val="20"/>
              </w:rPr>
              <w:t xml:space="preserve">✓  SecuIA assistant juridique</w:t>
            </w:r>
          </w:p>
          <w:p>
            <w:pPr>
              <w:pStyle w:val="ListParagraph"/>
              <w:numPr>
                <w:ilvl w:val="0"/>
                <w:numId w:val="2"/>
              </w:numPr>
              <w:spacing w:after="40" w:before="40"/>
            </w:pPr>
            <w:r>
              <w:rPr>
                <w:rFonts w:ascii="Calibri" w:cs="Calibri" w:eastAsia="Calibri" w:hAnsi="Calibri"/>
                <w:b w:val="false"/>
                <w:bCs w:val="false"/>
                <w:color w:val="0D1526"/>
                <w:sz w:val="20"/>
                <w:szCs w:val="20"/>
              </w:rPr>
              <w:t xml:space="preserve">✓  Alertes push CNAPS</w:t>
            </w:r>
          </w:p>
          <w:p>
            <w:pPr>
              <w:pStyle w:val="ListParagraph"/>
              <w:numPr>
                <w:ilvl w:val="0"/>
                <w:numId w:val="2"/>
              </w:numPr>
              <w:spacing w:after="40" w:before="40"/>
            </w:pPr>
            <w:r>
              <w:rPr>
                <w:rFonts w:ascii="Calibri" w:cs="Calibri" w:eastAsia="Calibri" w:hAnsi="Calibri"/>
                <w:b w:val="false"/>
                <w:bCs w:val="false"/>
                <w:color w:val="0D1526"/>
                <w:sz w:val="20"/>
                <w:szCs w:val="20"/>
              </w:rPr>
              <w:t xml:space="preserve">✓  Export PDF</w:t>
            </w:r>
          </w:p>
        </w:tc>
      </w:tr>
      <w:tr>
        <w:tc>
          <w:tcPr>
            <w:tcW w:type="dxa" w:w="312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0D1526"/>
                <w:sz w:val="24"/>
                <w:szCs w:val="24"/>
              </w:rPr>
              <w:t xml:space="preserve">Premium</w:t>
            </w:r>
          </w:p>
          <w:p>
            <w:pPr>
              <w:spacing w:after="0" w:before="0"/>
              <w:jc w:val="center"/>
            </w:pPr>
            <w:r>
              <w:rPr>
                <w:rFonts w:ascii="Calibri" w:cs="Calibri" w:eastAsia="Calibri" w:hAnsi="Calibri"/>
                <w:b/>
                <w:bCs/>
                <w:color w:val="6B7280"/>
                <w:sz w:val="32"/>
                <w:szCs w:val="32"/>
              </w:rPr>
              <w:t xml:space="preserve">24,99 €</w:t>
            </w:r>
          </w:p>
          <w:p>
            <w:pPr>
              <w:spacing w:after="0" w:before="0"/>
              <w:jc w:val="center"/>
            </w:pPr>
            <w:r>
              <w:rPr>
                <w:rFonts w:ascii="Calibri" w:cs="Calibri" w:eastAsia="Calibri" w:hAnsi="Calibri"/>
                <w:b w:val="false"/>
                <w:bCs w:val="false"/>
                <w:color w:val="6B7280"/>
                <w:sz w:val="18"/>
                <w:szCs w:val="18"/>
              </w:rPr>
              <w:t xml:space="preserve">/ mois / agent</w:t>
            </w:r>
          </w:p>
        </w:tc>
        <w:tc>
          <w:tcPr>
            <w:tcW w:type="dxa" w:w="62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pStyle w:val="ListParagraph"/>
              <w:numPr>
                <w:ilvl w:val="0"/>
                <w:numId w:val="2"/>
              </w:numPr>
              <w:spacing w:after="40" w:before="40"/>
            </w:pPr>
            <w:r>
              <w:rPr>
                <w:rFonts w:ascii="Calibri" w:cs="Calibri" w:eastAsia="Calibri" w:hAnsi="Calibri"/>
                <w:b w:val="false"/>
                <w:bCs w:val="false"/>
                <w:color w:val="6B7280"/>
                <w:sz w:val="20"/>
                <w:szCs w:val="20"/>
              </w:rPr>
              <w:t xml:space="preserve">✓  Tout Pro +</w:t>
            </w:r>
          </w:p>
          <w:p>
            <w:pPr>
              <w:pStyle w:val="ListParagraph"/>
              <w:numPr>
                <w:ilvl w:val="0"/>
                <w:numId w:val="2"/>
              </w:numPr>
              <w:spacing w:after="40" w:before="40"/>
            </w:pPr>
            <w:r>
              <w:rPr>
                <w:rFonts w:ascii="Calibri" w:cs="Calibri" w:eastAsia="Calibri" w:hAnsi="Calibri"/>
                <w:b w:val="false"/>
                <w:bCs w:val="false"/>
                <w:color w:val="6B7280"/>
                <w:sz w:val="20"/>
                <w:szCs w:val="20"/>
              </w:rPr>
              <w:t xml:space="preserve">✓  Dashboard Chef d'Exploitation</w:t>
            </w:r>
          </w:p>
          <w:p>
            <w:pPr>
              <w:pStyle w:val="ListParagraph"/>
              <w:numPr>
                <w:ilvl w:val="0"/>
                <w:numId w:val="2"/>
              </w:numPr>
              <w:spacing w:after="40" w:before="40"/>
            </w:pPr>
            <w:r>
              <w:rPr>
                <w:rFonts w:ascii="Calibri" w:cs="Calibri" w:eastAsia="Calibri" w:hAnsi="Calibri"/>
                <w:b w:val="false"/>
                <w:bCs w:val="false"/>
                <w:color w:val="6B7280"/>
                <w:sz w:val="20"/>
                <w:szCs w:val="20"/>
              </w:rPr>
              <w:t xml:space="preserve">✓  Import massif agents CSV</w:t>
            </w:r>
          </w:p>
          <w:p>
            <w:pPr>
              <w:pStyle w:val="ListParagraph"/>
              <w:numPr>
                <w:ilvl w:val="0"/>
                <w:numId w:val="2"/>
              </w:numPr>
              <w:spacing w:after="40" w:before="40"/>
            </w:pPr>
            <w:r>
              <w:rPr>
                <w:rFonts w:ascii="Calibri" w:cs="Calibri" w:eastAsia="Calibri" w:hAnsi="Calibri"/>
                <w:b w:val="false"/>
                <w:bCs w:val="false"/>
                <w:color w:val="6B7280"/>
                <w:sz w:val="20"/>
                <w:szCs w:val="20"/>
              </w:rPr>
              <w:t xml:space="preserve">✓  Module Compliance CNAPS</w:t>
            </w:r>
          </w:p>
          <w:p>
            <w:pPr>
              <w:pStyle w:val="ListParagraph"/>
              <w:numPr>
                <w:ilvl w:val="0"/>
                <w:numId w:val="2"/>
              </w:numPr>
              <w:spacing w:after="40" w:before="40"/>
            </w:pPr>
            <w:r>
              <w:rPr>
                <w:rFonts w:ascii="Calibri" w:cs="Calibri" w:eastAsia="Calibri" w:hAnsi="Calibri"/>
                <w:b w:val="false"/>
                <w:bCs w:val="false"/>
                <w:color w:val="6B7280"/>
                <w:sz w:val="20"/>
                <w:szCs w:val="20"/>
              </w:rPr>
              <w:t xml:space="preserve">✓  Support prioritaire</w:t>
            </w:r>
          </w:p>
        </w:tc>
      </w:tr>
    </w:tbl>
    <w:p>
      <w:pPr>
        <w:spacing w:after="0" w:before="120"/>
      </w:pPr>
    </w:p>
    <w:p>
      <w:pPr>
        <w:spacing w:after="80" w:before="120"/>
        <w:jc w:val="left"/>
      </w:pPr>
      <w:r>
        <w:rPr>
          <w:rFonts w:ascii="Calibri" w:cs="Calibri" w:eastAsia="Calibri" w:hAnsi="Calibri"/>
          <w:b/>
          <w:bCs/>
          <w:color w:val="1A6FD4"/>
          <w:sz w:val="22"/>
          <w:szCs w:val="22"/>
        </w:rPr>
        <w:t xml:space="preserve">💡 Offre de lancement : </w:t>
      </w:r>
      <w:r>
        <w:rPr>
          <w:rFonts w:ascii="Calibri" w:cs="Calibri" w:eastAsia="Calibri" w:hAnsi="Calibri"/>
          <w:b w:val="false"/>
          <w:bCs w:val="false"/>
          <w:color w:val="0D1526"/>
          <w:sz w:val="22"/>
          <w:szCs w:val="22"/>
        </w:rPr>
        <w:t xml:space="preserve">Pour tout abonnement de 5 agents ou plus souscrit avant le 31 mai 2026, </w:t>
      </w:r>
      <w:r>
        <w:rPr>
          <w:rFonts w:ascii="Calibri" w:cs="Calibri" w:eastAsia="Calibri" w:hAnsi="Calibri"/>
          <w:b/>
          <w:bCs/>
          <w:color w:val="0D1526"/>
          <w:sz w:val="22"/>
          <w:szCs w:val="22"/>
        </w:rPr>
        <w:t xml:space="preserve">1 mois offert sur le premier trimestre.</w:t>
      </w:r>
    </w:p>
    <w:p>
      <w:pPr>
        <w:spacing w:after="0" w:before="200"/>
      </w:pPr>
    </w:p>
    <w:p>
      <w:pPr>
        <w:spacing w:after="100" w:before="280"/>
      </w:pPr>
      <w:r>
        <w:rPr>
          <w:rFonts w:ascii="Calibri" w:cs="Calibri" w:eastAsia="Calibri" w:hAnsi="Calibri"/>
          <w:b/>
          <w:bCs/>
          <w:color w:val="0D1526"/>
          <w:sz w:val="32"/>
          <w:szCs w:val="32"/>
        </w:rPr>
        <w:t xml:space="preserve">4. Prochaines étapes</w:t>
      </w:r>
    </w:p>
    <w:p>
      <w:pPr>
        <w:pBdr>
          <w:bottom w:val="single" w:color="1A6FD4" w:sz="8" w:space="2"/>
        </w:pBdr>
        <w:spacing w:after="0" w:before="0"/>
      </w:pPr>
    </w:p>
    <w:p>
      <w:pPr>
        <w:spacing w:after="0" w:before="120"/>
      </w:pPr>
    </w:p>
    <w:p>
      <w:pPr>
        <w:spacing w:after="160" w:before="0"/>
        <w:jc w:val="left"/>
      </w:pPr>
      <w:r>
        <w:rPr>
          <w:rFonts w:ascii="Calibri" w:cs="Calibri" w:eastAsia="Calibri" w:hAnsi="Calibri"/>
          <w:b w:val="false"/>
          <w:bCs w:val="false"/>
          <w:color w:val="0D1526"/>
          <w:sz w:val="22"/>
          <w:szCs w:val="22"/>
        </w:rPr>
        <w:t xml:space="preserve">Je vous propose un échange de 15 minutes pour vous montrer SecuPRO en conditions réelles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none" w:color="FFFFFF" w:sz="0"/>
              <w:left w:val="none" w:color="FFFFFF" w:sz="0"/>
              <w:bottom w:val="none" w:color="FFFFFF" w:sz="0"/>
              <w:right w:val="none" w:color="FFFFFF" w:sz="0"/>
            </w:tcBorders>
            <w:shd w:fill="1A6FD4"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2"/>
                <w:szCs w:val="22"/>
              </w:rPr>
              <w:t xml:space="preserve">1</w:t>
            </w:r>
          </w:p>
        </w:tc>
        <w:tc>
          <w:tcPr>
            <w:tcW w:type="dxa" w:w="9038"/>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color w:val="0D1526"/>
                <w:sz w:val="22"/>
                <w:szCs w:val="22"/>
              </w:rPr>
              <w:t xml:space="preserve">Démo live sur secupro.app — import d'un vrai planning, analyse d'un bulletin, test SecuIA</w:t>
            </w:r>
          </w:p>
        </w:tc>
      </w:tr>
      <w:tr>
        <w:tc>
          <w:tcPr>
            <w:tcW w:type="dxa" w:w="600"/>
            <w:tcBorders>
              <w:top w:val="none" w:color="FFFFFF" w:sz="0"/>
              <w:left w:val="none" w:color="FFFFFF" w:sz="0"/>
              <w:bottom w:val="none" w:color="FFFFFF" w:sz="0"/>
              <w:right w:val="none" w:color="FFFFFF" w:sz="0"/>
            </w:tcBorders>
            <w:shd w:fill="1A6FD4"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2"/>
                <w:szCs w:val="22"/>
              </w:rPr>
              <w:t xml:space="preserve">2</w:t>
            </w:r>
          </w:p>
        </w:tc>
        <w:tc>
          <w:tcPr>
            <w:tcW w:type="dxa" w:w="9038"/>
            <w:tcBorders>
              <w:top w:val="none" w:color="FFFFFF" w:sz="0"/>
              <w:left w:val="none" w:color="FFFFFF" w:sz="0"/>
              <w:bottom w:val="none" w:color="FFFFFF" w:sz="0"/>
              <w:right w:val="none" w:color="FFFFFF" w:sz="0"/>
            </w:tcBorders>
            <w:tcMar>
              <w:top w:type="dxa" w:w="100"/>
              <w:left w:type="dxa" w:w="160"/>
              <w:bottom w:type="dxa" w:w="100"/>
              <w:right w:type="dxa" w:w="160"/>
            </w:tcMar>
            <w:vAlign w:val="center"/>
          </w:tcPr>
          <w:p>
            <w:pPr>
              <w:spacing w:after="0" w:before="0"/>
              <w:jc w:val="left"/>
            </w:pPr>
            <w:r>
              <w:rPr>
                <w:rFonts w:ascii="Calibri" w:cs="Calibri" w:eastAsia="Calibri" w:hAnsi="Calibri"/>
                <w:b w:val="false"/>
                <w:bCs w:val="false"/>
                <w:color w:val="0D1526"/>
                <w:sz w:val="22"/>
                <w:szCs w:val="22"/>
              </w:rPr>
              <w:t xml:space="preserve">Démarrage essai gratuit 7 jours pour votre équipe — aucune carte bancaire requise</w:t>
            </w:r>
          </w:p>
        </w:tc>
      </w:tr>
      <w:tr>
        <w:tc>
          <w:tcPr>
            <w:tcW w:type="dxa" w:w="600"/>
            <w:tcBorders>
              <w:top w:val="none" w:color="FFFFFF" w:sz="0"/>
              <w:left w:val="none" w:color="FFFFFF" w:sz="0"/>
              <w:bottom w:val="none" w:color="FFFFFF" w:sz="0"/>
              <w:right w:val="none" w:color="FFFFFF" w:sz="0"/>
            </w:tcBorders>
            <w:shd w:fill="1A6FD4"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2"/>
                <w:szCs w:val="22"/>
              </w:rPr>
              <w:t xml:space="preserve">3</w:t>
            </w:r>
          </w:p>
        </w:tc>
        <w:tc>
          <w:tcPr>
            <w:tcW w:type="dxa" w:w="9038"/>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color w:val="0D1526"/>
                <w:sz w:val="22"/>
                <w:szCs w:val="22"/>
              </w:rPr>
              <w:t xml:space="preserve">Activation du plan choisi et accompagnement à l'intégration de vos agents</w:t>
            </w:r>
          </w:p>
        </w:tc>
      </w:tr>
    </w:tbl>
    <w:p>
      <w:pPr>
        <w:spacing w:after="0" w:before="200"/>
      </w:pPr>
    </w:p>
    <w:p>
      <w:pPr>
        <w:spacing w:after="160" w:before="0"/>
        <w:jc w:val="left"/>
      </w:pPr>
      <w:r>
        <w:rPr>
          <w:rFonts w:ascii="Calibri" w:cs="Calibri" w:eastAsia="Calibri" w:hAnsi="Calibri"/>
          <w:b w:val="false"/>
          <w:bCs w:val="false"/>
          <w:color w:val="0D1526"/>
          <w:sz w:val="22"/>
          <w:szCs w:val="22"/>
        </w:rPr>
        <w:t xml:space="preserve">Je reste disponible pour tout renseignement complémentaire.</w:t>
      </w:r>
    </w:p>
    <w:p>
      <w:pPr>
        <w:spacing w:after="200" w:before="0"/>
        <w:jc w:val="left"/>
      </w:pPr>
      <w:r>
        <w:rPr>
          <w:rFonts w:ascii="Calibri" w:cs="Calibri" w:eastAsia="Calibri" w:hAnsi="Calibri"/>
          <w:b w:val="false"/>
          <w:bCs w:val="false"/>
          <w:color w:val="0D1526"/>
          <w:sz w:val="22"/>
          <w:szCs w:val="22"/>
        </w:rPr>
        <w:t xml:space="preserve">Dans l'attente de votre retour, veuillez agréer, Madame, Monsieur, l'expression de mes salutations distinguées.</w:t>
      </w:r>
    </w:p>
    <w:p>
      <w:pPr>
        <w:spacing w:after="0" w:before="100"/>
      </w:pPr>
    </w:p>
    <w:p>
      <w:pPr>
        <w:spacing w:after="0" w:before="0"/>
        <w:jc w:val="left"/>
      </w:pPr>
      <w:r>
        <w:rPr>
          <w:rFonts w:ascii="Calibri" w:cs="Calibri" w:eastAsia="Calibri" w:hAnsi="Calibri"/>
          <w:b/>
          <w:bCs/>
          <w:color w:val="0D1526"/>
          <w:sz w:val="24"/>
          <w:szCs w:val="24"/>
        </w:rPr>
        <w:t xml:space="preserve">Mustapha</w:t>
      </w:r>
    </w:p>
    <w:p>
      <w:pPr>
        <w:spacing w:after="0" w:before="0"/>
        <w:jc w:val="left"/>
      </w:pPr>
      <w:r>
        <w:rPr>
          <w:rFonts w:ascii="Calibri" w:cs="Calibri" w:eastAsia="Calibri" w:hAnsi="Calibri"/>
          <w:b w:val="false"/>
          <w:bCs w:val="false"/>
          <w:color w:val="6B7280"/>
          <w:sz w:val="22"/>
          <w:szCs w:val="22"/>
        </w:rPr>
        <w:t xml:space="preserve">Fondateur — SecuPRO</w:t>
      </w:r>
    </w:p>
    <w:p>
      <w:pPr>
        <w:spacing w:after="0" w:before="0"/>
        <w:jc w:val="left"/>
      </w:pPr>
      <w:r>
        <w:rPr>
          <w:rFonts w:ascii="Calibri" w:cs="Calibri" w:eastAsia="Calibri" w:hAnsi="Calibri"/>
          <w:b w:val="false"/>
          <w:bCs w:val="false"/>
          <w:color w:val="1A6FD4"/>
          <w:sz w:val="22"/>
          <w:szCs w:val="22"/>
        </w:rPr>
        <w:t xml:space="preserve">contact@secupro.app</w:t>
      </w:r>
    </w:p>
    <w:p>
      <w:pPr>
        <w:spacing w:after="0" w:before="0"/>
        <w:jc w:val="left"/>
      </w:pPr>
      <w:r>
        <w:rPr>
          <w:rFonts w:ascii="Calibri" w:cs="Calibri" w:eastAsia="Calibri" w:hAnsi="Calibri"/>
          <w:b w:val="false"/>
          <w:bCs w:val="false"/>
          <w:color w:val="1A6FD4"/>
          <w:sz w:val="22"/>
          <w:szCs w:val="22"/>
        </w:rPr>
        <w:t xml:space="preserve">secupro.app</w:t>
      </w:r>
    </w:p>
    <w:p>
      <w:pPr>
        <w:spacing w:after="0" w:before="80"/>
      </w:pPr>
    </w:p>
    <w:p>
      <w:pPr>
        <w:spacing w:after="0" w:before="0"/>
        <w:jc w:val="left"/>
      </w:pPr>
      <w:r>
        <w:rPr>
          <w:rFonts w:ascii="Calibri" w:cs="Calibri" w:eastAsia="Calibri" w:hAnsi="Calibri"/>
          <w:b w:val="false"/>
          <w:bCs w:val="false"/>
          <w:color w:val="6B7280"/>
          <w:sz w:val="20"/>
          <w:szCs w:val="20"/>
        </w:rPr>
        <w:t xml:space="preserve">Lyon — Mai 2026</w:t>
      </w:r>
    </w:p>
    <w:p>
      <w:r>
        <w:br w:type="page"/>
      </w:r>
    </w:p>
    <w:p>
      <w:pPr>
        <w:spacing w:after="100" w:before="280"/>
      </w:pPr>
      <w:r>
        <w:rPr>
          <w:rFonts w:ascii="Calibri" w:cs="Calibri" w:eastAsia="Calibri" w:hAnsi="Calibri"/>
          <w:b/>
          <w:bCs/>
          <w:color w:val="0D1526"/>
          <w:sz w:val="32"/>
          <w:szCs w:val="32"/>
        </w:rPr>
        <w:t xml:space="preserve">Annexe — Template Email de Prospection</w:t>
      </w:r>
    </w:p>
    <w:p>
      <w:pPr>
        <w:pBdr>
          <w:bottom w:val="single" w:color="1A6FD4" w:sz="8" w:space="2"/>
        </w:pBdr>
        <w:spacing w:after="0" w:before="0"/>
      </w:pPr>
    </w:p>
    <w:p>
      <w:pPr>
        <w:spacing w:after="0" w:before="120"/>
      </w:pPr>
    </w:p>
    <w:p>
      <w:pPr>
        <w:spacing w:after="60" w:before="0"/>
        <w:jc w:val="left"/>
      </w:pPr>
      <w:r>
        <w:rPr>
          <w:rFonts w:ascii="Calibri" w:cs="Calibri" w:eastAsia="Calibri" w:hAnsi="Calibri"/>
          <w:b/>
          <w:bCs/>
          <w:color w:val="0D1526"/>
          <w:sz w:val="22"/>
          <w:szCs w:val="22"/>
        </w:rPr>
        <w:t xml:space="preserve">Objet email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BF3FD"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color w:val="0D1526"/>
                <w:sz w:val="22"/>
                <w:szCs w:val="22"/>
              </w:rPr>
              <w:t xml:space="preserve">🔒 SecuPRO — L'outil que vos agents attendaient (essai 7j gratuit)</w:t>
            </w:r>
          </w:p>
        </w:tc>
      </w:tr>
    </w:tbl>
    <w:p>
      <w:pPr>
        <w:spacing w:after="0" w:before="160"/>
      </w:pPr>
    </w:p>
    <w:p>
      <w:pPr>
        <w:spacing w:after="80" w:before="0"/>
        <w:jc w:val="left"/>
      </w:pPr>
      <w:r>
        <w:rPr>
          <w:rFonts w:ascii="Calibri" w:cs="Calibri" w:eastAsia="Calibri" w:hAnsi="Calibri"/>
          <w:b/>
          <w:bCs/>
          <w:color w:val="0D1526"/>
          <w:sz w:val="22"/>
          <w:szCs w:val="22"/>
        </w:rPr>
        <w:t xml:space="preserve">Corps de l'email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tcMar>
              <w:top w:type="dxa" w:w="100"/>
              <w:left w:type="dxa" w:w="160"/>
              <w:bottom w:type="dxa" w:w="100"/>
              <w:right w:type="dxa" w:w="160"/>
            </w:tcMar>
            <w:vAlign w:val="center"/>
          </w:tcPr>
          <w:p>
            <w:pPr>
              <w:spacing w:after="0" w:before="60"/>
            </w:pPr>
          </w:p>
          <w:p>
            <w:pPr>
              <w:spacing w:after="120" w:before="0"/>
              <w:jc w:val="left"/>
            </w:pPr>
            <w:r>
              <w:rPr>
                <w:rFonts w:ascii="Calibri" w:cs="Calibri" w:eastAsia="Calibri" w:hAnsi="Calibri"/>
                <w:b/>
                <w:bCs/>
                <w:color w:val="0D1526"/>
                <w:sz w:val="22"/>
                <w:szCs w:val="22"/>
              </w:rPr>
              <w:t xml:space="preserve">Bonjour [Prénom],</w:t>
            </w:r>
          </w:p>
          <w:p>
            <w:pPr>
              <w:spacing w:after="120" w:before="0"/>
              <w:jc w:val="left"/>
            </w:pPr>
            <w:r>
              <w:rPr>
                <w:rFonts w:ascii="Calibri" w:cs="Calibri" w:eastAsia="Calibri" w:hAnsi="Calibri"/>
                <w:b w:val="false"/>
                <w:bCs w:val="false"/>
                <w:color w:val="0D1526"/>
                <w:sz w:val="22"/>
                <w:szCs w:val="22"/>
              </w:rPr>
              <w:t xml:space="preserve">Je m'appelle Mustapha, ex-agent de sécurité sur des sites à Lyon (Musée des Confluences, CIRC, Pierre Martinet). J'ai créé SecuPRO parce que j'ai vécu les mêmes problèmes que vos agents chaque jour.</w:t>
            </w:r>
          </w:p>
          <w:p>
            <w:pPr>
              <w:spacing w:after="80" w:before="0"/>
              <w:jc w:val="left"/>
            </w:pPr>
            <w:r>
              <w:rPr>
                <w:rFonts w:ascii="Calibri" w:cs="Calibri" w:eastAsia="Calibri" w:hAnsi="Calibri"/>
                <w:b w:val="false"/>
                <w:bCs w:val="false"/>
                <w:color w:val="0D1526"/>
                <w:sz w:val="22"/>
                <w:szCs w:val="22"/>
              </w:rPr>
              <w:t xml:space="preserve">En 15 secondes, voici ce que SecuPRO fait pour eux :</w:t>
            </w:r>
          </w:p>
          <w:p>
            <w:pPr>
              <w:pStyle w:val="ListParagraph"/>
              <w:numPr>
                <w:ilvl w:val="0"/>
                <w:numId w:val="2"/>
              </w:numPr>
              <w:spacing w:after="40" w:before="40"/>
            </w:pPr>
            <w:r>
              <w:rPr>
                <w:rFonts w:ascii="Calibri" w:cs="Calibri" w:eastAsia="Calibri" w:hAnsi="Calibri"/>
                <w:b w:val="false"/>
                <w:bCs w:val="false"/>
                <w:color w:val="0D1526"/>
                <w:sz w:val="20"/>
                <w:szCs w:val="20"/>
              </w:rPr>
              <w:t xml:space="preserve">📅 Import planning PDF → détection conflits et heures supp automatique</w:t>
            </w:r>
          </w:p>
          <w:p>
            <w:pPr>
              <w:pStyle w:val="ListParagraph"/>
              <w:numPr>
                <w:ilvl w:val="0"/>
                <w:numId w:val="2"/>
              </w:numPr>
              <w:spacing w:after="40" w:before="40"/>
            </w:pPr>
            <w:r>
              <w:rPr>
                <w:rFonts w:ascii="Calibri" w:cs="Calibri" w:eastAsia="Calibri" w:hAnsi="Calibri"/>
                <w:b w:val="false"/>
                <w:bCs w:val="false"/>
                <w:color w:val="0D1526"/>
                <w:sz w:val="20"/>
                <w:szCs w:val="20"/>
              </w:rPr>
              <w:t xml:space="preserve">💰 Analyse bulletin de paie → repère les anomalies en 1 clic</w:t>
            </w:r>
          </w:p>
          <w:p>
            <w:pPr>
              <w:pStyle w:val="ListParagraph"/>
              <w:numPr>
                <w:ilvl w:val="0"/>
                <w:numId w:val="2"/>
              </w:numPr>
              <w:spacing w:after="40" w:before="40"/>
            </w:pPr>
            <w:r>
              <w:rPr>
                <w:rFonts w:ascii="Calibri" w:cs="Calibri" w:eastAsia="Calibri" w:hAnsi="Calibri"/>
                <w:b w:val="false"/>
                <w:bCs w:val="false"/>
                <w:color w:val="0D1526"/>
                <w:sz w:val="20"/>
                <w:szCs w:val="20"/>
              </w:rPr>
              <w:t xml:space="preserve">⚖️ SecuIA → répond à leurs questions juridiques IDCC 1351 en temps réel</w:t>
            </w:r>
          </w:p>
          <w:p>
            <w:pPr>
              <w:pStyle w:val="ListParagraph"/>
              <w:numPr>
                <w:ilvl w:val="0"/>
                <w:numId w:val="2"/>
              </w:numPr>
              <w:spacing w:after="40" w:before="40"/>
            </w:pPr>
            <w:r>
              <w:rPr>
                <w:rFonts w:ascii="Calibri" w:cs="Calibri" w:eastAsia="Calibri" w:hAnsi="Calibri"/>
                <w:b w:val="false"/>
                <w:bCs w:val="false"/>
                <w:color w:val="0D1526"/>
                <w:sz w:val="20"/>
                <w:szCs w:val="20"/>
              </w:rPr>
              <w:t xml:space="preserve">📁 Coffre documents → alertes CNAPS avant expiration carte pro</w:t>
            </w:r>
          </w:p>
          <w:p>
            <w:pPr>
              <w:spacing w:after="0" w:before="80"/>
            </w:pPr>
          </w:p>
          <w:p>
            <w:pPr>
              <w:spacing w:after="120" w:before="0"/>
              <w:jc w:val="left"/>
            </w:pPr>
            <w:r>
              <w:rPr>
                <w:rFonts w:ascii="Calibri" w:cs="Calibri" w:eastAsia="Calibri" w:hAnsi="Calibri"/>
                <w:b/>
                <w:bCs/>
                <w:color w:val="1A6FD4"/>
                <w:sz w:val="22"/>
                <w:szCs w:val="22"/>
              </w:rPr>
              <w:t xml:space="preserve">Résultat : moins de conflits, agents plus informés, conformité renforcée.</w:t>
            </w:r>
          </w:p>
          <w:p>
            <w:pPr>
              <w:spacing w:after="120" w:before="0"/>
              <w:jc w:val="left"/>
            </w:pPr>
            <w:r>
              <w:rPr>
                <w:rFonts w:ascii="Calibri" w:cs="Calibri" w:eastAsia="Calibri" w:hAnsi="Calibri"/>
                <w:b w:val="false"/>
                <w:bCs w:val="false"/>
                <w:color w:val="0D1526"/>
                <w:sz w:val="22"/>
                <w:szCs w:val="22"/>
              </w:rPr>
              <w:t xml:space="preserve">Je vous propose une démo de 15 min cette semaine — pas de PowerPoint, juste un vrai import de planning et une analyse de bulletin en live.</w:t>
            </w:r>
          </w:p>
          <w:p>
            <w:pPr>
              <w:spacing w:after="120" w:before="0"/>
              <w:jc w:val="left"/>
            </w:pPr>
            <w:r>
              <w:rPr>
                <w:rFonts w:ascii="Calibri" w:cs="Calibri" w:eastAsia="Calibri" w:hAnsi="Calibri"/>
                <w:b w:val="false"/>
                <w:bCs w:val="false"/>
                <w:color w:val="0D1526"/>
                <w:sz w:val="22"/>
                <w:szCs w:val="22"/>
              </w:rPr>
              <w:t xml:space="preserve">Êtes-vous disponible mardi ou jeudi prochain ?</w:t>
            </w:r>
          </w:p>
          <w:p>
            <w:pPr>
              <w:spacing w:after="40" w:before="0"/>
              <w:jc w:val="left"/>
            </w:pPr>
            <w:r>
              <w:rPr>
                <w:rFonts w:ascii="Calibri" w:cs="Calibri" w:eastAsia="Calibri" w:hAnsi="Calibri"/>
                <w:b w:val="false"/>
                <w:bCs w:val="false"/>
                <w:color w:val="0D1526"/>
                <w:sz w:val="22"/>
                <w:szCs w:val="22"/>
              </w:rPr>
              <w:t xml:space="preserve">Bonne journée,</w:t>
            </w:r>
          </w:p>
          <w:p>
            <w:pPr>
              <w:spacing w:after="20" w:before="0"/>
              <w:jc w:val="left"/>
            </w:pPr>
            <w:r>
              <w:rPr>
                <w:rFonts w:ascii="Calibri" w:cs="Calibri" w:eastAsia="Calibri" w:hAnsi="Calibri"/>
                <w:b/>
                <w:bCs/>
                <w:color w:val="0D1526"/>
                <w:sz w:val="22"/>
                <w:szCs w:val="22"/>
              </w:rPr>
              <w:t xml:space="preserve">Mustapha — Fondateur SecuPRO</w:t>
            </w:r>
          </w:p>
          <w:p>
            <w:pPr>
              <w:spacing w:after="0" w:before="0"/>
              <w:jc w:val="left"/>
            </w:pPr>
            <w:r>
              <w:rPr>
                <w:rFonts w:ascii="Calibri" w:cs="Calibri" w:eastAsia="Calibri" w:hAnsi="Calibri"/>
                <w:b w:val="false"/>
                <w:bCs w:val="false"/>
                <w:color w:val="1A6FD4"/>
                <w:sz w:val="22"/>
                <w:szCs w:val="22"/>
              </w:rPr>
              <w:t xml:space="preserve">contact@secupro.app | secupro.app</w:t>
            </w:r>
          </w:p>
          <w:p>
            <w:pPr>
              <w:spacing w:after="0" w:before="80"/>
              <w:jc w:val="left"/>
            </w:pPr>
            <w:r>
              <w:rPr>
                <w:rFonts w:ascii="Calibri" w:cs="Calibri" w:eastAsia="Calibri" w:hAnsi="Calibri"/>
                <w:b w:val="false"/>
                <w:bCs w:val="false"/>
                <w:color w:val="6B7280"/>
                <w:sz w:val="20"/>
                <w:szCs w:val="20"/>
              </w:rPr>
              <w:t xml:space="preserve">P.S. : Essai gratuit 7 jours, sans engagement sur secupro.app</w:t>
            </w:r>
          </w:p>
          <w:p>
            <w:pPr>
              <w:spacing w:after="0" w:before="60"/>
            </w:pPr>
          </w:p>
        </w:tc>
      </w:tr>
    </w:tbl>
    <w:p>
      <w:pPr>
        <w:spacing w:after="0" w:before="200"/>
      </w:pPr>
    </w:p>
    <w:p>
      <w:pPr>
        <w:spacing w:after="80" w:before="0"/>
        <w:jc w:val="left"/>
      </w:pPr>
      <w:r>
        <w:rPr>
          <w:rFonts w:ascii="Calibri" w:cs="Calibri" w:eastAsia="Calibri" w:hAnsi="Calibri"/>
          <w:b/>
          <w:bCs/>
          <w:color w:val="0D1526"/>
          <w:sz w:val="22"/>
          <w:szCs w:val="22"/>
        </w:rPr>
        <w:t xml:space="preserve">Note d'utilisation :</w:t>
      </w:r>
    </w:p>
    <w:p>
      <w:pPr>
        <w:pStyle w:val="ListParagraph"/>
        <w:numPr>
          <w:ilvl w:val="0"/>
          <w:numId w:val="2"/>
        </w:numPr>
        <w:spacing w:after="40" w:before="40"/>
      </w:pPr>
      <w:r>
        <w:rPr>
          <w:rFonts w:ascii="Calibri" w:cs="Calibri" w:eastAsia="Calibri" w:hAnsi="Calibri"/>
          <w:b w:val="false"/>
          <w:bCs w:val="false"/>
          <w:color w:val="0D1526"/>
          <w:sz w:val="22"/>
          <w:szCs w:val="22"/>
        </w:rPr>
        <w:t xml:space="preserve">Personnalisez [Prénom] et le nom de la société avant envoi</w:t>
      </w:r>
    </w:p>
    <w:p>
      <w:pPr>
        <w:pStyle w:val="ListParagraph"/>
        <w:numPr>
          <w:ilvl w:val="0"/>
          <w:numId w:val="2"/>
        </w:numPr>
        <w:spacing w:after="40" w:before="40"/>
      </w:pPr>
      <w:r>
        <w:rPr>
          <w:rFonts w:ascii="Calibri" w:cs="Calibri" w:eastAsia="Calibri" w:hAnsi="Calibri"/>
          <w:b w:val="false"/>
          <w:bCs w:val="false"/>
          <w:color w:val="0D1526"/>
          <w:sz w:val="22"/>
          <w:szCs w:val="22"/>
        </w:rPr>
        <w:t xml:space="preserve">Idéal pour prospection LinkedIn ou email direct via contact@secupro.app</w:t>
      </w:r>
    </w:p>
    <w:p>
      <w:pPr>
        <w:pStyle w:val="ListParagraph"/>
        <w:numPr>
          <w:ilvl w:val="0"/>
          <w:numId w:val="2"/>
        </w:numPr>
        <w:spacing w:after="40" w:before="40"/>
      </w:pPr>
      <w:r>
        <w:rPr>
          <w:rFonts w:ascii="Calibri" w:cs="Calibri" w:eastAsia="Calibri" w:hAnsi="Calibri"/>
          <w:b w:val="false"/>
          <w:bCs w:val="false"/>
          <w:color w:val="0D1526"/>
          <w:sz w:val="22"/>
          <w:szCs w:val="22"/>
        </w:rPr>
        <w:t xml:space="preserve">Relance possible J+5 si pas de réponse (objet : "Relance — SecuPRO 15min")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1A6FD4" w:sz="8" w:space="2"/>
      </w:pBdr>
      <w:spacing w:after="0" w:before="0"/>
    </w:pPr>
  </w:p>
  <w:p>
    <w:pPr>
      <w:tabs>
        <w:tab w:val="right" w:pos="9638"/>
      </w:tabs>
      <w:spacing w:after="0" w:before="80"/>
    </w:pPr>
    <w:r>
      <w:rPr>
        <w:rFonts w:ascii="Calibri" w:cs="Calibri" w:eastAsia="Calibri" w:hAnsi="Calibri"/>
        <w:color w:val="6B7280"/>
        <w:sz w:val="18"/>
        <w:szCs w:val="18"/>
      </w:rPr>
      <w:t xml:space="preserve">SecuPRO — Proposition Commerciale Confidentielle</w:t>
    </w:r>
    <w:r>
      <w:rPr>
        <w:rFonts w:ascii="Calibri" w:cs="Calibri" w:eastAsia="Calibri" w:hAnsi="Calibri"/>
        <w:sz w:val="18"/>
        <w:szCs w:val="18"/>
      </w:rPr>
      <w:t xml:space="preserve">	</w:t>
    </w:r>
    <w:r>
      <w:rPr>
        <w:rFonts w:ascii="Calibri" w:cs="Calibri" w:eastAsia="Calibri" w:hAnsi="Calibri"/>
        <w:color w:val="6B7280"/>
        <w:sz w:val="18"/>
        <w:szCs w:val="18"/>
      </w:rPr>
      <w:t xml:space="preserve">Page </w:t>
    </w:r>
    <w:r>
      <w:rPr>
        <w:rFonts w:ascii="Calibri" w:cs="Calibri" w:eastAsia="Calibri" w:hAnsi="Calibri"/>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c>
        <w:tcPr>
          <w:tcW w:type="dxa" w:w="2400"/>
          <w:tcBorders>
            <w:top w:val="none" w:color="FFFFFF" w:sz="0"/>
            <w:left w:val="none" w:color="FFFFFF" w:sz="0"/>
            <w:bottom w:val="none" w:color="FFFFFF" w:sz="0"/>
            <w:right w:val="none" w:color="FFFFFF" w:sz="0"/>
          </w:tcBorders>
          <w:shd w:fill="0D1526" w:val="clear"/>
          <w:tcMar>
            <w:top w:type="dxa" w:w="100"/>
            <w:left w:type="dxa" w:w="160"/>
            <w:bottom w:type="dxa" w:w="100"/>
            <w:right w:type="dxa" w:w="160"/>
          </w:tcMar>
          <w:vAlign w:val="center"/>
        </w:tcPr>
        <w:p>
          <w:pPr>
            <w:spacing w:after="0" w:before="0"/>
            <w:jc w:val="left"/>
          </w:pPr>
          <w:r>
            <w:rPr>
              <w:rFonts w:ascii="Calibri" w:cs="Calibri" w:eastAsia="Calibri" w:hAnsi="Calibri"/>
              <w:b/>
              <w:bCs/>
              <w:color w:val="FFFFFF"/>
              <w:sz w:val="28"/>
              <w:szCs w:val="28"/>
            </w:rPr>
            <w:t xml:space="preserve">Secu</w:t>
          </w:r>
          <w:r>
            <w:rPr>
              <w:rFonts w:ascii="Calibri" w:cs="Calibri" w:eastAsia="Calibri" w:hAnsi="Calibri"/>
              <w:b/>
              <w:bCs/>
              <w:color w:val="4DA6FF"/>
              <w:sz w:val="28"/>
              <w:szCs w:val="28"/>
            </w:rPr>
            <w:t xml:space="preserve">PRO</w:t>
          </w:r>
        </w:p>
      </w:tc>
      <w:tc>
        <w:tcPr>
          <w:tcW w:type="dxa" w:w="4838"/>
          <w:tcBorders>
            <w:top w:val="none" w:color="FFFFFF" w:sz="0"/>
            <w:left w:val="none" w:color="FFFFFF" w:sz="0"/>
            <w:bottom w:val="none" w:color="FFFFFF" w:sz="0"/>
            <w:right w:val="none" w:color="FFFFFF" w:sz="0"/>
          </w:tcBorders>
          <w:shd w:fill="0D1526" w:val="clear"/>
          <w:tcMar>
            <w:top w:type="dxa" w:w="100"/>
            <w:left w:type="dxa" w:w="160"/>
            <w:bottom w:type="dxa" w:w="100"/>
            <w:right w:type="dxa" w:w="160"/>
          </w:tcMar>
          <w:vAlign w:val="center"/>
        </w:tcPr>
        <w:p>
          <w:pPr>
            <w:spacing w:after="0" w:before="0"/>
            <w:jc w:val="left"/>
          </w:pPr>
          <w:r>
            <w:rPr>
              <w:rFonts w:ascii="Calibri" w:cs="Calibri" w:eastAsia="Calibri" w:hAnsi="Calibri"/>
              <w:b w:val="false"/>
              <w:bCs w:val="false"/>
              <w:color w:val="0D1526"/>
              <w:sz w:val="20"/>
              <w:szCs w:val="20"/>
            </w:rPr>
            <w:t xml:space="preserve"/>
          </w:r>
        </w:p>
      </w:tc>
      <w:tc>
        <w:tcPr>
          <w:tcW w:type="dxa" w:w="2400"/>
          <w:tcBorders>
            <w:top w:val="none" w:color="FFFFFF" w:sz="0"/>
            <w:left w:val="none" w:color="FFFFFF" w:sz="0"/>
            <w:bottom w:val="none" w:color="FFFFFF" w:sz="0"/>
            <w:right w:val="none" w:color="FFFFFF" w:sz="0"/>
          </w:tcBorders>
          <w:shd w:fill="0D1526" w:val="clear"/>
          <w:tcMar>
            <w:top w:type="dxa" w:w="100"/>
            <w:left w:type="dxa" w:w="160"/>
            <w:bottom w:type="dxa" w:w="100"/>
            <w:right w:type="dxa" w:w="160"/>
          </w:tcMar>
          <w:vAlign w:val="center"/>
        </w:tcPr>
        <w:p>
          <w:pPr>
            <w:spacing w:after="0" w:before="0"/>
            <w:jc w:val="right"/>
          </w:pPr>
          <w:r>
            <w:rPr>
              <w:rFonts w:ascii="Calibri" w:cs="Calibri" w:eastAsia="Calibri" w:hAnsi="Calibri"/>
              <w:b w:val="false"/>
              <w:bCs w:val="false"/>
              <w:color w:val="8FA3BF"/>
              <w:sz w:val="18"/>
              <w:szCs w:val="18"/>
            </w:rPr>
            <w:t xml:space="preserve">secupro.app</w:t>
          </w:r>
        </w:p>
        <w:p>
          <w:pPr>
            <w:spacing w:after="0" w:before="0"/>
            <w:jc w:val="right"/>
          </w:pPr>
          <w:r>
            <w:rPr>
              <w:rFonts w:ascii="Calibri" w:cs="Calibri" w:eastAsia="Calibri" w:hAnsi="Calibri"/>
              <w:b w:val="false"/>
              <w:bCs w:val="false"/>
              <w:color w:val="8FA3BF"/>
              <w:sz w:val="18"/>
              <w:szCs w:val="18"/>
            </w:rPr>
            <w:t xml:space="preserve">contact@secupro.app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2026-04-23T22:09:16.231Z</dcterms:created>
  <dcterms:modified xsi:type="dcterms:W3CDTF">2026-04-23T22:09:16.231Z</dcterms:modified>
</cp:coreProperties>
</file>

<file path=docProps/custom.xml><?xml version="1.0" encoding="utf-8"?>
<Properties xmlns="http://schemas.openxmlformats.org/officeDocument/2006/custom-properties" xmlns:vt="http://schemas.openxmlformats.org/officeDocument/2006/docPropsVTypes"/>
</file>