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FFF"/>
          <w:sz w:val="36"/>
          <w:szCs w:val="36"/>
        </w:rPr>
        <w:t xml:space="preserve">Livrables du TP : Missions et cadre légal de l'ANSSI</w:t>
      </w:r>
    </w:p>
    <w:p>
      <w:pPr>
        <w:pBdr>
          <w:bottom w:val="single" w:color="0B5FFF" w:sz="8" w:space="4"/>
        </w:pBdr>
        <w:spacing w:after="200"/>
      </w:pPr>
      <w:r>
        <w:rPr>
          <w:rFonts w:ascii="Calibri" w:cs="Calibri" w:eastAsia="Calibri" w:hAnsi="Calibri"/>
          <w:color w:val="4B5563"/>
          <w:sz w:val="26"/>
          <w:szCs w:val="26"/>
        </w:rPr>
        <w:t xml:space="preserve">Cas fil rouge : PortNormand, opérateur portuaire</w:t>
      </w:r>
    </w:p>
    <w:p>
      <w:pPr>
        <w:pStyle w:val="Heading1"/>
        <w:spacing w:after="160" w:before="0"/>
      </w:pPr>
      <w:r>
        <w:rPr>
          <w:rFonts w:ascii="Calibri" w:cs="Calibri" w:eastAsia="Calibri" w:hAnsi="Calibri"/>
          <w:b/>
          <w:bCs/>
          <w:color w:val="0B5FFF"/>
          <w:sz w:val="32"/>
          <w:szCs w:val="32"/>
        </w:rPr>
        <w:t xml:space="preserve">Exercice 1 : tableau missions /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3160"/>
      </w:tblGrid>
      <w:tr>
        <w:trPr>
          <w:tblHeader/>
        </w:trPr>
        <w:tc>
          <w:tcPr>
            <w:tcW w:type="dxa" w:w="36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Situation</w:t>
            </w:r>
          </w:p>
        </w:tc>
        <w:tc>
          <w:tcPr>
            <w:tcW w:type="dxa" w:w="26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Mission ANSSI</w:t>
            </w:r>
          </w:p>
        </w:tc>
        <w:tc>
          <w:tcPr>
            <w:tcW w:type="dxa" w:w="316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Autre acteur possible</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Ransomware paralysant le trafic, fichiers contenant des données personnelles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Détecter et réagir (CERT-FR)</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CNIL, + HFDS Transports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Audit de sécurité du SCADA : recherche d'un prestataire de confiance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Qualifier et certifier</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Prestataire qualifié PASSI</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Un OIV se demande quelles règles de sécurité appliquer au système de gestion portuaire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Réglementer (règles LPM)</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Ministère de tutelle / HFDS Transports</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Des agents cliquent sur des mails piégés ; sensibilisation du personnel</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Sensibiliser et former</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 de PortNormand (avec RH/formation)</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Après un ransomware, la direction veut retrouver et poursuivre les auteurs</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Aucune : hors mission</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Police / gendarmerie et parquet</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Alerte de l'ANSSI sur une faille d'un logiciel de supervision, sans attaque</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Prévenir (CERT-FR)</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DSI de PortNormand</w:t>
            </w:r>
          </w:p>
        </w:tc>
      </w:tr>
      <w:tr>
        <w:trPr>
          <w:tblHeader w:val="false"/>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Courrier de l'ANSSI annonçant un accompagnement NIS2</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Conseiller et accompagner</w:t>
            </w:r>
          </w:p>
        </w:tc>
        <w:tc>
          <w:tcPr>
            <w:tcW w:type="dxa" w:w="31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de mise en conformité, sous validation de la direction</w:t>
            </w:r>
          </w:p>
        </w:tc>
      </w:tr>
    </w:tbl>
    <w:p>
      <w:pPr>
        <w:pStyle w:val="Heading1"/>
        <w:pageBreakBefore/>
        <w:spacing w:after="160" w:before="0"/>
      </w:pPr>
      <w:r>
        <w:rPr>
          <w:rFonts w:ascii="Calibri" w:cs="Calibri" w:eastAsia="Calibri" w:hAnsi="Calibri"/>
          <w:b/>
          <w:bCs/>
          <w:color w:val="0B5FFF"/>
          <w:sz w:val="32"/>
          <w:szCs w:val="32"/>
        </w:rPr>
        <w:t xml:space="preserve">Exercice 2 : note de qualification</w:t>
      </w:r>
    </w:p>
    <w:p>
      <w:pPr>
        <w:spacing w:after="120"/>
      </w:pPr>
      <w:r>
        <w:rPr>
          <w:rFonts w:ascii="Calibri" w:cs="Calibri" w:eastAsia="Calibri" w:hAnsi="Calibri"/>
          <w:b/>
          <w:bCs/>
          <w:sz w:val="22"/>
          <w:szCs w:val="22"/>
        </w:rPr>
        <w:t xml:space="preserve">Statut retenu. </w:t>
      </w:r>
      <w:r>
        <w:rPr>
          <w:rFonts w:ascii="Calibri" w:cs="Calibri" w:eastAsia="Calibri" w:hAnsi="Calibri"/>
          <w:sz w:val="22"/>
          <w:szCs w:val="22"/>
        </w:rPr>
        <w:t xml:space="preserve">PortNormand est OIV du secteur Transports depuis 2015, donc soumis à la LPM (art. 22) pour ses SIIV. Il est également probablement une entité essentielle au sens de NIS2, car il dépasse les seuils de grande entité et relève d'un secteur hautement critique, sous réserve de la promulgation de la loi de transposition.</w:t>
      </w:r>
    </w:p>
    <w:p>
      <w:pPr>
        <w:spacing w:after="120"/>
      </w:pPr>
      <w:r>
        <w:rPr>
          <w:rFonts w:ascii="Calibri" w:cs="Calibri" w:eastAsia="Calibri" w:hAnsi="Calibri"/>
          <w:b/>
          <w:bCs/>
          <w:sz w:val="22"/>
          <w:szCs w:val="22"/>
        </w:rPr>
        <w:t xml:space="preserve">Arguments</w:t>
      </w:r>
    </w:p>
    <w:p>
      <w:pPr>
        <w:pStyle w:val="ListParagraph"/>
        <w:numPr>
          <w:ilvl w:val="0"/>
          <w:numId w:val="2"/>
        </w:numPr>
        <w:spacing w:after="80"/>
      </w:pPr>
      <w:r>
        <w:rPr>
          <w:rFonts w:ascii="Calibri" w:cs="Calibri" w:eastAsia="Calibri" w:hAnsi="Calibri"/>
          <w:sz w:val="22"/>
          <w:szCs w:val="22"/>
        </w:rPr>
        <w:t xml:space="preserve">OIV désigné depuis 2015 : le régime LPM est déjà en vigueur.</w:t>
      </w:r>
    </w:p>
    <w:p>
      <w:pPr>
        <w:pStyle w:val="ListParagraph"/>
        <w:numPr>
          <w:ilvl w:val="0"/>
          <w:numId w:val="2"/>
        </w:numPr>
        <w:spacing w:after="80"/>
      </w:pPr>
      <w:r>
        <w:rPr>
          <w:rFonts w:ascii="Calibri" w:cs="Calibri" w:eastAsia="Calibri" w:hAnsi="Calibri"/>
          <w:sz w:val="22"/>
          <w:szCs w:val="22"/>
        </w:rPr>
        <w:t xml:space="preserve">1 200 agents (seuil grande entité : 250) et 340 M€ de CA (seuil : 50 M€).</w:t>
      </w:r>
    </w:p>
    <w:p>
      <w:pPr>
        <w:pStyle w:val="ListParagraph"/>
        <w:numPr>
          <w:ilvl w:val="0"/>
          <w:numId w:val="2"/>
        </w:numPr>
        <w:spacing w:after="80"/>
      </w:pPr>
      <w:r>
        <w:rPr>
          <w:rFonts w:ascii="Calibri" w:cs="Calibri" w:eastAsia="Calibri" w:hAnsi="Calibri"/>
          <w:sz w:val="22"/>
          <w:szCs w:val="22"/>
        </w:rPr>
        <w:t xml:space="preserve">Transport maritime et portuaire : secteur hautement critique dans NIS2.</w:t>
      </w:r>
    </w:p>
    <w:p>
      <w:pPr>
        <w:pStyle w:val="ListParagraph"/>
        <w:numPr>
          <w:ilvl w:val="0"/>
          <w:numId w:val="2"/>
        </w:numPr>
        <w:spacing w:after="80"/>
      </w:pPr>
      <w:r>
        <w:rPr>
          <w:rFonts w:ascii="Calibri" w:cs="Calibri" w:eastAsia="Calibri" w:hAnsi="Calibri"/>
          <w:sz w:val="22"/>
          <w:szCs w:val="22"/>
        </w:rPr>
        <w:t xml:space="preserve">Périmètres différents (SIIV pour la LPM, entité entière pour NIS2) : les deux régimes se cumulent probablement.</w:t>
      </w:r>
    </w:p>
    <w:p>
      <w:pPr>
        <w:spacing w:after="120"/>
      </w:pPr>
      <w:r>
        <w:rPr>
          <w:rFonts w:ascii="Calibri" w:cs="Calibri" w:eastAsia="Calibri" w:hAnsi="Calibri"/>
          <w:b/>
          <w:bCs/>
          <w:sz w:val="22"/>
          <w:szCs w:val="22"/>
        </w:rPr>
        <w:t xml:space="preserve">Incertitudes identifiées</w:t>
      </w:r>
    </w:p>
    <w:p>
      <w:pPr>
        <w:pStyle w:val="ListParagraph"/>
        <w:numPr>
          <w:ilvl w:val="0"/>
          <w:numId w:val="3"/>
        </w:numPr>
        <w:spacing w:after="80"/>
      </w:pPr>
      <w:r>
        <w:rPr>
          <w:rFonts w:ascii="Calibri" w:cs="Calibri" w:eastAsia="Calibri" w:hAnsi="Calibri"/>
          <w:b/>
          <w:bCs/>
          <w:sz w:val="22"/>
          <w:szCs w:val="22"/>
        </w:rPr>
        <w:t xml:space="preserve">Périmètre et effectifs : </w:t>
      </w:r>
      <w:r>
        <w:rPr>
          <w:rFonts w:ascii="Calibri" w:cs="Calibri" w:eastAsia="Calibri" w:hAnsi="Calibri"/>
          <w:sz w:val="22"/>
          <w:szCs w:val="22"/>
        </w:rPr>
        <w:t xml:space="preserve">l'effectif consolidé (1 200) est identique à celui d'avant l'acquisition, ce qui est incohérent. Vérifier le périmètre de consolidation et le statut de l'entité européenne rachetée.</w:t>
      </w:r>
    </w:p>
    <w:p>
      <w:pPr>
        <w:pStyle w:val="ListParagraph"/>
        <w:numPr>
          <w:ilvl w:val="0"/>
          <w:numId w:val="3"/>
        </w:numPr>
        <w:spacing w:after="80"/>
      </w:pPr>
      <w:r>
        <w:rPr>
          <w:rFonts w:ascii="Calibri" w:cs="Calibri" w:eastAsia="Calibri" w:hAnsi="Calibri"/>
          <w:b/>
          <w:bCs/>
          <w:sz w:val="22"/>
          <w:szCs w:val="22"/>
        </w:rPr>
        <w:t xml:space="preserve">Calendrier de transposition : </w:t>
      </w:r>
      <w:r>
        <w:rPr>
          <w:rFonts w:ascii="Calibri" w:cs="Calibri" w:eastAsia="Calibri" w:hAnsi="Calibri"/>
          <w:sz w:val="22"/>
          <w:szCs w:val="22"/>
        </w:rPr>
        <w:t xml:space="preserve">la loi (projet de loi « Résilience ») n'est pas promulguée à ce jour ; le statut dépend du texte final et de ses décrets.</w:t>
      </w:r>
    </w:p>
    <w:p>
      <w:pPr>
        <w:pStyle w:val="ListParagraph"/>
        <w:numPr>
          <w:ilvl w:val="0"/>
          <w:numId w:val="3"/>
        </w:numPr>
        <w:spacing w:after="80"/>
      </w:pPr>
      <w:r>
        <w:rPr>
          <w:rFonts w:ascii="Calibri" w:cs="Calibri" w:eastAsia="Calibri" w:hAnsi="Calibri"/>
          <w:b/>
          <w:bCs/>
          <w:sz w:val="22"/>
          <w:szCs w:val="22"/>
        </w:rPr>
        <w:t xml:space="preserve">Articulation LPM / NIS2 : </w:t>
      </w:r>
      <w:r>
        <w:rPr>
          <w:rFonts w:ascii="Calibri" w:cs="Calibri" w:eastAsia="Calibri" w:hAnsi="Calibri"/>
          <w:sz w:val="22"/>
          <w:szCs w:val="22"/>
        </w:rPr>
        <w:t xml:space="preserve">recoupements d'obligations et procédure de notification à préciser avec le texte final.</w:t>
      </w:r>
    </w:p>
    <w:p>
      <w:pPr>
        <w:pStyle w:val="Heading1"/>
        <w:pageBreakBefore/>
        <w:spacing w:after="160" w:before="0"/>
      </w:pPr>
      <w:r>
        <w:rPr>
          <w:rFonts w:ascii="Calibri" w:cs="Calibri" w:eastAsia="Calibri" w:hAnsi="Calibri"/>
          <w:b/>
          <w:bCs/>
          <w:color w:val="0B5FFF"/>
          <w:sz w:val="32"/>
          <w:szCs w:val="32"/>
        </w:rPr>
        <w:t xml:space="preserve">Exercice 3 : fiche des acteurs et schéma des flux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60"/>
        <w:gridCol w:w="3800"/>
      </w:tblGrid>
      <w:tr>
        <w:trPr>
          <w:tblHeader/>
        </w:trPr>
        <w:tc>
          <w:tcPr>
            <w:tcW w:type="dxa" w:w="17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Acteur</w:t>
            </w:r>
          </w:p>
        </w:tc>
        <w:tc>
          <w:tcPr>
            <w:tcW w:type="dxa" w:w="386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Mission</w:t>
            </w:r>
          </w:p>
        </w:tc>
        <w:tc>
          <w:tcPr>
            <w:tcW w:type="dxa" w:w="38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Exemple chez PortNormand</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ANSSI</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Autorité nationale de cybersécurité : prévenir, détecter et réagir, réglementer, qualifier, conseiller, sensibiliser</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Reçoit les notifications d'incident de PortNormand et contrôle sa conformité</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CERT-FR</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Veille, alerte et réponse aux incidents (équipe de l'ANSSI)</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PortNormand le notifie en cas de ransomware ; il alerte PortNormand en cas de faille</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CNIL</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Protection des données personnelles : conseil, contrôle, notifications de violation, sanctions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Notifiée de la violation des données de salariés et de clients, en général sous 72 h</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SGDSN</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Assiste le Premier ministre sur la défense et la sécurité nationale, coordonne les ministères, supervise l'ANSSI et le dispositif OIV</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Cadre dans lequel PortNormand est OIV depuis 2015 ; échanges courants via l'ANSSI</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Ministère de tutelle / HFDS Transports</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Interlocuteur sectoriel des OIV du secteur, en lien avec l'ANSSI</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Informé, en plus de l'ANSSI, après un incident majeur</w:t>
            </w:r>
          </w:p>
        </w:tc>
      </w:tr>
      <w:tr>
        <w:trPr>
          <w:tblHeader w:val="false"/>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ENISA</w:t>
            </w:r>
          </w:p>
        </w:tc>
        <w:tc>
          <w:tcPr>
            <w:tcW w:type="dxa" w:w="38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Appui, conseil et coordination au niveau de l'UE ; ne contrôle pas les entités</w:t>
            </w:r>
          </w:p>
        </w:tc>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PortNormand consulte ses ressources NIS2</w:t>
            </w:r>
          </w:p>
        </w:tc>
      </w:tr>
    </w:tbl>
    <w:p>
      <w:pPr>
        <w:spacing w:after="12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1F2937"/>
          <w:sz w:val="25"/>
          <w:szCs w:val="25"/>
        </w:rPr>
        <w:t xml:space="preserve">Schéma des flux d'information</w:t>
      </w:r>
    </w:p>
    <w:p>
      <w:pPr>
        <w:spacing w:after="0"/>
      </w:pPr>
      <w:r>
        <w:rPr>
          <w:rFonts w:ascii="Courier New" w:cs="Courier New" w:eastAsia="Courier New" w:hAnsi="Courier New"/>
          <w:sz w:val="17"/>
          <w:szCs w:val="17"/>
        </w:rPr>
        <w:t xml:space="preserve">        Premier ministre</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SGDSN</w:t>
      </w:r>
    </w:p>
    <w:p>
      <w:pPr>
        <w:spacing w:after="0"/>
      </w:pPr>
      <w:r>
        <w:rPr>
          <w:rFonts w:ascii="Courier New" w:cs="Courier New" w:eastAsia="Courier New" w:hAnsi="Courier New"/>
          <w:sz w:val="17"/>
          <w:szCs w:val="17"/>
        </w:rPr>
        <w:t xml:space="preserve">               ^   (rattachement, coordination)</w:t>
      </w:r>
    </w:p>
    <w:p>
      <w:pPr>
        <w:spacing w:after="0"/>
      </w:pPr>
      <w:r>
        <w:rPr>
          <w:rFonts w:ascii="Courier New" w:cs="Courier New" w:eastAsia="Courier New" w:hAnsi="Courier New"/>
          <w:sz w:val="17"/>
          <w:szCs w:val="17"/>
        </w:rPr>
        <w:t xml:space="preserve"> ENISA &lt;--&gt; ANSSI / CERT-FR &lt;--&gt; Ministère de tutelle / HFDS</w:t>
      </w:r>
    </w:p>
    <w:p>
      <w:pPr>
        <w:spacing w:after="0"/>
      </w:pPr>
      <w:r>
        <w:rPr>
          <w:rFonts w:ascii="Courier New" w:cs="Courier New" w:eastAsia="Courier New" w:hAnsi="Courier New"/>
          <w:sz w:val="17"/>
          <w:szCs w:val="17"/>
        </w:rPr>
        <w:t xml:space="preserve"> (coopération UE)   ^  |                  ^</w:t>
      </w:r>
    </w:p>
    <w:p>
      <w:pPr>
        <w:spacing w:after="0"/>
      </w:pPr>
      <w:r>
        <w:rPr>
          <w:rFonts w:ascii="Courier New" w:cs="Courier New" w:eastAsia="Courier New" w:hAnsi="Courier New"/>
          <w:sz w:val="17"/>
          <w:szCs w:val="17"/>
        </w:rPr>
        <w:t xml:space="preserve">                    |  |                  |</w:t>
      </w:r>
    </w:p>
    <w:p>
      <w:pPr>
        <w:spacing w:after="0"/>
      </w:pPr>
      <w:r>
        <w:rPr>
          <w:rFonts w:ascii="Courier New" w:cs="Courier New" w:eastAsia="Courier New" w:hAnsi="Courier New"/>
          <w:sz w:val="17"/>
          <w:szCs w:val="17"/>
        </w:rPr>
        <w:t xml:space="preserve"> notifie incident --+  +-- alertes,       |</w:t>
      </w:r>
    </w:p>
    <w:p>
      <w:pPr>
        <w:spacing w:after="0"/>
      </w:pPr>
      <w:r>
        <w:rPr>
          <w:rFonts w:ascii="Courier New" w:cs="Courier New" w:eastAsia="Courier New" w:hAnsi="Courier New"/>
          <w:sz w:val="17"/>
          <w:szCs w:val="17"/>
        </w:rPr>
        <w:t xml:space="preserve">                    |      assistance,    |</w:t>
      </w:r>
    </w:p>
    <w:p>
      <w:pPr>
        <w:spacing w:after="0"/>
      </w:pPr>
      <w:r>
        <w:rPr>
          <w:rFonts w:ascii="Courier New" w:cs="Courier New" w:eastAsia="Courier New" w:hAnsi="Courier New"/>
          <w:sz w:val="17"/>
          <w:szCs w:val="17"/>
        </w:rPr>
        <w:t xml:space="preserve">                    v      contrôle       |</w:t>
      </w:r>
    </w:p>
    <w:p>
      <w:pPr>
        <w:spacing w:after="0"/>
      </w:pPr>
      <w:r>
        <w:rPr>
          <w:rFonts w:ascii="Courier New" w:cs="Courier New" w:eastAsia="Courier New" w:hAnsi="Courier New"/>
          <w:sz w:val="17"/>
          <w:szCs w:val="17"/>
        </w:rPr>
        <w:t xml:space="preserve">                PORTNORMAND --------------+</w:t>
      </w:r>
    </w:p>
    <w:p>
      <w:pPr>
        <w:spacing w:after="0"/>
      </w:pPr>
      <w:r>
        <w:rPr>
          <w:rFonts w:ascii="Courier New" w:cs="Courier New" w:eastAsia="Courier New" w:hAnsi="Courier New"/>
          <w:sz w:val="17"/>
          <w:szCs w:val="17"/>
        </w:rPr>
        <w:t xml:space="preserve">                    |    (information sectorielle)</w:t>
      </w:r>
    </w:p>
    <w:p>
      <w:pPr>
        <w:spacing w:after="0"/>
      </w:pPr>
      <w:r>
        <w:rPr>
          <w:rFonts w:ascii="Courier New" w:cs="Courier New" w:eastAsia="Courier New" w:hAnsi="Courier New"/>
          <w:sz w:val="17"/>
          <w:szCs w:val="17"/>
        </w:rPr>
        <w:t xml:space="preserve">                    +------&gt; CNIL</w:t>
      </w:r>
    </w:p>
    <w:p>
      <w:pPr>
        <w:spacing w:after="0"/>
      </w:pPr>
      <w:r>
        <w:rPr>
          <w:rFonts w:ascii="Courier New" w:cs="Courier New" w:eastAsia="Courier New" w:hAnsi="Courier New"/>
          <w:sz w:val="17"/>
          <w:szCs w:val="17"/>
        </w:rPr>
        <w:t xml:space="preserve">            (notifie une violation de données, ~72 h)</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Lecture : </w:t>
      </w:r>
      <w:r>
        <w:rPr>
          <w:rFonts w:ascii="Calibri" w:cs="Calibri" w:eastAsia="Calibri" w:hAnsi="Calibri"/>
          <w:sz w:val="22"/>
          <w:szCs w:val="22"/>
        </w:rPr>
        <w:t xml:space="preserve">les flux directs avec PortNormand sont ANSSI/CERT-FR, CNIL et HFDS. Le SGDSN et l'ENISA sont en arrière-plan, reliés à l'ANSSI.</w:t>
      </w:r>
    </w:p>
    <w:p>
      <w:pPr>
        <w:pStyle w:val="Heading1"/>
        <w:pageBreakBefore/>
        <w:spacing w:after="160" w:before="0"/>
      </w:pPr>
      <w:r>
        <w:rPr>
          <w:rFonts w:ascii="Calibri" w:cs="Calibri" w:eastAsia="Calibri" w:hAnsi="Calibri"/>
          <w:b/>
          <w:bCs/>
          <w:color w:val="0B5FFF"/>
          <w:sz w:val="32"/>
          <w:szCs w:val="32"/>
        </w:rPr>
        <w:t xml:space="preserve">Exercice 4 : frise et message de notification</w:t>
      </w:r>
    </w:p>
    <w:p>
      <w:pPr>
        <w:spacing w:after="120"/>
      </w:pPr>
      <w:r>
        <w:rPr>
          <w:rFonts w:ascii="Calibri" w:cs="Calibri" w:eastAsia="Calibri" w:hAnsi="Calibri"/>
          <w:i/>
          <w:iCs/>
          <w:sz w:val="22"/>
          <w:szCs w:val="22"/>
        </w:rPr>
        <w:t xml:space="preserve">Scénario : lundi 7h30, le Port Community System est chiffré par un ransomware, le trafic des conteneurs est à l'arrêt, les fichiers contiennent des données personnelles.</w:t>
      </w:r>
    </w:p>
    <w:p>
      <w:pPr>
        <w:pStyle w:val="Heading2"/>
        <w:spacing w:after="100" w:before="200"/>
      </w:pPr>
      <w:r>
        <w:rPr>
          <w:rFonts w:ascii="Calibri" w:cs="Calibri" w:eastAsia="Calibri" w:hAnsi="Calibri"/>
          <w:b/>
          <w:bCs/>
          <w:color w:val="1F2937"/>
          <w:sz w:val="25"/>
          <w:szCs w:val="25"/>
        </w:rPr>
        <w:t xml:space="preserve">Frise chronologique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Quand</w:t>
            </w:r>
          </w:p>
        </w:tc>
        <w:tc>
          <w:tcPr>
            <w:tcW w:type="dxa" w:w="27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Qui</w:t>
            </w:r>
          </w:p>
        </w:tc>
        <w:tc>
          <w:tcPr>
            <w:tcW w:type="dxa" w:w="436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Quoi</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(lundi 7h30)</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Agent de la supervision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Constate la demande de rançon et alerte la DSI</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 quelques minutes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DSI</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Confirme l'attaque, isole les systèmes touchés, alerte la cellule sécurité</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+ 1 h (ordre de grandeur)</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Pilote la crise, informe la direction, prépare la notification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Sans délai</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 (validation direction)</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Notifie l'ANSSI/CERT-FR (LPM, SIIV touchés)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+ 24 h</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Alerte précoce (scénario cible NIS2)</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+ 72 h</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Notification complète (NIS2, cible) et notification à la CNIL (données personnelles)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T0 + 1 mois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Cellule sécurité</w:t>
            </w:r>
          </w:p>
        </w:tc>
        <w:tc>
          <w:tcPr>
            <w:tcW w:type="dxa" w:w="43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Rapport final (NIS2, cible)</w:t>
            </w:r>
          </w:p>
        </w:tc>
      </w:tr>
    </w:tbl>
    <w:p>
      <w:pPr>
        <w:spacing w:after="12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1F2937"/>
          <w:sz w:val="25"/>
          <w:szCs w:val="25"/>
        </w:rPr>
        <w:t xml:space="preserve">Brouillon du message de notification (13 lignes)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3F4F6" w:color="auto" w:val="clear"/>
            <w:tcMar>
              <w:top w:type="dxa" w:w="120"/>
              <w:left w:type="dxa" w:w="180"/>
              <w:bottom w:type="dxa" w:w="120"/>
              <w:right w:type="dxa" w:w="180"/>
            </w:tcMar>
          </w:tcPr>
          <w:p>
            <w:pPr>
              <w:spacing w:after="40"/>
            </w:pPr>
            <w:r>
              <w:rPr>
                <w:rFonts w:ascii="Calibri" w:cs="Calibri" w:eastAsia="Calibri" w:hAnsi="Calibri"/>
                <w:b/>
                <w:bCs/>
                <w:sz w:val="20"/>
                <w:szCs w:val="20"/>
              </w:rPr>
              <w:t xml:space="preserve">Objet : Notification d'incident de sécurité – PortNormand (OIV, Transports)</w:t>
            </w:r>
          </w:p>
          <w:p>
            <w:pPr>
              <w:spacing w:after="40"/>
            </w:pPr>
            <w:r>
              <w:rPr>
                <w:rFonts w:ascii="Calibri" w:cs="Calibri" w:eastAsia="Calibri" w:hAnsi="Calibri"/>
                <w:b w:val="false"/>
                <w:bCs w:val="false"/>
                <w:sz w:val="20"/>
                <w:szCs w:val="20"/>
              </w:rPr>
              <w:t xml:space="preserve">Madame, Monsieur,</w:t>
            </w:r>
          </w:p>
          <w:p>
            <w:pPr>
              <w:spacing w:after="40"/>
            </w:pPr>
            <w:r>
              <w:rPr>
                <w:rFonts w:ascii="Calibri" w:cs="Calibri" w:eastAsia="Calibri" w:hAnsi="Calibri"/>
                <w:b w:val="false"/>
                <w:bCs w:val="false"/>
                <w:sz w:val="20"/>
                <w:szCs w:val="20"/>
              </w:rPr>
              <w:t xml:space="preserve">PortNormand, OIV du secteur Transports, vous notifie un incident détecté lundi à 7h30.</w:t>
            </w:r>
          </w:p>
          <w:p>
            <w:pPr>
              <w:spacing w:after="40"/>
            </w:pPr>
            <w:r>
              <w:rPr>
                <w:rFonts w:ascii="Calibri" w:cs="Calibri" w:eastAsia="Calibri" w:hAnsi="Calibri"/>
                <w:b w:val="false"/>
                <w:bCs w:val="false"/>
                <w:sz w:val="20"/>
                <w:szCs w:val="20"/>
              </w:rPr>
              <w:t xml:space="preserve">Nature : rançongiciel (fichiers chiffrés, rançon demandée) ; intrusion en cours d'analyse.</w:t>
            </w:r>
          </w:p>
          <w:p>
            <w:pPr>
              <w:spacing w:after="40"/>
            </w:pPr>
            <w:r>
              <w:rPr>
                <w:rFonts w:ascii="Calibri" w:cs="Calibri" w:eastAsia="Calibri" w:hAnsi="Calibri"/>
                <w:b w:val="false"/>
                <w:bCs w:val="false"/>
                <w:sz w:val="20"/>
                <w:szCs w:val="20"/>
              </w:rPr>
              <w:t xml:space="preserve">Systèmes touchés : Port Community System indisponible ; étendue en cours d'évaluation.</w:t>
            </w:r>
          </w:p>
          <w:p>
            <w:pPr>
              <w:spacing w:after="40"/>
            </w:pPr>
            <w:r>
              <w:rPr>
                <w:rFonts w:ascii="Calibri" w:cs="Calibri" w:eastAsia="Calibri" w:hAnsi="Calibri"/>
                <w:b w:val="false"/>
                <w:bCs w:val="false"/>
                <w:sz w:val="20"/>
                <w:szCs w:val="20"/>
              </w:rPr>
              <w:t xml:space="preserve">Données personnelles : salariés et clients concernés ; exfiltration en cours d'analyse.</w:t>
            </w:r>
          </w:p>
          <w:p>
            <w:pPr>
              <w:spacing w:after="40"/>
            </w:pPr>
            <w:r>
              <w:rPr>
                <w:rFonts w:ascii="Calibri" w:cs="Calibri" w:eastAsia="Calibri" w:hAnsi="Calibri"/>
                <w:b w:val="false"/>
                <w:bCs w:val="false"/>
                <w:sz w:val="20"/>
                <w:szCs w:val="20"/>
              </w:rPr>
              <w:t xml:space="preserve">Impact : trafic des conteneurs à l'arrêt ; autres activités en cours d'évaluation.</w:t>
            </w:r>
          </w:p>
          <w:p>
            <w:pPr>
              <w:spacing w:after="40"/>
            </w:pPr>
            <w:r>
              <w:rPr>
                <w:rFonts w:ascii="Calibri" w:cs="Calibri" w:eastAsia="Calibri" w:hAnsi="Calibri"/>
                <w:b w:val="false"/>
                <w:bCs w:val="false"/>
                <w:sz w:val="20"/>
                <w:szCs w:val="20"/>
              </w:rPr>
              <w:t xml:space="preserve">Mesures : attaque confirmée, systèmes isolés, cellule de crise activée, direction informée.</w:t>
            </w:r>
          </w:p>
          <w:p>
            <w:pPr>
              <w:spacing w:after="40"/>
            </w:pPr>
            <w:r>
              <w:rPr>
                <w:rFonts w:ascii="Calibri" w:cs="Calibri" w:eastAsia="Calibri" w:hAnsi="Calibri"/>
                <w:b w:val="false"/>
                <w:bCs w:val="false"/>
                <w:sz w:val="20"/>
                <w:szCs w:val="20"/>
              </w:rPr>
              <w:t xml:space="preserve">Contact : [Nom, fonction], cellule sécurité, [téléphone], [mail] ; astreinte assurée.</w:t>
            </w:r>
          </w:p>
          <w:p>
            <w:pPr>
              <w:spacing w:after="40"/>
            </w:pPr>
            <w:r>
              <w:rPr>
                <w:rFonts w:ascii="Calibri" w:cs="Calibri" w:eastAsia="Calibri" w:hAnsi="Calibri"/>
                <w:b w:val="false"/>
                <w:bCs w:val="false"/>
                <w:sz w:val="20"/>
                <w:szCs w:val="20"/>
              </w:rPr>
              <w:t xml:space="preserve">Contact de repli : [Nom, fonction, téléphone].</w:t>
            </w:r>
          </w:p>
          <w:p>
            <w:pPr>
              <w:spacing w:after="40"/>
            </w:pPr>
            <w:r>
              <w:rPr>
                <w:rFonts w:ascii="Calibri" w:cs="Calibri" w:eastAsia="Calibri" w:hAnsi="Calibri"/>
                <w:b w:val="false"/>
                <w:bCs w:val="false"/>
                <w:sz w:val="20"/>
                <w:szCs w:val="20"/>
              </w:rPr>
              <w:t xml:space="preserve">La CNIL est notifiée en parallèle ; des éléments complémentaires suivront.</w:t>
            </w:r>
          </w:p>
          <w:p>
            <w:pPr>
              <w:spacing w:after="40"/>
            </w:pPr>
            <w:r>
              <w:rPr>
                <w:rFonts w:ascii="Calibri" w:cs="Calibri" w:eastAsia="Calibri" w:hAnsi="Calibri"/>
                <w:b w:val="false"/>
                <w:bCs w:val="false"/>
                <w:sz w:val="20"/>
                <w:szCs w:val="20"/>
              </w:rPr>
              <w:t xml:space="preserve">Cordialement,</w:t>
            </w:r>
          </w:p>
          <w:p>
            <w:pPr>
              <w:spacing w:after="40"/>
            </w:pPr>
            <w:r>
              <w:rPr>
                <w:rFonts w:ascii="Calibri" w:cs="Calibri" w:eastAsia="Calibri" w:hAnsi="Calibri"/>
                <w:b w:val="false"/>
                <w:bCs w:val="false"/>
                <w:sz w:val="20"/>
                <w:szCs w:val="20"/>
              </w:rPr>
              <w:t xml:space="preserve">[Nom], responsable de la cellule sécurité (après validation de la direction)</w:t>
            </w:r>
          </w:p>
        </w:tc>
      </w:tr>
    </w:tbl>
    <w:p>
      <w:pPr>
        <w:pStyle w:val="Heading1"/>
        <w:pageBreakBefore/>
        <w:spacing w:after="160" w:before="0"/>
      </w:pPr>
      <w:r>
        <w:rPr>
          <w:rFonts w:ascii="Calibri" w:cs="Calibri" w:eastAsia="Calibri" w:hAnsi="Calibri"/>
          <w:b/>
          <w:bCs/>
          <w:color w:val="0B5FFF"/>
          <w:sz w:val="32"/>
          <w:szCs w:val="32"/>
        </w:rPr>
        <w:t xml:space="preserve">Exercice 5 : tableau besoin /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Besoin</w:t>
            </w:r>
          </w:p>
        </w:tc>
        <w:tc>
          <w:tcPr>
            <w:tcW w:type="dxa" w:w="17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Qualification exigée</w:t>
            </w:r>
          </w:p>
        </w:tc>
        <w:tc>
          <w:tcPr>
            <w:tcW w:type="dxa" w:w="466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Justification</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Surveillance continue des systèmes critiques pour détecter les attaques plus tôt</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PDIS</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Prestataire qualifié par l'ANSSI pour détecter les incidents ; la détection sur les SIIV relève des obligations LPM d'un OIV</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Attaque par ransomware en cours, équipes internes débordées et sans expertise suffisante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PRIS</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Prestataire qualifié pour intervenir pendant ou après une attaque : analyser, contenir et aider à reprendre l'activité</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Hébergement du Port Community System chez un fournisseur cloud de confiance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SecNumCloud</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Qualification de l'ANSSI garantissant un niveau de sécurité de confiance pour un service d'hébergement cloud</w:t>
            </w:r>
          </w:p>
        </w:tc>
      </w:tr>
      <w:tr>
        <w:trPr>
          <w:tblHeader w:val="false"/>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Vérifier la sécurité du SCADA des terminaux et obtenir une liste de corrections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PASSI</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Prestataire qualifié pour auditer l'architecture et la configuration et mener des tests d'intrusion</w:t>
            </w:r>
          </w:p>
        </w:tc>
      </w:tr>
    </w:tbl>
    <w:p>
      <w:pPr>
        <w:pStyle w:val="Heading1"/>
        <w:pageBreakBefore/>
        <w:spacing w:after="160" w:before="0"/>
      </w:pPr>
      <w:r>
        <w:rPr>
          <w:rFonts w:ascii="Calibri" w:cs="Calibri" w:eastAsia="Calibri" w:hAnsi="Calibri"/>
          <w:b/>
          <w:bCs/>
          <w:color w:val="0B5FFF"/>
          <w:sz w:val="32"/>
          <w:szCs w:val="32"/>
        </w:rPr>
        <w:t xml:space="preserve">Exercice 6 : plan d'action pour un contrôle de l'ANSSI</w:t>
      </w:r>
    </w:p>
    <w:p>
      <w:pPr>
        <w:spacing w:after="120"/>
      </w:pPr>
      <w:r>
        <w:rPr>
          <w:rFonts w:ascii="Calibri" w:cs="Calibri" w:eastAsia="Calibri" w:hAnsi="Calibri"/>
          <w:i/>
          <w:iCs/>
          <w:sz w:val="22"/>
          <w:szCs w:val="22"/>
        </w:rPr>
        <w:t xml:space="preserve">Niveaux estimés à partir des indices du scénario.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660"/>
        <w:gridCol w:w="2400"/>
      </w:tblGrid>
      <w:tr>
        <w:trPr>
          <w:tblHeader/>
        </w:trPr>
        <w:tc>
          <w:tcPr>
            <w:tcW w:type="dxa" w:w="23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Point de contrôle</w:t>
            </w:r>
          </w:p>
        </w:tc>
        <w:tc>
          <w:tcPr>
            <w:tcW w:type="dxa" w:w="466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Preuve attendue par l'ANSSI</w:t>
            </w:r>
          </w:p>
        </w:tc>
        <w:tc>
          <w:tcPr>
            <w:tcW w:type="dxa" w:w="2400"/>
            <w:tcBorders>
              <w:top w:val="single" w:color="BFBFBF" w:sz="4"/>
              <w:left w:val="single" w:color="BFBFBF" w:sz="4"/>
              <w:bottom w:val="single" w:color="BFBFBF" w:sz="4"/>
              <w:right w:val="single" w:color="BFBFBF" w:sz="4"/>
            </w:tcBorders>
            <w:shd w:fill="0B5FFF" w:color="auto" w:val="clear"/>
            <w:tcMar>
              <w:top w:type="dxa" w:w="70"/>
              <w:left w:type="dxa" w:w="110"/>
              <w:bottom w:type="dxa" w:w="70"/>
              <w:right w:type="dxa" w:w="110"/>
            </w:tcMar>
          </w:tcPr>
          <w:p>
            <w:r>
              <w:rPr>
                <w:rFonts w:ascii="Calibri" w:cs="Calibri" w:eastAsia="Calibri" w:hAnsi="Calibri"/>
                <w:b/>
                <w:bCs/>
                <w:color w:val="FFFFFF"/>
                <w:sz w:val="20"/>
                <w:szCs w:val="20"/>
              </w:rPr>
              <w:t xml:space="preserve">Niveau estimé</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Notification des incidents</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Procédure écrite et testée, contact désigné et joignable en continu</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Moyen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Recours à des prestataires qualifiés</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Contrats, rapports d'audit ou attestations (PASSI, PDIS, PRIS selon le besoin) de prestataires qualifiés par l'ANSSI</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Moyen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Déclaration et cartographie des SIIV</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Liste à jour des SIIV et schéma de leur architecture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Moyen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Journalisation et détection</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Journaux conservés sur les systèmes critiques et dispositif de détection des anomalies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Faible à moyen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Gouvernance et contrôles</w:t>
            </w:r>
          </w:p>
        </w:tc>
        <w:tc>
          <w:tcPr>
            <w:tcW w:type="dxa" w:w="466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Responsable désigné pour les SIIV, interlocuteur identifié pour l'ANSSI, capacité à répondre à un contrôle</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sz w:val="20"/>
                <w:szCs w:val="20"/>
              </w:rPr>
              <w:t xml:space="preserve">Faible</w:t>
            </w:r>
          </w:p>
        </w:tc>
      </w:tr>
    </w:tbl>
    <w:p>
      <w:pPr>
        <w:spacing w:after="12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1F2937"/>
          <w:sz w:val="25"/>
          <w:szCs w:val="25"/>
        </w:rPr>
        <w:t xml:space="preserve">3 actions prioritaires</w:t>
      </w:r>
    </w:p>
    <w:p>
      <w:pPr>
        <w:pStyle w:val="ListParagraph"/>
        <w:numPr>
          <w:ilvl w:val="0"/>
          <w:numId w:val="3"/>
        </w:numPr>
        <w:spacing w:after="80"/>
      </w:pPr>
      <w:r>
        <w:rPr>
          <w:rFonts w:ascii="Calibri" w:cs="Calibri" w:eastAsia="Calibri" w:hAnsi="Calibri"/>
          <w:b/>
          <w:bCs/>
          <w:sz w:val="22"/>
          <w:szCs w:val="22"/>
        </w:rPr>
        <w:t xml:space="preserve">Désigner </w:t>
      </w:r>
      <w:r>
        <w:rPr>
          <w:rFonts w:ascii="Calibri" w:cs="Calibri" w:eastAsia="Calibri" w:hAnsi="Calibri"/>
          <w:sz w:val="22"/>
          <w:szCs w:val="22"/>
        </w:rPr>
        <w:t xml:space="preserve">un responsable sécurité des SIIV et un interlocuteur officiel pour l'ANSSI (point le plus faible).</w:t>
      </w:r>
    </w:p>
    <w:p>
      <w:pPr>
        <w:pStyle w:val="ListParagraph"/>
        <w:numPr>
          <w:ilvl w:val="0"/>
          <w:numId w:val="3"/>
        </w:numPr>
        <w:spacing w:after="80"/>
      </w:pPr>
      <w:r>
        <w:rPr>
          <w:rFonts w:ascii="Calibri" w:cs="Calibri" w:eastAsia="Calibri" w:hAnsi="Calibri"/>
          <w:b/>
          <w:bCs/>
          <w:sz w:val="22"/>
          <w:szCs w:val="22"/>
        </w:rPr>
        <w:t xml:space="preserve">Mettre en place </w:t>
      </w:r>
      <w:r>
        <w:rPr>
          <w:rFonts w:ascii="Calibri" w:cs="Calibri" w:eastAsia="Calibri" w:hAnsi="Calibri"/>
          <w:sz w:val="22"/>
          <w:szCs w:val="22"/>
        </w:rPr>
        <w:t xml:space="preserve">la détection sur les systèmes critiques avec un prestataire PDIS.</w:t>
      </w:r>
    </w:p>
    <w:p>
      <w:pPr>
        <w:pStyle w:val="ListParagraph"/>
        <w:numPr>
          <w:ilvl w:val="0"/>
          <w:numId w:val="3"/>
        </w:numPr>
        <w:spacing w:after="80"/>
      </w:pPr>
      <w:r>
        <w:rPr>
          <w:rFonts w:ascii="Calibri" w:cs="Calibri" w:eastAsia="Calibri" w:hAnsi="Calibri"/>
          <w:b/>
          <w:bCs/>
          <w:sz w:val="22"/>
          <w:szCs w:val="22"/>
        </w:rPr>
        <w:t xml:space="preserve">Mettre à jour </w:t>
      </w:r>
      <w:r>
        <w:rPr>
          <w:rFonts w:ascii="Calibri" w:cs="Calibri" w:eastAsia="Calibri" w:hAnsi="Calibri"/>
          <w:sz w:val="22"/>
          <w:szCs w:val="22"/>
        </w:rPr>
        <w:t xml:space="preserve">la cartographie des SIIV en intégrant l'entité rachetée.</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2026-10-16T09:25:50.463Z</dcterms:created>
  <dcterms:modified xsi:type="dcterms:W3CDTF">2026-10-16T09:25:50.476Z</dcterms:modified>
</cp:coreProperties>
</file>

<file path=docProps/custom.xml><?xml version="1.0" encoding="utf-8"?>
<Properties xmlns="http://schemas.openxmlformats.org/officeDocument/2006/custom-properties" xmlns:vt="http://schemas.openxmlformats.org/officeDocument/2006/docPropsVTypes"/>
</file>