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A3C6E"/>
          <w:sz w:val="64"/>
          <w:szCs w:val="64"/>
        </w:rPr>
        <w:t xml:space="preserve">CAHIER DES CHARGES</w:t>
      </w:r>
    </w:p>
    <w:p>
      <w:pPr>
        <w:pBdr>
          <w:top w:val="single" w:color="2E75B6" w:sz="12" w:space="8"/>
          <w:bottom w:val="single" w:color="2E75B6" w:sz="12" w:space="8"/>
        </w:pBdr>
        <w:spacing w:after="60" w:before="60"/>
        <w:jc w:val="center"/>
      </w:pPr>
      <w:r>
        <w:rPr>
          <w:rFonts w:ascii="Arial" w:cs="Arial" w:eastAsia="Arial" w:hAnsi="Arial"/>
          <w:b w:val="false"/>
          <w:bCs w:val="false"/>
          <w:color w:val="2E75B6"/>
          <w:sz w:val="32"/>
          <w:szCs w:val="32"/>
        </w:rPr>
        <w:t xml:space="preserve">Projet de Fin d'Études — Master</w:t>
      </w:r>
    </w:p>
    <w:p>
      <w:pPr>
        <w:spacing w:after="0" w:before="200"/>
      </w:pPr>
    </w:p>
    <w:p>
      <w:pPr>
        <w:spacing w:after="60" w:before="0"/>
        <w:jc w:val="center"/>
      </w:pPr>
      <w:r>
        <w:rPr>
          <w:rFonts w:ascii="Arial" w:cs="Arial" w:eastAsia="Arial" w:hAnsi="Arial"/>
          <w:b/>
          <w:bCs/>
          <w:color w:val="1E7145"/>
          <w:sz w:val="56"/>
          <w:szCs w:val="56"/>
        </w:rPr>
        <w:t xml:space="preserve">SmartWealth AI</w:t>
      </w:r>
    </w:p>
    <w:p>
      <w:pPr>
        <w:spacing w:after="300" w:before="0"/>
        <w:jc w:val="center"/>
      </w:pPr>
      <w:r>
        <w:rPr>
          <w:rFonts w:ascii="Arial" w:cs="Arial" w:eastAsia="Arial" w:hAnsi="Arial"/>
          <w:i/>
          <w:iCs/>
          <w:color w:val="555555"/>
          <w:sz w:val="28"/>
          <w:szCs w:val="28"/>
        </w:rPr>
        <w:t xml:space="preserve">Plateforme Intelligente de Gestion de Patrimoine</w:t>
      </w:r>
    </w:p>
    <w:p>
      <w:pPr>
        <w:spacing w:after="80" w:before="400"/>
        <w:jc w:val="center"/>
      </w:pPr>
      <w:r>
        <w:rPr>
          <w:rFonts w:ascii="Arial" w:cs="Arial" w:eastAsia="Arial" w:hAnsi="Arial"/>
          <w:b/>
          <w:bCs/>
          <w:color w:val="333333"/>
          <w:sz w:val="22"/>
          <w:szCs w:val="22"/>
        </w:rPr>
        <w:t xml:space="preserve">Filière :</w:t>
      </w:r>
      <w:r>
        <w:rPr>
          <w:rFonts w:ascii="Arial" w:cs="Arial" w:eastAsia="Arial" w:hAnsi="Arial"/>
          <w:color w:val="333333"/>
          <w:sz w:val="22"/>
          <w:szCs w:val="22"/>
        </w:rPr>
        <w:t xml:space="preserve">  Master en Génie Logiciel / Informatique</w:t>
      </w:r>
    </w:p>
    <w:p>
      <w:pPr>
        <w:spacing w:after="40" w:before="40"/>
        <w:jc w:val="center"/>
      </w:pPr>
      <w:r>
        <w:rPr>
          <w:rFonts w:ascii="Arial" w:cs="Arial" w:eastAsia="Arial" w:hAnsi="Arial"/>
          <w:b/>
          <w:bCs/>
          <w:color w:val="333333"/>
          <w:sz w:val="22"/>
          <w:szCs w:val="22"/>
        </w:rPr>
        <w:t xml:space="preserve">Année Universitaire :</w:t>
      </w:r>
      <w:r>
        <w:rPr>
          <w:rFonts w:ascii="Arial" w:cs="Arial" w:eastAsia="Arial" w:hAnsi="Arial"/>
          <w:color w:val="333333"/>
          <w:sz w:val="22"/>
          <w:szCs w:val="22"/>
        </w:rPr>
        <w:t xml:space="preserve">  2024 – 2025</w:t>
      </w:r>
    </w:p>
    <w:p>
      <w:pPr>
        <w:spacing w:after="40" w:before="40"/>
        <w:jc w:val="center"/>
      </w:pPr>
      <w:r>
        <w:rPr>
          <w:rFonts w:ascii="Arial" w:cs="Arial" w:eastAsia="Arial" w:hAnsi="Arial"/>
          <w:b/>
          <w:bCs/>
          <w:color w:val="333333"/>
          <w:sz w:val="22"/>
          <w:szCs w:val="22"/>
        </w:rPr>
        <w:t xml:space="preserve">Version :</w:t>
      </w:r>
      <w:r>
        <w:rPr>
          <w:rFonts w:ascii="Arial" w:cs="Arial" w:eastAsia="Arial" w:hAnsi="Arial"/>
          <w:color w:val="333333"/>
          <w:sz w:val="22"/>
          <w:szCs w:val="22"/>
        </w:rPr>
        <w:t xml:space="preserve">  2.0 — Édition Enrichie</w:t>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1. Introduction et Contexte du Projet</w:t>
      </w:r>
    </w:p>
    <w:p>
      <w:pPr>
        <w:pStyle w:val="Heading2"/>
        <w:spacing w:after="80" w:before="240"/>
      </w:pPr>
      <w:r>
        <w:rPr>
          <w:rFonts w:ascii="Arial" w:cs="Arial" w:eastAsia="Arial" w:hAnsi="Arial"/>
          <w:b/>
          <w:bCs/>
          <w:color w:val="2E75B6"/>
          <w:sz w:val="26"/>
          <w:szCs w:val="26"/>
        </w:rPr>
        <w:t xml:space="preserve">1.1 Présentation du Projet</w:t>
      </w:r>
    </w:p>
    <w:p>
      <w:pPr>
        <w:spacing w:after="80" w:before="60"/>
      </w:pPr>
      <w:r>
        <w:rPr>
          <w:rFonts w:ascii="Arial" w:cs="Arial" w:eastAsia="Arial" w:hAnsi="Arial"/>
          <w:color w:val="222222"/>
          <w:sz w:val="20"/>
          <w:szCs w:val="20"/>
        </w:rPr>
        <w:t xml:space="preserve">SmartWealth AI est une plateforme de gestion de patrimoine personnelle, conçue comme un projet de fin d'études de Master. Elle combine une architecture microservices de niveau entreprise avec un agent d'intelligence artificielle avancé, permettant aux utilisateurs individuels de gérer leurs portefeuilles d'investissement, suivre leurs transactions, et recevoir des conseils financiers personnalisés générés par un LLM (Large Language Model).</w:t>
      </w:r>
    </w:p>
    <w:p>
      <w:pPr>
        <w:spacing w:after="80" w:before="60"/>
      </w:pPr>
      <w:r>
        <w:rPr>
          <w:rFonts w:ascii="Arial" w:cs="Arial" w:eastAsia="Arial" w:hAnsi="Arial"/>
          <w:color w:val="222222"/>
          <w:sz w:val="20"/>
          <w:szCs w:val="20"/>
        </w:rPr>
        <w:t xml:space="preserve">Ce projet se distingue par l'intégration de patterns d'architecture distribués (microservices, event-driven, SAGA), de technologies modernes (Kafka, Spring Cloud, Angular Signals), et d'un agent IA multi-outils capable de raisonnement multi-étapes — le tout déployé sur Kubernetes.</w:t>
      </w:r>
    </w:p>
    <w:p>
      <w:pPr>
        <w:pStyle w:val="Heading2"/>
        <w:spacing w:after="80" w:before="240"/>
      </w:pPr>
      <w:r>
        <w:rPr>
          <w:rFonts w:ascii="Arial" w:cs="Arial" w:eastAsia="Arial" w:hAnsi="Arial"/>
          <w:b/>
          <w:bCs/>
          <w:color w:val="2E75B6"/>
          <w:sz w:val="26"/>
          <w:szCs w:val="26"/>
        </w:rPr>
        <w:t xml:space="preserve">1.2 Problématique</w:t>
      </w:r>
    </w:p>
    <w:p>
      <w:pPr>
        <w:spacing w:after="80" w:before="60"/>
      </w:pPr>
      <w:r>
        <w:rPr>
          <w:rFonts w:ascii="Arial" w:cs="Arial" w:eastAsia="Arial" w:hAnsi="Arial"/>
          <w:color w:val="222222"/>
          <w:sz w:val="20"/>
          <w:szCs w:val="20"/>
        </w:rPr>
        <w:t xml:space="preserve">Les individus souhaitant gérer leurs investissements font face à plusieurs défis majeurs :</w:t>
      </w:r>
    </w:p>
    <w:p>
      <w:pPr>
        <w:pStyle w:val="ListParagraph"/>
        <w:numPr>
          <w:ilvl w:val="0"/>
          <w:numId w:val="2"/>
        </w:numPr>
        <w:spacing w:after="40" w:before="40"/>
      </w:pPr>
      <w:r>
        <w:rPr>
          <w:rFonts w:ascii="Arial" w:cs="Arial" w:eastAsia="Arial" w:hAnsi="Arial"/>
          <w:b w:val="false"/>
          <w:bCs w:val="false"/>
          <w:color w:val="222222"/>
          <w:sz w:val="20"/>
          <w:szCs w:val="20"/>
        </w:rPr>
        <w:t xml:space="preserve">Absence d'une vue unifiée de leurs actifs (actions, crypto, épargne) sur une seule plateforme.</w:t>
      </w:r>
    </w:p>
    <w:p>
      <w:pPr>
        <w:pStyle w:val="ListParagraph"/>
        <w:numPr>
          <w:ilvl w:val="0"/>
          <w:numId w:val="2"/>
        </w:numPr>
        <w:spacing w:after="40" w:before="40"/>
      </w:pPr>
      <w:r>
        <w:rPr>
          <w:rFonts w:ascii="Arial" w:cs="Arial" w:eastAsia="Arial" w:hAnsi="Arial"/>
          <w:b w:val="false"/>
          <w:bCs w:val="false"/>
          <w:color w:val="222222"/>
          <w:sz w:val="20"/>
          <w:szCs w:val="20"/>
        </w:rPr>
        <w:t xml:space="preserve">Manque de conseils financiers personnalisés accessibles sans passer par un conseiller humain coûteux.</w:t>
      </w:r>
    </w:p>
    <w:p>
      <w:pPr>
        <w:pStyle w:val="ListParagraph"/>
        <w:numPr>
          <w:ilvl w:val="0"/>
          <w:numId w:val="2"/>
        </w:numPr>
        <w:spacing w:after="40" w:before="40"/>
      </w:pPr>
      <w:r>
        <w:rPr>
          <w:rFonts w:ascii="Arial" w:cs="Arial" w:eastAsia="Arial" w:hAnsi="Arial"/>
          <w:b w:val="false"/>
          <w:bCs w:val="false"/>
          <w:color w:val="222222"/>
          <w:sz w:val="20"/>
          <w:szCs w:val="20"/>
        </w:rPr>
        <w:t xml:space="preserve">Difficulté à analyser automatiquement leurs habitudes de dépenses et à détecter des anomalies.</w:t>
      </w:r>
    </w:p>
    <w:p>
      <w:pPr>
        <w:pStyle w:val="ListParagraph"/>
        <w:numPr>
          <w:ilvl w:val="0"/>
          <w:numId w:val="2"/>
        </w:numPr>
        <w:spacing w:after="40" w:before="40"/>
      </w:pPr>
      <w:r>
        <w:rPr>
          <w:rFonts w:ascii="Arial" w:cs="Arial" w:eastAsia="Arial" w:hAnsi="Arial"/>
          <w:b w:val="false"/>
          <w:bCs w:val="false"/>
          <w:color w:val="222222"/>
          <w:sz w:val="20"/>
          <w:szCs w:val="20"/>
        </w:rPr>
        <w:t xml:space="preserve">Pas d'alertes intelligentes en cas de volatilité anormale ou de risque de concentration du portefeuille.</w:t>
      </w:r>
    </w:p>
    <w:p>
      <w:pPr>
        <w:pStyle w:val="Heading2"/>
        <w:spacing w:after="80" w:before="240"/>
      </w:pPr>
      <w:r>
        <w:rPr>
          <w:rFonts w:ascii="Arial" w:cs="Arial" w:eastAsia="Arial" w:hAnsi="Arial"/>
          <w:b/>
          <w:bCs/>
          <w:color w:val="2E75B6"/>
          <w:sz w:val="26"/>
          <w:szCs w:val="26"/>
        </w:rPr>
        <w:t xml:space="preserve">1.3 Solution Proposée</w:t>
      </w:r>
    </w:p>
    <w:p>
      <w:pPr>
        <w:spacing w:after="80" w:before="60"/>
      </w:pPr>
      <w:r>
        <w:rPr>
          <w:rFonts w:ascii="Arial" w:cs="Arial" w:eastAsia="Arial" w:hAnsi="Arial"/>
          <w:color w:val="222222"/>
          <w:sz w:val="20"/>
          <w:szCs w:val="20"/>
        </w:rPr>
        <w:t xml:space="preserve">SmartWealth AI répond à ces problèmes avec :</w:t>
      </w:r>
    </w:p>
    <w:p>
      <w:pPr>
        <w:pStyle w:val="ListParagraph"/>
        <w:numPr>
          <w:ilvl w:val="0"/>
          <w:numId w:val="2"/>
        </w:numPr>
        <w:spacing w:after="40" w:before="40"/>
      </w:pPr>
      <w:r>
        <w:rPr>
          <w:rFonts w:ascii="Arial" w:cs="Arial" w:eastAsia="Arial" w:hAnsi="Arial"/>
          <w:b w:val="false"/>
          <w:bCs w:val="false"/>
          <w:color w:val="222222"/>
          <w:sz w:val="20"/>
          <w:szCs w:val="20"/>
        </w:rPr>
        <w:t xml:space="preserve">Une architecture microservices avec 5 services indépendants communiquant via REST (OpenFeign) et Kafka.</w:t>
      </w:r>
    </w:p>
    <w:p>
      <w:pPr>
        <w:pStyle w:val="ListParagraph"/>
        <w:numPr>
          <w:ilvl w:val="0"/>
          <w:numId w:val="2"/>
        </w:numPr>
        <w:spacing w:after="40" w:before="40"/>
      </w:pPr>
      <w:r>
        <w:rPr>
          <w:rFonts w:ascii="Arial" w:cs="Arial" w:eastAsia="Arial" w:hAnsi="Arial"/>
          <w:b w:val="false"/>
          <w:bCs w:val="false"/>
          <w:color w:val="222222"/>
          <w:sz w:val="20"/>
          <w:szCs w:val="20"/>
        </w:rPr>
        <w:t xml:space="preserve">Un agent IA avancé (LangChain4j) capable de raisonnement multi-étapes, mémoire conversationnelle, et appel d'outils.</w:t>
      </w:r>
    </w:p>
    <w:p>
      <w:pPr>
        <w:pStyle w:val="ListParagraph"/>
        <w:numPr>
          <w:ilvl w:val="0"/>
          <w:numId w:val="2"/>
        </w:numPr>
        <w:spacing w:after="40" w:before="40"/>
      </w:pPr>
      <w:r>
        <w:rPr>
          <w:rFonts w:ascii="Arial" w:cs="Arial" w:eastAsia="Arial" w:hAnsi="Arial"/>
          <w:b w:val="false"/>
          <w:bCs w:val="false"/>
          <w:color w:val="222222"/>
          <w:sz w:val="20"/>
          <w:szCs w:val="20"/>
        </w:rPr>
        <w:t xml:space="preserve">Un tableau de bord temps réel avec Angular 17 Signals pour des mises à jour instantanées sans polling.</w:t>
      </w:r>
    </w:p>
    <w:p>
      <w:pPr>
        <w:pStyle w:val="ListParagraph"/>
        <w:numPr>
          <w:ilvl w:val="0"/>
          <w:numId w:val="2"/>
        </w:numPr>
        <w:spacing w:after="40" w:before="40"/>
      </w:pPr>
      <w:r>
        <w:rPr>
          <w:rFonts w:ascii="Arial" w:cs="Arial" w:eastAsia="Arial" w:hAnsi="Arial"/>
          <w:b w:val="false"/>
          <w:bCs w:val="false"/>
          <w:color w:val="222222"/>
          <w:sz w:val="20"/>
          <w:szCs w:val="20"/>
        </w:rPr>
        <w:t xml:space="preserve">Un système de notifications intelligent basé sur des événements Kafka avec détection d'anomalies.</w:t>
      </w:r>
    </w:p>
    <w:p>
      <w:pPr>
        <w:pStyle w:val="ListParagraph"/>
        <w:numPr>
          <w:ilvl w:val="0"/>
          <w:numId w:val="2"/>
        </w:numPr>
        <w:spacing w:after="40" w:before="40"/>
      </w:pPr>
      <w:r>
        <w:rPr>
          <w:rFonts w:ascii="Arial" w:cs="Arial" w:eastAsia="Arial" w:hAnsi="Arial"/>
          <w:b w:val="false"/>
          <w:bCs w:val="false"/>
          <w:color w:val="222222"/>
          <w:sz w:val="20"/>
          <w:szCs w:val="20"/>
        </w:rPr>
        <w:t xml:space="preserve">Un déploiement containerisé avec Docker + Kubernetes prêt pour la production.</w:t>
      </w:r>
    </w:p>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2. Objectifs du Projet</w:t>
      </w:r>
    </w:p>
    <w:p>
      <w:pPr>
        <w:pStyle w:val="Heading2"/>
        <w:spacing w:after="80" w:before="240"/>
      </w:pPr>
      <w:r>
        <w:rPr>
          <w:rFonts w:ascii="Arial" w:cs="Arial" w:eastAsia="Arial" w:hAnsi="Arial"/>
          <w:b/>
          <w:bCs/>
          <w:color w:val="2E75B6"/>
          <w:sz w:val="26"/>
          <w:szCs w:val="26"/>
        </w:rPr>
        <w:t xml:space="preserve">2.1 Objectifs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gridCol w:w="2708"/>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Objectif</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Indicateur de Succès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Architecture Microservices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 services indépendants avec leurs propres bases de données (Database-per-Service pattern)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Chaque service démarre et fonctionne indépendamment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Communication hybride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REST synchrone via OpenFeign + asynchrone via Apache Kafka</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Les événements sont consommés avec &lt;100ms de latence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Agent IA Avancé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LangChain4j avec mémoire, outils multiples, et RAG financier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L'agent produit des conseils contextuels en &lt;5s</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Déploiement K8s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Containerisation Docker + orchestration Kubernetes avec Helm</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docker-compose up démarre toute la stack en 1 commande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Tests automatisés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Tests unitaires (JUnit5) + intégration (Testcontainers)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Couverture minimale 70% sur la couche service</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2.2 Objectifs Académiques</w:t>
      </w:r>
    </w:p>
    <w:p>
      <w:pPr>
        <w:spacing w:after="80" w:before="60"/>
      </w:pPr>
      <w:r>
        <w:rPr>
          <w:rFonts w:ascii="Arial" w:cs="Arial" w:eastAsia="Arial" w:hAnsi="Arial"/>
          <w:color w:val="222222"/>
          <w:sz w:val="20"/>
          <w:szCs w:val="20"/>
        </w:rPr>
        <w:t xml:space="preserve">Ce projet démontre la maîtrise des compétences suivantes pour la soutenance de Master :</w:t>
      </w:r>
    </w:p>
    <w:p>
      <w:pPr>
        <w:pStyle w:val="ListParagraph"/>
        <w:numPr>
          <w:ilvl w:val="0"/>
          <w:numId w:val="2"/>
        </w:numPr>
        <w:spacing w:after="40" w:before="40"/>
      </w:pPr>
      <w:r>
        <w:rPr>
          <w:rFonts w:ascii="Arial" w:cs="Arial" w:eastAsia="Arial" w:hAnsi="Arial"/>
          <w:b w:val="false"/>
          <w:bCs w:val="false"/>
          <w:color w:val="222222"/>
          <w:sz w:val="20"/>
          <w:szCs w:val="20"/>
        </w:rPr>
        <w:t xml:space="preserve">Design Patterns : Strategy, Observer, Builder, Factory, SAGA, Repository, DTO.</w:t>
      </w:r>
    </w:p>
    <w:p>
      <w:pPr>
        <w:pStyle w:val="ListParagraph"/>
        <w:numPr>
          <w:ilvl w:val="0"/>
          <w:numId w:val="2"/>
        </w:numPr>
        <w:spacing w:after="40" w:before="40"/>
      </w:pPr>
      <w:r>
        <w:rPr>
          <w:rFonts w:ascii="Arial" w:cs="Arial" w:eastAsia="Arial" w:hAnsi="Arial"/>
          <w:b w:val="false"/>
          <w:bCs w:val="false"/>
          <w:color w:val="222222"/>
          <w:sz w:val="20"/>
          <w:szCs w:val="20"/>
        </w:rPr>
        <w:t xml:space="preserve">Architecture Distribuée : microservices, event-driven, service discovery, API gateway.</w:t>
      </w:r>
    </w:p>
    <w:p>
      <w:pPr>
        <w:pStyle w:val="ListParagraph"/>
        <w:numPr>
          <w:ilvl w:val="0"/>
          <w:numId w:val="2"/>
        </w:numPr>
        <w:spacing w:after="40" w:before="40"/>
      </w:pPr>
      <w:r>
        <w:rPr>
          <w:rFonts w:ascii="Arial" w:cs="Arial" w:eastAsia="Arial" w:hAnsi="Arial"/>
          <w:b w:val="false"/>
          <w:bCs w:val="false"/>
          <w:color w:val="222222"/>
          <w:sz w:val="20"/>
          <w:szCs w:val="20"/>
        </w:rPr>
        <w:t xml:space="preserve">Intelligence Artificielle Applicative : agents autonomes, RAG, prompt engineering, mémoire LLM.</w:t>
      </w:r>
    </w:p>
    <w:p>
      <w:pPr>
        <w:pStyle w:val="ListParagraph"/>
        <w:numPr>
          <w:ilvl w:val="0"/>
          <w:numId w:val="2"/>
        </w:numPr>
        <w:spacing w:after="40" w:before="40"/>
      </w:pPr>
      <w:r>
        <w:rPr>
          <w:rFonts w:ascii="Arial" w:cs="Arial" w:eastAsia="Arial" w:hAnsi="Arial"/>
          <w:b w:val="false"/>
          <w:bCs w:val="false"/>
          <w:color w:val="222222"/>
          <w:sz w:val="20"/>
          <w:szCs w:val="20"/>
        </w:rPr>
        <w:t xml:space="preserve">DevOps : Docker multi-stage, Docker Compose, Kubernetes (Deployments, Services, Ingress, Secrets).</w:t>
      </w:r>
    </w:p>
    <w:p>
      <w:pPr>
        <w:pStyle w:val="ListParagraph"/>
        <w:numPr>
          <w:ilvl w:val="0"/>
          <w:numId w:val="2"/>
        </w:numPr>
        <w:spacing w:after="40" w:before="40"/>
      </w:pPr>
      <w:r>
        <w:rPr>
          <w:rFonts w:ascii="Arial" w:cs="Arial" w:eastAsia="Arial" w:hAnsi="Arial"/>
          <w:b w:val="false"/>
          <w:bCs w:val="false"/>
          <w:color w:val="222222"/>
          <w:sz w:val="20"/>
          <w:szCs w:val="20"/>
        </w:rPr>
        <w:t xml:space="preserve">Frontend Moderne : Angular 17 Signals, NgRx SignalStore, RxJS, gestion d'état réactive.</w:t>
      </w:r>
    </w:p>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3. Périmètre Fonctionnel</w:t>
      </w:r>
    </w:p>
    <w:p>
      <w:pPr>
        <w:pStyle w:val="Heading2"/>
        <w:spacing w:after="80" w:before="240"/>
      </w:pPr>
      <w:r>
        <w:rPr>
          <w:rFonts w:ascii="Arial" w:cs="Arial" w:eastAsia="Arial" w:hAnsi="Arial"/>
          <w:b/>
          <w:bCs/>
          <w:color w:val="2E75B6"/>
          <w:sz w:val="26"/>
          <w:szCs w:val="26"/>
        </w:rPr>
        <w:t xml:space="preserve">3.1 Fonctionnalités Principales</w:t>
      </w:r>
    </w:p>
    <w:p>
      <w:pPr>
        <w:pStyle w:val="Heading3"/>
        <w:spacing w:after="60" w:before="160"/>
      </w:pPr>
      <w:r>
        <w:rPr>
          <w:rFonts w:ascii="Arial" w:cs="Arial" w:eastAsia="Arial" w:hAnsi="Arial"/>
          <w:b/>
          <w:bCs/>
          <w:color w:val="444444"/>
          <w:sz w:val="22"/>
          <w:szCs w:val="22"/>
        </w:rPr>
        <w:t xml:space="preserve">F1 — Gestion des Utilisateurs &amp;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513"/>
        <w:gridCol w:w="1805"/>
        <w:gridCol w:w="1986"/>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Fonctionnalité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Inscription / Connexion avec JWT (access + refresh token)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Moyenne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F1.2</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Profil utilisateur avec statut KYC (Know Your Customer)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Faible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Contrôle d'accès basé sur les rôles (USER /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Faible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F1.4</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Révocation de token et gestion de session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SHOULD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Moyenne</w:t>
            </w:r>
          </w:p>
        </w:tc>
      </w:tr>
    </w:tbl>
    <w:p>
      <w:pPr>
        <w:spacing w:after="60" w:before="0"/>
      </w:pPr>
      <w:r>
        <w:t xml:space="preserve"/>
      </w:r>
    </w:p>
    <w:p>
      <w:pPr>
        <w:pStyle w:val="Heading3"/>
        <w:spacing w:after="60" w:before="160"/>
      </w:pPr>
      <w:r>
        <w:rPr>
          <w:rFonts w:ascii="Arial" w:cs="Arial" w:eastAsia="Arial" w:hAnsi="Arial"/>
          <w:b/>
          <w:bCs/>
          <w:color w:val="444444"/>
          <w:sz w:val="22"/>
          <w:szCs w:val="22"/>
        </w:rPr>
        <w:t xml:space="preserve">F2 — Gestion du Portefeuille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513"/>
        <w:gridCol w:w="1805"/>
        <w:gridCol w:w="1986"/>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Fonctionnalité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Création de wallets par type (Actions, Épargne, Crypto)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Faible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F2.2</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Ajout / suppression d'actifs avec prix d'achat moyen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Faible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Calcul de la valorisation en temps réel via prix de marché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Moyenne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F2.4</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Score de risque du portefeuille (concentration, volatilité)</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SHOULD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Moyenne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Alertes automatiques : surconcentration (&gt;50% sur un actif)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SHOULD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Faible</w:t>
            </w:r>
          </w:p>
        </w:tc>
      </w:tr>
    </w:tbl>
    <w:p>
      <w:pPr>
        <w:spacing w:after="60" w:before="0"/>
      </w:pPr>
      <w:r>
        <w:t xml:space="preserve"/>
      </w:r>
    </w:p>
    <w:p>
      <w:pPr>
        <w:pStyle w:val="Heading3"/>
        <w:spacing w:after="60" w:before="160"/>
      </w:pPr>
      <w:r>
        <w:rPr>
          <w:rFonts w:ascii="Arial" w:cs="Arial" w:eastAsia="Arial" w:hAnsi="Arial"/>
          <w:b/>
          <w:bCs/>
          <w:color w:val="444444"/>
          <w:sz w:val="22"/>
          <w:szCs w:val="22"/>
        </w:rPr>
        <w:t xml:space="preserve">F3 — Traitement des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513"/>
        <w:gridCol w:w="1805"/>
        <w:gridCol w:w="1986"/>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Fonctionnalité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Dépôt / retrait entre wallets avec statut PENDING → 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Moyenne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F3.2</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Achat / vente d'actifs avec mise à jour asynchrone du portefeuille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Élevée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Historique complet filtrable (type, date, statut, montant)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Faible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F3.4</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Dead Letter Topic pour les messages Kafka en échec</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Moyenne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Détection d'anomalies : transaction inhabituelle (montant &gt; 3σ)</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SHOULD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Moyenne</w:t>
            </w:r>
          </w:p>
        </w:tc>
      </w:tr>
    </w:tbl>
    <w:p>
      <w:pPr>
        <w:spacing w:after="60" w:before="0"/>
      </w:pPr>
      <w:r>
        <w:t xml:space="preserve"/>
      </w:r>
    </w:p>
    <w:p>
      <w:pPr>
        <w:pStyle w:val="Heading3"/>
        <w:spacing w:after="60" w:before="160"/>
      </w:pPr>
      <w:r>
        <w:rPr>
          <w:rFonts w:ascii="Arial" w:cs="Arial" w:eastAsia="Arial" w:hAnsi="Arial"/>
          <w:b/>
          <w:bCs/>
          <w:color w:val="444444"/>
          <w:sz w:val="22"/>
          <w:szCs w:val="22"/>
        </w:rPr>
        <w:t xml:space="preserve">F4 — Agent IA Financier Avancé ⭐ (Différenciateur Clé)</w:t>
      </w:r>
    </w:p>
    <w:p>
      <w:pPr>
        <w:spacing w:after="80" w:before="60"/>
      </w:pPr>
      <w:r>
        <w:rPr>
          <w:rFonts w:ascii="Arial" w:cs="Arial" w:eastAsia="Arial" w:hAnsi="Arial"/>
          <w:color w:val="222222"/>
          <w:sz w:val="20"/>
          <w:szCs w:val="20"/>
        </w:rPr>
        <w:t xml:space="preserve">C'est le cœur différenciateur du projet. L'agent IA va bien au-delà d'un simple chatbot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gridCol w:w="2708"/>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Capacité IA</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Technique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 Soutenance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Raisonnement multi-étapes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L'agent appelle séquentiellement : outil portefeuille → historique transactions → calcul risque → génération conseil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Très fort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Mémoire conversationnelle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L'agent se souvient du contexte des échanges précédents dans la session (LangChain4j Memory)</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 Fort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RAG Financier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Base de connaissances de règles financières (diversification, épargne, risque) indexée et interrogée par l'agent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Très fort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Rapport de santé automatique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Génération hebdomadaire d'un rapport PDF : score de risque, alertes, recommandations prioritaires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 Fort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Détection de patterns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L'agent identifie les habitudes de dépenses anormales sur 30 jours et génère des alertes proactives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Fort</w:t>
            </w:r>
          </w:p>
        </w:tc>
      </w:tr>
    </w:tbl>
    <w:p>
      <w:pPr>
        <w:spacing w:after="60" w:before="0"/>
      </w:pPr>
      <w:r>
        <w:t xml:space="preserve"/>
      </w:r>
    </w:p>
    <w:p>
      <w:pPr>
        <w:pStyle w:val="Heading3"/>
        <w:spacing w:after="60" w:before="160"/>
      </w:pPr>
      <w:r>
        <w:rPr>
          <w:rFonts w:ascii="Arial" w:cs="Arial" w:eastAsia="Arial" w:hAnsi="Arial"/>
          <w:b/>
          <w:bCs/>
          <w:color w:val="444444"/>
          <w:sz w:val="22"/>
          <w:szCs w:val="22"/>
        </w:rPr>
        <w:t xml:space="preserve">F5 — Tableau de Bord Temps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513"/>
        <w:gridCol w:w="1805"/>
        <w:gridCol w:w="1986"/>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Fonctionnalité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Complexité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Valorisation totale du portefeuille (Angular Signals, mise à jour 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Moyenne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F5.2</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Graphiques interactifs : performance, répartition, évolution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Moyenne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Fil de notifications en temps réel (SSE ou WebSocket via Kafka)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Élevée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F5.4</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Interface de chat avec l'agent IA (streaming de réponse)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MUST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Moyenne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Dashboard admin : monitoring des services, queues Kafka, santé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COULD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Moyenne</w:t>
            </w:r>
          </w:p>
        </w:tc>
      </w:tr>
    </w:tbl>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4. Architecture Technique</w:t>
      </w:r>
    </w:p>
    <w:p>
      <w:pPr>
        <w:pStyle w:val="Heading2"/>
        <w:spacing w:after="80" w:before="240"/>
      </w:pPr>
      <w:r>
        <w:rPr>
          <w:rFonts w:ascii="Arial" w:cs="Arial" w:eastAsia="Arial" w:hAnsi="Arial"/>
          <w:b/>
          <w:bCs/>
          <w:color w:val="2E75B6"/>
          <w:sz w:val="26"/>
          <w:szCs w:val="26"/>
        </w:rPr>
        <w:t xml:space="preserve">4.1 Vue d'Ensemble des Microservices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791"/>
        <w:gridCol w:w="1625"/>
        <w:gridCol w:w="1625"/>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Responsabilité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DB</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Authentification, JWT, profils, RBAC, KYC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8081</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Portfolio Service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Wallets, actifs, valorisation, score de risque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PostgreSQL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8082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Transaction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Dépôts, retraits, achats/ventes, détection anomalies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8083</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Notification Service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Email, push, alertes événementielles (stateless)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8084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AI Advisor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Agent LLM, RAG, mémoire, rapports automatiques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Vector 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8085</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4.2 Infrastructure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708"/>
        <w:gridCol w:w="4062"/>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Composant</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Technologie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Rôle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API Gateway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Spring Cloud Gateway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Point d'entrée unique, routage, rate limiting</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Service Discovery</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Eureka Server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Registre et découverte des services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Config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Spring Cloud 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Configuration centralisée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Message Broker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Apache Kafka</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Communication asynchrone event-driven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Container Runtime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Docker + Docker Compose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Packaging et stack locale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Orchestration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Kubernetes + Helm</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Déploiement production-ready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Angular 17+ Signals + NgRx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Interface réactive temps réel</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4.3 Patterns de Communication</w:t>
      </w:r>
    </w:p>
    <w:p>
      <w:pPr>
        <w:pStyle w:val="Heading3"/>
        <w:spacing w:after="60" w:before="160"/>
      </w:pPr>
      <w:r>
        <w:rPr>
          <w:rFonts w:ascii="Arial" w:cs="Arial" w:eastAsia="Arial" w:hAnsi="Arial"/>
          <w:b/>
          <w:bCs/>
          <w:color w:val="444444"/>
          <w:sz w:val="22"/>
          <w:szCs w:val="22"/>
        </w:rPr>
        <w:t xml:space="preserve">Synchrone (REST + OpenFeign)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Appelant</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Appelé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Cas d'usage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AI Advisor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Portfolio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Récupérer les données du portefeuille pour analyse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AI Advisor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Transaction Service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Récupérer l'historique de dépenses pour les conseils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Portfolio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Valider l'existence de l'utilisateur avant création wallet</w:t>
            </w:r>
          </w:p>
        </w:tc>
      </w:tr>
    </w:tbl>
    <w:p>
      <w:pPr>
        <w:spacing w:after="60" w:before="0"/>
      </w:pPr>
      <w:r>
        <w:t xml:space="preserve"/>
      </w:r>
    </w:p>
    <w:p>
      <w:pPr>
        <w:pStyle w:val="Heading3"/>
        <w:spacing w:after="60" w:before="160"/>
      </w:pPr>
      <w:r>
        <w:rPr>
          <w:rFonts w:ascii="Arial" w:cs="Arial" w:eastAsia="Arial" w:hAnsi="Arial"/>
          <w:b/>
          <w:bCs/>
          <w:color w:val="444444"/>
          <w:sz w:val="22"/>
          <w:szCs w:val="22"/>
        </w:rPr>
        <w:t xml:space="preserve">Asynchrone (Apache Kafka)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986"/>
        <w:gridCol w:w="2527"/>
        <w:gridCol w:w="1986"/>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Topic Kafka</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Producteur</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Consommateurs</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Exemple d'événement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Portfolio, Notification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USER_REGISTERED</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transaction-events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Transaction Service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Portfolio, Notification, AI</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TRANSACTION_COMPLETED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portfolio-events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Portfolio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Notification, AI Advisor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PORTFOLIO_UPDATED</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alert-events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AI Advisor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Notification Service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ANOMALY_DETECTED</w:t>
            </w:r>
          </w:p>
        </w:tc>
      </w:tr>
    </w:tbl>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5. Agent IA — Architecture Détaillée</w:t>
      </w:r>
    </w:p>
    <w:p>
      <w:pPr>
        <w:pStyle w:val="Heading2"/>
        <w:spacing w:after="80" w:before="240"/>
      </w:pPr>
      <w:r>
        <w:rPr>
          <w:rFonts w:ascii="Arial" w:cs="Arial" w:eastAsia="Arial" w:hAnsi="Arial"/>
          <w:b/>
          <w:bCs/>
          <w:color w:val="2E75B6"/>
          <w:sz w:val="26"/>
          <w:szCs w:val="26"/>
        </w:rPr>
        <w:t xml:space="preserve">5.1 Fonctionnement de l'Agent</w:t>
      </w:r>
    </w:p>
    <w:p>
      <w:pPr>
        <w:spacing w:after="80" w:before="60"/>
      </w:pPr>
      <w:r>
        <w:rPr>
          <w:rFonts w:ascii="Arial" w:cs="Arial" w:eastAsia="Arial" w:hAnsi="Arial"/>
          <w:color w:val="222222"/>
          <w:sz w:val="20"/>
          <w:szCs w:val="20"/>
        </w:rPr>
        <w:t xml:space="preserve">L'agent IA est le composant le plus innovant du projet. Contrairement à un chatbot simple qui envoie une question à un LLM et retourne la réponse, l'agent de SmartWealth AI est capable de planifier, d'utiliser des outils, et de raisonner en plusieurs étapes.</w:t>
      </w:r>
    </w:p>
    <w:p>
      <w:pPr>
        <w:pStyle w:val="Heading3"/>
        <w:spacing w:after="60" w:before="160"/>
      </w:pPr>
      <w:r>
        <w:rPr>
          <w:rFonts w:ascii="Arial" w:cs="Arial" w:eastAsia="Arial" w:hAnsi="Arial"/>
          <w:b/>
          <w:bCs/>
          <w:color w:val="444444"/>
          <w:sz w:val="22"/>
          <w:szCs w:val="22"/>
        </w:rPr>
        <w:t xml:space="preserve">Exemple de raisonnement multi-étapes :</w:t>
      </w:r>
    </w:p>
    <w:p>
      <w:pPr>
        <w:spacing w:after="80" w:before="60"/>
      </w:pPr>
      <w:r>
        <w:rPr>
          <w:rFonts w:ascii="Arial" w:cs="Arial" w:eastAsia="Arial" w:hAnsi="Arial"/>
          <w:color w:val="222222"/>
          <w:sz w:val="20"/>
          <w:szCs w:val="20"/>
        </w:rPr>
        <w:t xml:space="preserve">Requête utilisateur : "Mon portefeuille est-il bien diversifié ?"</w:t>
      </w:r>
    </w:p>
    <w:p>
      <w:pPr>
        <w:pStyle w:val="ListParagraph"/>
        <w:numPr>
          <w:ilvl w:val="0"/>
          <w:numId w:val="2"/>
        </w:numPr>
        <w:spacing w:after="40" w:before="40"/>
      </w:pPr>
      <w:r>
        <w:rPr>
          <w:rFonts w:ascii="Arial" w:cs="Arial" w:eastAsia="Arial" w:hAnsi="Arial"/>
          <w:b w:val="false"/>
          <w:bCs w:val="false"/>
          <w:color w:val="222222"/>
          <w:sz w:val="20"/>
          <w:szCs w:val="20"/>
        </w:rPr>
        <w:t xml:space="preserve">Étape 1 → L'agent appelle l'outil get_portfolio() pour récupérer la composition actuelle.</w:t>
      </w:r>
    </w:p>
    <w:p>
      <w:pPr>
        <w:pStyle w:val="ListParagraph"/>
        <w:numPr>
          <w:ilvl w:val="0"/>
          <w:numId w:val="2"/>
        </w:numPr>
        <w:spacing w:after="40" w:before="40"/>
      </w:pPr>
      <w:r>
        <w:rPr>
          <w:rFonts w:ascii="Arial" w:cs="Arial" w:eastAsia="Arial" w:hAnsi="Arial"/>
          <w:b w:val="false"/>
          <w:bCs w:val="false"/>
          <w:color w:val="222222"/>
          <w:sz w:val="20"/>
          <w:szCs w:val="20"/>
        </w:rPr>
        <w:t xml:space="preserve">Étape 2 → L'agent appelle l'outil get_transaction_history(30) pour analyser les dépenses récentes.</w:t>
      </w:r>
    </w:p>
    <w:p>
      <w:pPr>
        <w:pStyle w:val="ListParagraph"/>
        <w:numPr>
          <w:ilvl w:val="0"/>
          <w:numId w:val="2"/>
        </w:numPr>
        <w:spacing w:after="40" w:before="40"/>
      </w:pPr>
      <w:r>
        <w:rPr>
          <w:rFonts w:ascii="Arial" w:cs="Arial" w:eastAsia="Arial" w:hAnsi="Arial"/>
          <w:b w:val="false"/>
          <w:bCs w:val="false"/>
          <w:color w:val="222222"/>
          <w:sz w:val="20"/>
          <w:szCs w:val="20"/>
        </w:rPr>
        <w:t xml:space="preserve">Étape 3 → L'agent appelle l'outil calculate_risk_score() pour calculer la concentration par actif.</w:t>
      </w:r>
    </w:p>
    <w:p>
      <w:pPr>
        <w:pStyle w:val="ListParagraph"/>
        <w:numPr>
          <w:ilvl w:val="0"/>
          <w:numId w:val="2"/>
        </w:numPr>
        <w:spacing w:after="40" w:before="40"/>
      </w:pPr>
      <w:r>
        <w:rPr>
          <w:rFonts w:ascii="Arial" w:cs="Arial" w:eastAsia="Arial" w:hAnsi="Arial"/>
          <w:b w:val="false"/>
          <w:bCs w:val="false"/>
          <w:color w:val="222222"/>
          <w:sz w:val="20"/>
          <w:szCs w:val="20"/>
        </w:rPr>
        <w:t xml:space="preserve">Étape 4 → L'agent interroge la base RAG pour les règles de diversification recommandées.</w:t>
      </w:r>
    </w:p>
    <w:p>
      <w:pPr>
        <w:pStyle w:val="ListParagraph"/>
        <w:numPr>
          <w:ilvl w:val="0"/>
          <w:numId w:val="2"/>
        </w:numPr>
        <w:spacing w:after="40" w:before="40"/>
      </w:pPr>
      <w:r>
        <w:rPr>
          <w:rFonts w:ascii="Arial" w:cs="Arial" w:eastAsia="Arial" w:hAnsi="Arial"/>
          <w:b w:val="false"/>
          <w:bCs w:val="false"/>
          <w:color w:val="222222"/>
          <w:sz w:val="20"/>
          <w:szCs w:val="20"/>
        </w:rPr>
        <w:t xml:space="preserve">Étape 5 → L'agent synthétise toutes ces données et génère un conseil personnalisé structuré.</w:t>
      </w:r>
    </w:p>
    <w:p>
      <w:pPr>
        <w:spacing w:after="60" w:before="0"/>
      </w:pPr>
      <w:r>
        <w:t xml:space="preserve"/>
      </w:r>
    </w:p>
    <w:p>
      <w:pPr>
        <w:pStyle w:val="Heading2"/>
        <w:spacing w:after="80" w:before="240"/>
      </w:pPr>
      <w:r>
        <w:rPr>
          <w:rFonts w:ascii="Arial" w:cs="Arial" w:eastAsia="Arial" w:hAnsi="Arial"/>
          <w:b/>
          <w:bCs/>
          <w:color w:val="2E75B6"/>
          <w:sz w:val="26"/>
          <w:szCs w:val="26"/>
        </w:rPr>
        <w:t xml:space="preserve">5.2 Outils Disponibles pour l'Agent (LangChain4j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062"/>
        <w:gridCol w:w="2257"/>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Outil</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 Appelé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get_portfolio()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Récupère la composition complète du portefeuille de l'utilisateur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Portfolio Service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get_transaction_history(days)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Historique des N derniers jours avec stats agrégées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Transaction 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calculate_risk_score()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Calcule le score de risque : concentration, volatilité, Sharpe ratio simplifié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Portfolio Service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detect_anomalies()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Identifie les transactions dont le montant dépasse 3 écarts-types de la moyenne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Transaction 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search_financial_knowledge(query)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Interroge la base RAG avec les règles financières indexées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Vector Store Local</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generate_health_report()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Produit un rapport de santé financière complet en JSON structuré</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Interne à l'agent</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5.3 Base de Connaissances RAG</w:t>
      </w:r>
    </w:p>
    <w:p>
      <w:pPr>
        <w:spacing w:after="80" w:before="60"/>
      </w:pPr>
      <w:r>
        <w:rPr>
          <w:rFonts w:ascii="Arial" w:cs="Arial" w:eastAsia="Arial" w:hAnsi="Arial"/>
          <w:color w:val="222222"/>
          <w:sz w:val="20"/>
          <w:szCs w:val="20"/>
        </w:rPr>
        <w:t xml:space="preserve">La base RAG (Retrieval-Augmented Generation) est une collection de documents financiers indexés en vecteurs, qui permet à l'agent d'appuyer ses conseils sur des règles établies plutôt que de les inventer :</w:t>
      </w:r>
    </w:p>
    <w:p>
      <w:pPr>
        <w:pStyle w:val="ListParagraph"/>
        <w:numPr>
          <w:ilvl w:val="0"/>
          <w:numId w:val="2"/>
        </w:numPr>
        <w:spacing w:after="40" w:before="40"/>
      </w:pPr>
      <w:r>
        <w:rPr>
          <w:rFonts w:ascii="Arial" w:cs="Arial" w:eastAsia="Arial" w:hAnsi="Arial"/>
          <w:b w:val="false"/>
          <w:bCs w:val="false"/>
          <w:color w:val="222222"/>
          <w:sz w:val="20"/>
          <w:szCs w:val="20"/>
        </w:rPr>
        <w:t xml:space="preserve">Règles de diversification (règle des 5%, concentration sectorielle).</w:t>
      </w:r>
    </w:p>
    <w:p>
      <w:pPr>
        <w:pStyle w:val="ListParagraph"/>
        <w:numPr>
          <w:ilvl w:val="0"/>
          <w:numId w:val="2"/>
        </w:numPr>
        <w:spacing w:after="40" w:before="40"/>
      </w:pPr>
      <w:r>
        <w:rPr>
          <w:rFonts w:ascii="Arial" w:cs="Arial" w:eastAsia="Arial" w:hAnsi="Arial"/>
          <w:b w:val="false"/>
          <w:bCs w:val="false"/>
          <w:color w:val="222222"/>
          <w:sz w:val="20"/>
          <w:szCs w:val="20"/>
        </w:rPr>
        <w:t xml:space="preserve">Principes de gestion du risque (allocation actions/obligations selon l'âge).</w:t>
      </w:r>
    </w:p>
    <w:p>
      <w:pPr>
        <w:pStyle w:val="ListParagraph"/>
        <w:numPr>
          <w:ilvl w:val="0"/>
          <w:numId w:val="2"/>
        </w:numPr>
        <w:spacing w:after="40" w:before="40"/>
      </w:pPr>
      <w:r>
        <w:rPr>
          <w:rFonts w:ascii="Arial" w:cs="Arial" w:eastAsia="Arial" w:hAnsi="Arial"/>
          <w:b w:val="false"/>
          <w:bCs w:val="false"/>
          <w:color w:val="222222"/>
          <w:sz w:val="20"/>
          <w:szCs w:val="20"/>
        </w:rPr>
        <w:t xml:space="preserve">Seuils d'alerte : exposition crypto &gt;20%, surconcentration sur un seul titre.</w:t>
      </w:r>
    </w:p>
    <w:p>
      <w:pPr>
        <w:pStyle w:val="ListParagraph"/>
        <w:numPr>
          <w:ilvl w:val="0"/>
          <w:numId w:val="2"/>
        </w:numPr>
        <w:spacing w:after="40" w:before="40"/>
      </w:pPr>
      <w:r>
        <w:rPr>
          <w:rFonts w:ascii="Arial" w:cs="Arial" w:eastAsia="Arial" w:hAnsi="Arial"/>
          <w:b w:val="false"/>
          <w:bCs w:val="false"/>
          <w:color w:val="222222"/>
          <w:sz w:val="20"/>
          <w:szCs w:val="20"/>
        </w:rPr>
        <w:t xml:space="preserve">Stratégies d'épargne recommandées (fonds d'urgence = 3-6 mois de dépenses).</w:t>
      </w:r>
    </w:p>
    <w:p>
      <w:pPr>
        <w:spacing w:after="80" w:before="60"/>
      </w:pPr>
      <w:r>
        <w:rPr>
          <w:rFonts w:ascii="Arial" w:cs="Arial" w:eastAsia="Arial" w:hAnsi="Arial"/>
          <w:color w:val="222222"/>
          <w:sz w:val="20"/>
          <w:szCs w:val="20"/>
        </w:rPr>
        <w:t xml:space="preserve">Technologie : LangChain4j + embedding local (ou OpenAI text-embedding-ada-002) + stockage en mémoire (InMemoryEmbeddingStore) pour la démo.</w:t>
      </w:r>
    </w:p>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6. Modèle de Données</w:t>
      </w:r>
    </w:p>
    <w:p>
      <w:pPr>
        <w:pStyle w:val="Heading2"/>
        <w:spacing w:after="80" w:before="240"/>
      </w:pPr>
      <w:r>
        <w:rPr>
          <w:rFonts w:ascii="Arial" w:cs="Arial" w:eastAsia="Arial" w:hAnsi="Arial"/>
          <w:b/>
          <w:bCs/>
          <w:color w:val="2E75B6"/>
          <w:sz w:val="26"/>
          <w:szCs w:val="26"/>
        </w:rPr>
        <w:t xml:space="preserve">6.1 Principes</w:t>
      </w:r>
    </w:p>
    <w:p>
      <w:pPr>
        <w:pStyle w:val="ListParagraph"/>
        <w:numPr>
          <w:ilvl w:val="0"/>
          <w:numId w:val="2"/>
        </w:numPr>
        <w:spacing w:after="40" w:before="40"/>
      </w:pPr>
      <w:r>
        <w:rPr>
          <w:rFonts w:ascii="Arial" w:cs="Arial" w:eastAsia="Arial" w:hAnsi="Arial"/>
          <w:b w:val="false"/>
          <w:bCs w:val="false"/>
          <w:color w:val="222222"/>
          <w:sz w:val="20"/>
          <w:szCs w:val="20"/>
        </w:rPr>
        <w:t xml:space="preserve">Database-per-Service : chaque microservice possède sa propre base PostgreSQL. Aucun accès croisé direct entre bases.</w:t>
      </w:r>
    </w:p>
    <w:p>
      <w:pPr>
        <w:pStyle w:val="ListParagraph"/>
        <w:numPr>
          <w:ilvl w:val="0"/>
          <w:numId w:val="2"/>
        </w:numPr>
        <w:spacing w:after="40" w:before="40"/>
      </w:pPr>
      <w:r>
        <w:rPr>
          <w:rFonts w:ascii="Arial" w:cs="Arial" w:eastAsia="Arial" w:hAnsi="Arial"/>
          <w:b w:val="false"/>
          <w:bCs w:val="false"/>
          <w:color w:val="222222"/>
          <w:sz w:val="20"/>
          <w:szCs w:val="20"/>
        </w:rPr>
        <w:t xml:space="preserve">Clés étrangères logiques uniquement : les relations inter-services sont maintenues par UUID et Kafka events, pas par FK SQL.</w:t>
      </w:r>
    </w:p>
    <w:p>
      <w:pPr>
        <w:pStyle w:val="ListParagraph"/>
        <w:numPr>
          <w:ilvl w:val="0"/>
          <w:numId w:val="2"/>
        </w:numPr>
        <w:spacing w:after="40" w:before="40"/>
      </w:pPr>
      <w:r>
        <w:rPr>
          <w:rFonts w:ascii="Arial" w:cs="Arial" w:eastAsia="Arial" w:hAnsi="Arial"/>
          <w:b w:val="false"/>
          <w:bCs w:val="false"/>
          <w:color w:val="222222"/>
          <w:sz w:val="20"/>
          <w:szCs w:val="20"/>
        </w:rPr>
        <w:t xml:space="preserve">UUIDs : tous les identifiants sont des UUID v4 générés automatiquement.</w:t>
      </w:r>
    </w:p>
    <w:p>
      <w:pPr>
        <w:spacing w:after="60" w:before="0"/>
      </w:pPr>
      <w:r>
        <w:t xml:space="preserve"/>
      </w:r>
    </w:p>
    <w:p>
      <w:pPr>
        <w:pStyle w:val="Heading2"/>
        <w:spacing w:after="80" w:before="240"/>
      </w:pPr>
      <w:r>
        <w:rPr>
          <w:rFonts w:ascii="Arial" w:cs="Arial" w:eastAsia="Arial" w:hAnsi="Arial"/>
          <w:b/>
          <w:bCs/>
          <w:color w:val="2E75B6"/>
          <w:sz w:val="26"/>
          <w:szCs w:val="26"/>
        </w:rPr>
        <w:t xml:space="preserve">6.2 Schéma — User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805"/>
        <w:gridCol w:w="1986"/>
        <w:gridCol w:w="3249"/>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Colonne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Contrainte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PK, 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Identifiant unique auto-généré</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email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VARCHAR(255)</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UNIQUE, 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Email de connexion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password_hash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Mot de passe hashé BCrypt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first_name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VARCHAR(100)</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Prénom de l'utilisateur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last_name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Nom de l'utilisateur</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role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ENUM</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USER / ADMIN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kyc_status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PENDING / VERIFIED</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created_at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TIMESTAMP</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Date de création (auto)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updated_at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 de mise à jour (auto)</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6.3 Schéma — Portfolio Service</w:t>
      </w:r>
    </w:p>
    <w:p>
      <w:pPr>
        <w:pStyle w:val="Heading3"/>
        <w:spacing w:after="60" w:before="160"/>
      </w:pPr>
      <w:r>
        <w:rPr>
          <w:rFonts w:ascii="Arial" w:cs="Arial" w:eastAsia="Arial" w:hAnsi="Arial"/>
          <w:b/>
          <w:bCs/>
          <w:color w:val="444444"/>
          <w:sz w:val="22"/>
          <w:szCs w:val="22"/>
        </w:rPr>
        <w:t xml:space="preserve">Table : wallets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805"/>
        <w:gridCol w:w="1986"/>
        <w:gridCol w:w="3249"/>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Colonne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Contrainte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PK, 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Identifiant unique auto-généré</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user_id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UUID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 INDEX</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Référence logique vers User 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Nom du wallet ex: 'Mon Portefeuille'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type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ENUM</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STOCKS / SAVINGS / CRYPTO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balance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DECIMAL(15,2)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Solde cash disponible dans le wallet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currency</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VARCHAR(3)</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DEFAULT 'USD'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Devise ISO ex: USD, 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 de création (auto)</w:t>
            </w:r>
          </w:p>
        </w:tc>
      </w:tr>
    </w:tbl>
    <w:p>
      <w:pPr>
        <w:spacing w:after="60" w:before="0"/>
      </w:pPr>
      <w:r>
        <w:t xml:space="preserve"/>
      </w:r>
    </w:p>
    <w:p>
      <w:pPr>
        <w:pStyle w:val="Heading3"/>
        <w:spacing w:after="60" w:before="160"/>
      </w:pPr>
      <w:r>
        <w:rPr>
          <w:rFonts w:ascii="Arial" w:cs="Arial" w:eastAsia="Arial" w:hAnsi="Arial"/>
          <w:b/>
          <w:bCs/>
          <w:color w:val="444444"/>
          <w:sz w:val="22"/>
          <w:szCs w:val="22"/>
        </w:rPr>
        <w:t xml:space="preserve">Table :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805"/>
        <w:gridCol w:w="1986"/>
        <w:gridCol w:w="3249"/>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Colonne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Contrainte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PK, 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Identifiant unique auto-généré</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wallet_id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UUID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FK → wallets.id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Le wallet auquel appartient cet actif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symbol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VARCHAR(20)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Code boursier ex: AAPL, BTC</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name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VARCHAR(100)</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Nom complet ex: Apple Inc.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quantity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DECIMAL(15,6)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Nombre d'actions/unités possédées</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avg_buy_price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DECIMAL(15,2)</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Prix moyen d'achat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current_price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DECIMAL(15,2)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Dernier prix connu (temps réel)</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last_updated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TIMESTAMP</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NULLABLE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Date de dernière mise à jour du prix</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6.4 Schéma — Transaction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805"/>
        <w:gridCol w:w="1986"/>
        <w:gridCol w:w="3249"/>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Colonne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Contrainte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PK, 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Identifiant unique auto-généré</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user_id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UUID</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 INDEX</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L'utilisateur qui a initié la transaction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wallet_id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UUID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Le wallet cible de la transaction</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type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ENUM</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DEPOSIT / WITHDRAW / BUY / SELL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amount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DECIMAL(15,2)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Montant de la transaction</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asset_symbol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VARCHAR(20)</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NULLABLE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Code actif (BUY/SELL uniquement) ex: AAPL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quantity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DECIMAL(15,6)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Nombre d'actions (BUY/SELL uniquement)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status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ENUM</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PENDING / PROCESSING / DONE / FAIL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is_anomaly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Marqueur de détection d'anomalie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description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TEXT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NULLABLE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Note optionnelle de l'utilisateur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Date de création (auto)</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completed_at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TIMESTAMP</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NULLABLE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Date de finalisation de la transaction</w:t>
            </w:r>
          </w:p>
        </w:tc>
      </w:tr>
    </w:tbl>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7. Design Patterns Appliqués</w:t>
      </w:r>
    </w:p>
    <w:p>
      <w:pPr>
        <w:spacing w:after="80" w:before="60"/>
      </w:pPr>
      <w:r>
        <w:rPr>
          <w:rFonts w:ascii="Arial" w:cs="Arial" w:eastAsia="Arial" w:hAnsi="Arial"/>
          <w:color w:val="222222"/>
          <w:sz w:val="20"/>
          <w:szCs w:val="20"/>
        </w:rPr>
        <w:t xml:space="preserve">Ce tableau constitue un argument fort pour la soutenance : chaque pattern est justifié par son contexte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Pattern</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Où Appliqué</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Strategy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Calculateurs de frais/taxes dans Portfolio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Règles différentes pour stocks vs crypto vs épargne, interchangeables sans modifier le code client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Observer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Kafka event-driven : tous les services réagissent aux événements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Découplage total : le Transaction Service ne connaît pas la Notification 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Builder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DTOs de Transaction, Portfolio, Rapport 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Construction d'objets complexes avec validation step-by-step</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Factory</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Création de wallets par type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WalletFactory.create(STOCKS) vs create(CRYPTO) → comportements différents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SAGA (simplifié)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Flow d'achat d'actif : Transaction → Portfolio → Notification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Compensation automatique si une étape échoue (rollback via Kafka)</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Repository</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Spring Data JPA dans chaque service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Abstraction de l'accès aux données, testabilité via mock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Objets Request/Response séparés du domaine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Découplage du modèle interne de l'API publique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Tool Use Pattern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Agent IA LangChain4j</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L'agent décide dynamiquement quel outil appeler selon la question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RAG Pattern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Base de connaissances financières de l'agent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Ancrer les réponses LLM sur des faits vérifiés, réduire les hallucinations</w:t>
            </w:r>
          </w:p>
        </w:tc>
      </w:tr>
    </w:tbl>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8. Roadmap et Planning des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083"/>
        <w:gridCol w:w="3430"/>
        <w:gridCol w:w="3430"/>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Semaines</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Objectif Principal</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Livrables Clés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Sprint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S1–S2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Infrastructure + User Service + 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Eureka, Gateway, JWT auth, Angular login</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Sprint 2</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S3–S4</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Portfolio Service + Communication sync</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Wallets, actifs, OpenFeign, dashboard Angular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Sprint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S5–S6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Transactions + Kafka async + Notifications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Event flow complet, notifications temps réel</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Sprint 4</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S7–S8</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Agent IA avancé + RAG + Tests intégration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Agent multi-outils, mémoire, RAG financier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Sprint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Docker + Kubernetes + Soutenance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Stack K8s déployée, rapport de soutenance</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8.1 Priorités de Développement de l'Agent IA (Sprint 4)</w:t>
      </w:r>
    </w:p>
    <w:p>
      <w:pPr>
        <w:spacing w:after="80" w:before="60"/>
      </w:pPr>
      <w:r>
        <w:rPr>
          <w:rFonts w:ascii="Arial" w:cs="Arial" w:eastAsia="Arial" w:hAnsi="Arial"/>
          <w:color w:val="222222"/>
          <w:sz w:val="20"/>
          <w:szCs w:val="20"/>
        </w:rPr>
        <w:t xml:space="preserve">Le Sprint 4 est le plus critique pour la différenciation du projet. L'ordre de développement recommandé est :</w:t>
      </w:r>
    </w:p>
    <w:p>
      <w:pPr>
        <w:pStyle w:val="ListParagraph"/>
        <w:numPr>
          <w:ilvl w:val="0"/>
          <w:numId w:val="2"/>
        </w:numPr>
        <w:spacing w:after="40" w:before="40"/>
      </w:pPr>
      <w:r>
        <w:rPr>
          <w:rFonts w:ascii="Arial" w:cs="Arial" w:eastAsia="Arial" w:hAnsi="Arial"/>
          <w:b w:val="false"/>
          <w:bCs w:val="false"/>
          <w:color w:val="222222"/>
          <w:sz w:val="20"/>
          <w:szCs w:val="20"/>
        </w:rPr>
        <w:t xml:space="preserve">Jour 1–2 : Setup LangChain4j basique — simple Q&amp;A avec le LLM.</w:t>
      </w:r>
    </w:p>
    <w:p>
      <w:pPr>
        <w:pStyle w:val="ListParagraph"/>
        <w:numPr>
          <w:ilvl w:val="0"/>
          <w:numId w:val="2"/>
        </w:numPr>
        <w:spacing w:after="40" w:before="40"/>
      </w:pPr>
      <w:r>
        <w:rPr>
          <w:rFonts w:ascii="Arial" w:cs="Arial" w:eastAsia="Arial" w:hAnsi="Arial"/>
          <w:b w:val="false"/>
          <w:bCs w:val="false"/>
          <w:color w:val="222222"/>
          <w:sz w:val="20"/>
          <w:szCs w:val="20"/>
        </w:rPr>
        <w:t xml:space="preserve">Jour 3–4 : Ajouter les outils (Tools) — get_portfolio() et get_transaction_history().</w:t>
      </w:r>
    </w:p>
    <w:p>
      <w:pPr>
        <w:pStyle w:val="ListParagraph"/>
        <w:numPr>
          <w:ilvl w:val="0"/>
          <w:numId w:val="2"/>
        </w:numPr>
        <w:spacing w:after="40" w:before="40"/>
      </w:pPr>
      <w:r>
        <w:rPr>
          <w:rFonts w:ascii="Arial" w:cs="Arial" w:eastAsia="Arial" w:hAnsi="Arial"/>
          <w:b w:val="false"/>
          <w:bCs w:val="false"/>
          <w:color w:val="222222"/>
          <w:sz w:val="20"/>
          <w:szCs w:val="20"/>
        </w:rPr>
        <w:t xml:space="preserve">Jour 5–6 : Ajouter la mémoire conversationnelle (ChatMemory).</w:t>
      </w:r>
    </w:p>
    <w:p>
      <w:pPr>
        <w:pStyle w:val="ListParagraph"/>
        <w:numPr>
          <w:ilvl w:val="0"/>
          <w:numId w:val="2"/>
        </w:numPr>
        <w:spacing w:after="40" w:before="40"/>
      </w:pPr>
      <w:r>
        <w:rPr>
          <w:rFonts w:ascii="Arial" w:cs="Arial" w:eastAsia="Arial" w:hAnsi="Arial"/>
          <w:b w:val="false"/>
          <w:bCs w:val="false"/>
          <w:color w:val="222222"/>
          <w:sz w:val="20"/>
          <w:szCs w:val="20"/>
        </w:rPr>
        <w:t xml:space="preserve">Jour 7–8 : Implémenter le RAG avec InMemoryEmbeddingStore.</w:t>
      </w:r>
    </w:p>
    <w:p>
      <w:pPr>
        <w:pStyle w:val="ListParagraph"/>
        <w:numPr>
          <w:ilvl w:val="0"/>
          <w:numId w:val="2"/>
        </w:numPr>
        <w:spacing w:after="40" w:before="40"/>
      </w:pPr>
      <w:r>
        <w:rPr>
          <w:rFonts w:ascii="Arial" w:cs="Arial" w:eastAsia="Arial" w:hAnsi="Arial"/>
          <w:b w:val="false"/>
          <w:bCs w:val="false"/>
          <w:color w:val="222222"/>
          <w:sz w:val="20"/>
          <w:szCs w:val="20"/>
        </w:rPr>
        <w:t xml:space="preserve">Jour 9–10 : Développer la détection d'anomalies et les alertes proactives.</w:t>
      </w:r>
    </w:p>
    <w:p>
      <w:pPr>
        <w:pStyle w:val="ListParagraph"/>
        <w:numPr>
          <w:ilvl w:val="0"/>
          <w:numId w:val="2"/>
        </w:numPr>
        <w:spacing w:after="40" w:before="40"/>
      </w:pPr>
      <w:r>
        <w:rPr>
          <w:rFonts w:ascii="Arial" w:cs="Arial" w:eastAsia="Arial" w:hAnsi="Arial"/>
          <w:b w:val="false"/>
          <w:bCs w:val="false"/>
          <w:color w:val="222222"/>
          <w:sz w:val="20"/>
          <w:szCs w:val="20"/>
        </w:rPr>
        <w:t xml:space="preserve">Jour 11–12 : Interface Angular de chat avec streaming de réponse.</w:t>
      </w:r>
    </w:p>
    <w:p>
      <w:pPr>
        <w:pStyle w:val="ListParagraph"/>
        <w:numPr>
          <w:ilvl w:val="0"/>
          <w:numId w:val="2"/>
        </w:numPr>
        <w:spacing w:after="40" w:before="40"/>
      </w:pPr>
      <w:r>
        <w:rPr>
          <w:rFonts w:ascii="Arial" w:cs="Arial" w:eastAsia="Arial" w:hAnsi="Arial"/>
          <w:b w:val="false"/>
          <w:bCs w:val="false"/>
          <w:color w:val="222222"/>
          <w:sz w:val="20"/>
          <w:szCs w:val="20"/>
        </w:rPr>
        <w:t xml:space="preserve">Jour 13–14 : Tests d'intégration de l'agent + Documentation.</w:t>
      </w:r>
    </w:p>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9. Spécification des APIs</w:t>
      </w:r>
    </w:p>
    <w:p>
      <w:pPr>
        <w:pStyle w:val="Heading2"/>
        <w:spacing w:after="80" w:before="240"/>
      </w:pPr>
      <w:r>
        <w:rPr>
          <w:rFonts w:ascii="Arial" w:cs="Arial" w:eastAsia="Arial" w:hAnsi="Arial"/>
          <w:b/>
          <w:bCs/>
          <w:color w:val="2E75B6"/>
          <w:sz w:val="26"/>
          <w:szCs w:val="26"/>
        </w:rPr>
        <w:t xml:space="preserve">9.1 User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979"/>
        <w:gridCol w:w="3159"/>
        <w:gridCol w:w="1805"/>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/api/auth/register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Inscription d'un nouvel utilisateur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Public</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POST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/api/auth/login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Connexion, retourne JWT + refresh token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Public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/api/auth/refresh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Renouvellement du token d'accès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Refresh token</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GET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/api/users/me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Profil de l'utilisateur connecté</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/api/users/me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Mise à jour du profil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JWT</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9.2 Portfolio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159"/>
        <w:gridCol w:w="2979"/>
        <w:gridCol w:w="1805"/>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/api/wallets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Créer un nouveau wallet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JWT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GET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/api/wallets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Lister les wallets de l'utilisateur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/api/portfolio/summary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Résumé complet avec score de risque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JWT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GET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/api/portfolio/risk</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Score de risque détaillé par actif</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JWT</w:t>
            </w:r>
          </w:p>
        </w:tc>
      </w:tr>
    </w:tbl>
    <w:p>
      <w:pPr>
        <w:spacing w:after="60" w:before="0"/>
      </w:pPr>
      <w:r>
        <w:t xml:space="preserve"/>
      </w:r>
    </w:p>
    <w:p>
      <w:pPr>
        <w:pStyle w:val="Heading2"/>
        <w:spacing w:after="80" w:before="240"/>
      </w:pPr>
      <w:r>
        <w:rPr>
          <w:rFonts w:ascii="Arial" w:cs="Arial" w:eastAsia="Arial" w:hAnsi="Arial"/>
          <w:b/>
          <w:bCs/>
          <w:color w:val="2E75B6"/>
          <w:sz w:val="26"/>
          <w:szCs w:val="26"/>
        </w:rPr>
        <w:t xml:space="preserve">9.3 AI Advisor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159"/>
        <w:gridCol w:w="2979"/>
        <w:gridCol w:w="1805"/>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Méthode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/api/advisor/chat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Chat multi-tours avec l'agent 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JWT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POST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/api/advisor/analyze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Analyse complète du portefeuille (multi-étapes)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JWT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/api/advisor/report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Rapport de santé financière hebdomadaire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JWT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GET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/api/advisor/alerts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Liste des alertes actives de l'agent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JWT</w:t>
            </w:r>
          </w:p>
        </w:tc>
      </w:tr>
    </w:tbl>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10. Architecture de Déploiement</w:t>
      </w:r>
    </w:p>
    <w:p>
      <w:pPr>
        <w:pStyle w:val="Heading2"/>
        <w:spacing w:after="80" w:before="240"/>
      </w:pPr>
      <w:r>
        <w:rPr>
          <w:rFonts w:ascii="Arial" w:cs="Arial" w:eastAsia="Arial" w:hAnsi="Arial"/>
          <w:b/>
          <w:bCs/>
          <w:color w:val="2E75B6"/>
          <w:sz w:val="26"/>
          <w:szCs w:val="26"/>
        </w:rPr>
        <w:t xml:space="preserve">10.1 Docker — Développement Local</w:t>
      </w:r>
    </w:p>
    <w:p>
      <w:pPr>
        <w:spacing w:after="80" w:before="60"/>
      </w:pPr>
      <w:r>
        <w:rPr>
          <w:rFonts w:ascii="Arial" w:cs="Arial" w:eastAsia="Arial" w:hAnsi="Arial"/>
          <w:color w:val="222222"/>
          <w:sz w:val="20"/>
          <w:szCs w:val="20"/>
        </w:rPr>
        <w:t xml:space="preserve">Chaque microservice est packagé avec un Dockerfile multi-stage (compilation Maven → image runtime légère ~200MB). La commande docker-compose up démarre la stack complète en une seule commande.</w:t>
      </w:r>
    </w:p>
    <w:p>
      <w:pPr>
        <w:pStyle w:val="Heading2"/>
        <w:spacing w:after="80" w:before="240"/>
      </w:pPr>
      <w:r>
        <w:rPr>
          <w:rFonts w:ascii="Arial" w:cs="Arial" w:eastAsia="Arial" w:hAnsi="Arial"/>
          <w:b/>
          <w:bCs/>
          <w:color w:val="2E75B6"/>
          <w:sz w:val="26"/>
          <w:szCs w:val="26"/>
        </w:rPr>
        <w:t xml:space="preserve">10.2 Kubernetes —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Objet K8s</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Rôle dans le Projet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Deployment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Gère les Pods de chaque microservice (replicas, rolling updates, rollback)</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Service (ClusterIP)</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Adresse réseau stable pour chaque microservice au sein du cluster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Ingress (NGINX)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Point d'entrée externe : route /api/advisor → AI Advisor, / → Angular</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ConfigMap</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Variables de config non-sensibles (URL Kafka, DB host, feature flags)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Secret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Données sensibles chiffrées (mots de passe DB, clés JWT, clés API LLM)</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Liveness Probe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Redémarre automatiquement un service qui ne répond plus (/actuator/health)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Readiness Probe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Retire un service du load-balancer s'il n'est pas encore prêt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Helm Charts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Installation de Kafka et PostgreSQL en une commande (bitnami/kafka)</w:t>
            </w:r>
          </w:p>
        </w:tc>
      </w:tr>
    </w:tbl>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11. Gestion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722"/>
        <w:gridCol w:w="903"/>
        <w:gridCol w:w="3159"/>
        <w:gridCol w:w="1986"/>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Risque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Fallback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Agent IA trop ambitieux à finir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Élevée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Développer par couches : basic → tools → memory → RAG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Demo avec 2 outils seulement</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Kafka complexe à configurer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Moyenne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Moyen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Docker Compose preset, tester dès la semaine 1</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RabbitMQ en remplacement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Kubernetes : courbe d'apprentissage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Élevée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Minikube + tutoriels, commencer semaine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Garder Docker Compose pour la démo</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Dépassement de délai</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Moyenne</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Fort</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Priorités MUST / SHOULD / COULD strictes</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Couper les COULD en premier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Coût API LLM (OpenAI)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Moyen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Utiliser Ollama local (Mistral 7B) pour le dev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Mock LLM statique pour les tests</w:t>
            </w:r>
          </w:p>
        </w:tc>
      </w:tr>
    </w:tbl>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12. Glossaire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Terme</w:t>
            </w:r>
          </w:p>
        </w:tc>
        <w:tc>
          <w:tcPr>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Définition Simple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Microservice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Application indépendante qui fait UN seul job. 5 microservices = 5 mini-applications.</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Apache Kafka</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Système de messagerie : Service A publie un message dans un 'topic', Service B le lit plus tard.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LangChain4j</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Bibliothèque Java pour intégrer des LLMs (ChatGPT, Claude, Mistral) avec des outils et de la mémoire.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RAG (Retrieval-Augmented Generation)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Technique : avant de répondre, l'IA cherche dans une base de documents pour ancrer sa réponse sur des faits.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Agent 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 LLM qui peut appeler des outils, planifier des étapes, et raisonner de façon autonome pour répondre.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JWT (JSON Web Token)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Carte d'identité numérique envoyée par le serveur lors de la connexion, présentée à chaque requête.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Angular Signals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Nouveau mécanisme de réactivité Angular : une valeur Signal se met à jour automatiquement dans l'UI.</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Docker</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Emballage de l'application dans un 'container' qui fonctionne identiquement partout.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Kubernetes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Gestionnaire de containers : redémarre automatiquement, scale, et équilibre la charge.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SAGA Pattern</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Gestion des transactions distribuées : si une étape échoue, les étapes précédentes sont annulées.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OpenFeign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Client HTTP déclaratif Spring Cloud : appeler un autre service comme une méthode Java locale.</w:t>
            </w:r>
          </w:p>
        </w:tc>
      </w:tr>
      <w:tr>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Dead Letter Topic</w:t>
            </w:r>
          </w:p>
        </w:tc>
        <w:tc>
          <w:tcPr>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18"/>
                <w:szCs w:val="18"/>
              </w:rPr>
              <w:t xml:space="preserve">File Kafka spéciale où les messages qui échouent plusieurs fois sont envoyés pour analyse manuelle.</w:t>
            </w:r>
          </w:p>
        </w:tc>
      </w:tr>
    </w:tbl>
    <w:p>
      <w:pPr>
        <w:spacing w:after="60" w:before="0"/>
      </w:pPr>
      <w:r>
        <w:t xml:space="preserve"/>
      </w:r>
    </w:p>
    <w:p>
      <w:r>
        <w:br w:type="page"/>
      </w:r>
    </w:p>
    <w:p>
      <w:pPr>
        <w:pStyle w:val="Heading1"/>
        <w:pBdr>
          <w:bottom w:val="single" w:color="2E75B6" w:sz="6" w:space="4"/>
        </w:pBdr>
        <w:spacing w:after="120" w:before="360"/>
      </w:pPr>
      <w:r>
        <w:rPr>
          <w:rFonts w:ascii="Arial" w:cs="Arial" w:eastAsia="Arial" w:hAnsi="Arial"/>
          <w:b/>
          <w:bCs/>
          <w:color w:val="1A3C6E"/>
          <w:sz w:val="32"/>
          <w:szCs w:val="32"/>
        </w:rPr>
        <w:t xml:space="preserve">13. Conclusion</w:t>
      </w:r>
    </w:p>
    <w:p>
      <w:pPr>
        <w:spacing w:after="80" w:before="60"/>
      </w:pPr>
      <w:r>
        <w:rPr>
          <w:rFonts w:ascii="Arial" w:cs="Arial" w:eastAsia="Arial" w:hAnsi="Arial"/>
          <w:color w:val="222222"/>
          <w:sz w:val="20"/>
          <w:szCs w:val="20"/>
        </w:rPr>
        <w:t xml:space="preserve">SmartWealth AI est un projet de fin d'études qui va bien au-delà d'une application CRUD classique. Il combine :</w:t>
      </w:r>
    </w:p>
    <w:p>
      <w:pPr>
        <w:pStyle w:val="ListParagraph"/>
        <w:numPr>
          <w:ilvl w:val="0"/>
          <w:numId w:val="2"/>
        </w:numPr>
        <w:spacing w:after="40" w:before="40"/>
      </w:pPr>
      <w:r>
        <w:rPr>
          <w:rFonts w:ascii="Arial" w:cs="Arial" w:eastAsia="Arial" w:hAnsi="Arial"/>
          <w:b w:val="false"/>
          <w:bCs w:val="false"/>
          <w:color w:val="222222"/>
          <w:sz w:val="20"/>
          <w:szCs w:val="20"/>
        </w:rPr>
        <w:t xml:space="preserve">Une architecture distribuée de niveau entreprise (microservices, Kafka, Spring Cloud, Kubernetes).</w:t>
      </w:r>
    </w:p>
    <w:p>
      <w:pPr>
        <w:pStyle w:val="ListParagraph"/>
        <w:numPr>
          <w:ilvl w:val="0"/>
          <w:numId w:val="2"/>
        </w:numPr>
        <w:spacing w:after="40" w:before="40"/>
      </w:pPr>
      <w:r>
        <w:rPr>
          <w:rFonts w:ascii="Arial" w:cs="Arial" w:eastAsia="Arial" w:hAnsi="Arial"/>
          <w:b w:val="false"/>
          <w:bCs w:val="false"/>
          <w:color w:val="222222"/>
          <w:sz w:val="20"/>
          <w:szCs w:val="20"/>
        </w:rPr>
        <w:t xml:space="preserve">Un agent IA véritablement avancé avec raisonnement multi-étapes, mémoire, RAG, et détection d'anomalies.</w:t>
      </w:r>
    </w:p>
    <w:p>
      <w:pPr>
        <w:pStyle w:val="ListParagraph"/>
        <w:numPr>
          <w:ilvl w:val="0"/>
          <w:numId w:val="2"/>
        </w:numPr>
        <w:spacing w:after="40" w:before="40"/>
      </w:pPr>
      <w:r>
        <w:rPr>
          <w:rFonts w:ascii="Arial" w:cs="Arial" w:eastAsia="Arial" w:hAnsi="Arial"/>
          <w:b w:val="false"/>
          <w:bCs w:val="false"/>
          <w:color w:val="222222"/>
          <w:sz w:val="20"/>
          <w:szCs w:val="20"/>
        </w:rPr>
        <w:t xml:space="preserve">Un frontend moderne et réactif avec Angular 17 Signals et gestion d'état NgRx.</w:t>
      </w:r>
    </w:p>
    <w:p>
      <w:pPr>
        <w:pStyle w:val="ListParagraph"/>
        <w:numPr>
          <w:ilvl w:val="0"/>
          <w:numId w:val="2"/>
        </w:numPr>
        <w:spacing w:after="40" w:before="40"/>
      </w:pPr>
      <w:r>
        <w:rPr>
          <w:rFonts w:ascii="Arial" w:cs="Arial" w:eastAsia="Arial" w:hAnsi="Arial"/>
          <w:b w:val="false"/>
          <w:bCs w:val="false"/>
          <w:color w:val="222222"/>
          <w:sz w:val="20"/>
          <w:szCs w:val="20"/>
        </w:rPr>
        <w:t xml:space="preserve">Une couverture complète des Design Patterns académiques justifiés par des cas d'usage réels.</w:t>
      </w:r>
    </w:p>
    <w:p>
      <w:pPr>
        <w:pStyle w:val="ListParagraph"/>
        <w:numPr>
          <w:ilvl w:val="0"/>
          <w:numId w:val="2"/>
        </w:numPr>
        <w:spacing w:after="40" w:before="40"/>
      </w:pPr>
      <w:r>
        <w:rPr>
          <w:rFonts w:ascii="Arial" w:cs="Arial" w:eastAsia="Arial" w:hAnsi="Arial"/>
          <w:b w:val="false"/>
          <w:bCs w:val="false"/>
          <w:color w:val="222222"/>
          <w:sz w:val="20"/>
          <w:szCs w:val="20"/>
        </w:rPr>
        <w:t xml:space="preserve">Un déploiement production-ready avec Docker et Kubernetes.</w:t>
      </w:r>
    </w:p>
    <w:p>
      <w:pPr>
        <w:spacing w:after="60" w:before="0"/>
      </w:pPr>
      <w:r>
        <w:t xml:space="preserve"/>
      </w:r>
    </w:p>
    <w:p>
      <w:pPr>
        <w:spacing w:after="80" w:before="60"/>
      </w:pPr>
      <w:r>
        <w:rPr>
          <w:rFonts w:ascii="Arial" w:cs="Arial" w:eastAsia="Arial" w:hAnsi="Arial"/>
          <w:color w:val="222222"/>
          <w:sz w:val="20"/>
          <w:szCs w:val="20"/>
        </w:rPr>
        <w:t xml:space="preserve">La valeur principale de ce projet pour la soutenance est la cohérence de bout en bout : chaque décision d'architecture est justifiée, chaque pattern est démontrable, et l'agent IA est un vrai différenciateur qui montre la maîtrise des technologies actuelles en 2025.</w:t>
      </w:r>
    </w:p>
    <w:p>
      <w:pPr>
        <w:spacing w:after="80" w:before="60"/>
      </w:pPr>
      <w:r>
        <w:rPr>
          <w:rFonts w:ascii="Arial" w:cs="Arial" w:eastAsia="Arial" w:hAnsi="Arial"/>
          <w:b w:val="false"/>
          <w:bCs w:val="false"/>
          <w:i/>
          <w:iCs/>
          <w:color w:val="1A3C6E"/>
          <w:sz w:val="20"/>
          <w:szCs w:val="20"/>
        </w:rPr>
        <w:t xml:space="preserve">La stratégie recommandée : finir les Sprints 1–3 correctement, puis investir le maximum de temps dans l'agent IA du Sprint 4 — c'est lui qui fera la différence lors de la soutenance.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6"/>
        <w:szCs w:val="16"/>
      </w:rPr>
      <w:t xml:space="preserve">SmartWealth AI — Cahier des Charges  |  Page </w:t>
    </w:r>
    <w:r>
      <w:rPr>
        <w:rFonts w:ascii="Arial" w:cs="Arial" w:eastAsia="Arial" w:hAnsi="Arial"/>
        <w:color w:val="1A3C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2026-05-19T21:05:23.965Z</dcterms:created>
  <dcterms:modified xsi:type="dcterms:W3CDTF">2026-05-19T21:05:23.976Z</dcterms:modified>
</cp:coreProperties>
</file>

<file path=docProps/custom.xml><?xml version="1.0" encoding="utf-8"?>
<Properties xmlns="http://schemas.openxmlformats.org/officeDocument/2006/custom-properties" xmlns:vt="http://schemas.openxmlformats.org/officeDocument/2006/docPropsVTypes"/>
</file>