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Descriptions de données SA python S2</w:t>
      </w:r>
    </w:p>
    <w:p>
      <w:pPr>
        <w:pStyle w:val="Normal"/>
        <w:rPr>
          <w:sz w:val="24"/>
          <w:szCs w:val="24"/>
        </w:rPr>
      </w:pPr>
      <w:r>
        <w:rPr>
          <w:sz w:val="24"/>
          <w:szCs w:val="24"/>
        </w:rPr>
      </w:r>
    </w:p>
    <w:p>
      <w:pPr>
        <w:pStyle w:val="Normal"/>
        <w:rPr>
          <w:b/>
          <w:bCs/>
          <w:sz w:val="30"/>
          <w:szCs w:val="30"/>
        </w:rPr>
      </w:pPr>
      <w:r>
        <w:rPr>
          <w:b/>
          <w:bCs/>
          <w:sz w:val="30"/>
          <w:szCs w:val="30"/>
        </w:rPr>
        <w:t>Fichier 2022 :</w:t>
      </w:r>
    </w:p>
    <w:p>
      <w:pPr>
        <w:pStyle w:val="Heading2"/>
        <w:rPr>
          <w:sz w:val="24"/>
          <w:szCs w:val="24"/>
        </w:rPr>
      </w:pPr>
      <w:r>
        <w:rPr>
          <w:sz w:val="24"/>
          <w:szCs w:val="24"/>
        </w:rPr>
        <w:t>1. Structure des données</w:t>
      </w:r>
    </w:p>
    <w:p>
      <w:pPr>
        <w:pStyle w:val="BodyText"/>
        <w:rPr/>
      </w:pPr>
      <w:r>
        <w:rPr/>
        <w:t>Le fichier analysé contient des informations sur les établissements cinématographiques en France. Il comprend des données administratives, géographiques et statistiques sur l'activité des salles.</w:t>
      </w:r>
    </w:p>
    <w:p>
      <w:pPr>
        <w:pStyle w:val="BodyText"/>
        <w:numPr>
          <w:ilvl w:val="0"/>
          <w:numId w:val="2"/>
        </w:numPr>
        <w:tabs>
          <w:tab w:val="clear" w:pos="708"/>
          <w:tab w:val="left" w:pos="0" w:leader="none"/>
        </w:tabs>
        <w:rPr/>
      </w:pPr>
      <w:r>
        <w:rPr>
          <w:rStyle w:val="Strong"/>
        </w:rPr>
        <w:t>Nombre de lignes</w:t>
      </w:r>
      <w:r>
        <w:rPr/>
        <w:t xml:space="preserve"> : 2061</w:t>
      </w:r>
    </w:p>
    <w:p>
      <w:pPr>
        <w:pStyle w:val="BodyText"/>
        <w:numPr>
          <w:ilvl w:val="0"/>
          <w:numId w:val="2"/>
        </w:numPr>
        <w:tabs>
          <w:tab w:val="clear" w:pos="708"/>
          <w:tab w:val="left" w:pos="0" w:leader="none"/>
        </w:tabs>
        <w:rPr/>
      </w:pPr>
      <w:r>
        <w:rPr>
          <w:rStyle w:val="Strong"/>
        </w:rPr>
        <w:t xml:space="preserve">Nombre de variables </w:t>
      </w:r>
      <w:r>
        <w:rPr/>
        <w:t xml:space="preserve"> : 40</w:t>
      </w:r>
    </w:p>
    <w:p>
      <w:pPr>
        <w:pStyle w:val="BodyText"/>
        <w:rPr/>
      </w:pPr>
      <w:r>
        <w:rPr/>
      </w:r>
    </w:p>
    <w:p>
      <w:pPr>
        <w:pStyle w:val="Heading2"/>
        <w:rPr>
          <w:sz w:val="24"/>
          <w:szCs w:val="24"/>
        </w:rPr>
      </w:pPr>
      <w:r>
        <w:rPr>
          <w:sz w:val="24"/>
          <w:szCs w:val="24"/>
        </w:rPr>
        <w:t>3. Qualité des données</w:t>
      </w:r>
    </w:p>
    <w:p>
      <w:pPr>
        <w:pStyle w:val="Heading3"/>
        <w:rPr>
          <w:sz w:val="20"/>
          <w:szCs w:val="20"/>
        </w:rPr>
      </w:pPr>
      <w:r>
        <w:rPr>
          <w:sz w:val="20"/>
          <w:szCs w:val="20"/>
        </w:rPr>
        <w:t>Valeurs manquantes :</w:t>
      </w:r>
    </w:p>
    <w:p>
      <w:pPr>
        <w:pStyle w:val="BodyText"/>
        <w:rPr/>
      </w:pPr>
      <w:r>
        <w:rPr/>
        <w:t>Certaines colonnes présentent un nombre significatif de valeurs manquantes :</w:t>
      </w:r>
    </w:p>
    <w:p>
      <w:pPr>
        <w:pStyle w:val="BodyText"/>
        <w:rPr/>
      </w:pPr>
      <w:r>
        <w:rPr/>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535"/>
        <w:gridCol w:w="4536"/>
      </w:tblGrid>
      <w:tr>
        <w:trPr/>
        <w:tc>
          <w:tcPr>
            <w:tcW w:w="4535" w:type="dxa"/>
            <w:tcBorders>
              <w:top w:val="single" w:sz="4" w:space="0" w:color="000000"/>
              <w:left w:val="single" w:sz="4" w:space="0" w:color="000000"/>
              <w:bottom w:val="single" w:sz="4" w:space="0" w:color="000000"/>
            </w:tcBorders>
          </w:tcPr>
          <w:p>
            <w:pPr>
              <w:pStyle w:val="Contenudetableau"/>
              <w:spacing w:before="0" w:after="160"/>
              <w:rPr>
                <w:sz w:val="20"/>
                <w:szCs w:val="20"/>
              </w:rPr>
            </w:pPr>
            <w:r>
              <w:rPr>
                <w:b/>
                <w:bCs/>
                <w:sz w:val="20"/>
                <w:szCs w:val="20"/>
              </w:rPr>
              <w:t>Colonne</w:t>
            </w:r>
          </w:p>
        </w:tc>
        <w:tc>
          <w:tcPr>
            <w:tcW w:w="4536" w:type="dxa"/>
            <w:tcBorders>
              <w:top w:val="single" w:sz="4" w:space="0" w:color="000000"/>
              <w:left w:val="single" w:sz="4" w:space="0" w:color="000000"/>
              <w:bottom w:val="single" w:sz="4" w:space="0" w:color="000000"/>
              <w:right w:val="single" w:sz="4" w:space="0" w:color="000000"/>
            </w:tcBorders>
          </w:tcPr>
          <w:p>
            <w:pPr>
              <w:pStyle w:val="Contenudetableau"/>
              <w:spacing w:before="0" w:after="160"/>
              <w:rPr>
                <w:sz w:val="20"/>
                <w:szCs w:val="20"/>
              </w:rPr>
            </w:pPr>
            <w:r>
              <w:rPr>
                <w:b/>
                <w:bCs/>
                <w:sz w:val="20"/>
                <w:szCs w:val="20"/>
              </w:rPr>
              <w:t>Nombre de valeurs manquantes</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entrées 2021</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38</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évolution entrées</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38</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programmateur</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1770</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label Art et Essai</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1271</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PdM en entrées des films Art et Essai</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w:t>
            </w:r>
          </w:p>
        </w:tc>
      </w:tr>
    </w:tbl>
    <w:p>
      <w:pPr>
        <w:pStyle w:val="BodyText"/>
        <w:rPr>
          <w:sz w:val="20"/>
          <w:szCs w:val="20"/>
        </w:rPr>
      </w:pPr>
      <w:r>
        <w:rPr>
          <w:sz w:val="20"/>
          <w:szCs w:val="20"/>
        </w:rPr>
      </w:r>
    </w:p>
    <w:p>
      <w:pPr>
        <w:pStyle w:val="BodyText"/>
        <w:numPr>
          <w:ilvl w:val="0"/>
          <w:numId w:val="3"/>
        </w:numPr>
        <w:rPr/>
      </w:pPr>
      <w:r>
        <w:rPr/>
        <w:t xml:space="preserve">La colonne </w:t>
      </w:r>
      <w:r>
        <w:rPr>
          <w:rStyle w:val="Strong"/>
        </w:rPr>
        <w:t>"programmateur et label Art et Essai"</w:t>
      </w:r>
      <w:r>
        <w:rPr/>
        <w:t xml:space="preserve"> est quasiment inutilisable en raison du nombre élevé de valeurs manquantes.</w:t>
      </w:r>
    </w:p>
    <w:p>
      <w:pPr>
        <w:pStyle w:val="BodyText"/>
        <w:numPr>
          <w:ilvl w:val="0"/>
          <w:numId w:val="3"/>
        </w:numPr>
        <w:rPr/>
      </w:pPr>
      <w:r>
        <w:rPr>
          <w:rStyle w:val="Strong"/>
        </w:rPr>
        <w:t>Aucun doublon</w:t>
      </w:r>
      <w:r>
        <w:rPr/>
        <w:t xml:space="preserve"> détecté dans l’ensemble des données.</w:t>
      </w:r>
    </w:p>
    <w:p>
      <w:pPr>
        <w:pStyle w:val="Heading2"/>
        <w:rPr>
          <w:sz w:val="20"/>
          <w:szCs w:val="20"/>
        </w:rPr>
      </w:pPr>
      <w:r>
        <w:rPr>
          <w:sz w:val="20"/>
          <w:szCs w:val="20"/>
        </w:rPr>
      </w:r>
    </w:p>
    <w:p>
      <w:pPr>
        <w:pStyle w:val="BodyText"/>
        <w:rPr/>
      </w:pPr>
      <w:r>
        <w:rPr/>
      </w:r>
    </w:p>
    <w:p>
      <w:pPr>
        <w:pStyle w:val="Heading2"/>
        <w:rPr>
          <w:sz w:val="24"/>
          <w:szCs w:val="24"/>
        </w:rPr>
      </w:pPr>
      <w:r>
        <w:rPr>
          <w:sz w:val="24"/>
          <w:szCs w:val="24"/>
        </w:rPr>
        <w:t>4. Conclusion</w:t>
      </w:r>
    </w:p>
    <w:p>
      <w:pPr>
        <w:pStyle w:val="BodyText"/>
        <w:numPr>
          <w:ilvl w:val="0"/>
          <w:numId w:val="4"/>
        </w:numPr>
        <w:tabs>
          <w:tab w:val="clear" w:pos="708"/>
          <w:tab w:val="left" w:pos="0" w:leader="none"/>
        </w:tabs>
        <w:rPr/>
      </w:pPr>
      <w:r>
        <w:rPr/>
        <w:t>Les données sont bien organisées, mais certaines variables sont incomplètes.</w:t>
      </w:r>
    </w:p>
    <w:p>
      <w:pPr>
        <w:pStyle w:val="BodyText"/>
        <w:numPr>
          <w:ilvl w:val="0"/>
          <w:numId w:val="4"/>
        </w:numPr>
        <w:tabs>
          <w:tab w:val="clear" w:pos="708"/>
          <w:tab w:val="left" w:pos="0" w:leader="none"/>
        </w:tabs>
        <w:rPr/>
      </w:pPr>
      <w:r>
        <w:rPr/>
        <w:t>La colonne "programmateur" pourrait être exclue de l’analyse en raison du nombre élevé de valeurs manquantes.</w:t>
      </w:r>
    </w:p>
    <w:p>
      <w:pPr>
        <w:pStyle w:val="BodyText"/>
        <w:numPr>
          <w:ilvl w:val="0"/>
          <w:numId w:val="4"/>
        </w:numPr>
        <w:tabs>
          <w:tab w:val="clear" w:pos="708"/>
          <w:tab w:val="left" w:pos="0" w:leader="none"/>
        </w:tabs>
        <w:rPr/>
      </w:pPr>
      <w:r>
        <w:rPr/>
        <w:t>Une vérification approfondie des valeurs manquantes et une éventuelle imputation sont nécessaires pour optimiser l’exploitation des données.</w:t>
      </w:r>
    </w:p>
    <w:p>
      <w:pPr>
        <w:pStyle w:val="BodyText"/>
        <w:numPr>
          <w:ilvl w:val="0"/>
          <w:numId w:val="4"/>
        </w:numPr>
        <w:tabs>
          <w:tab w:val="clear" w:pos="708"/>
          <w:tab w:val="left" w:pos="0" w:leader="none"/>
        </w:tabs>
        <w:rPr/>
      </w:pPr>
      <w:r>
        <w:rPr/>
        <w:t>La présence de données géographiques permet des analyses cartographiques intéressantes.</w:t>
      </w:r>
    </w:p>
    <w:p>
      <w:pPr>
        <w:pStyle w:val="BodyText"/>
        <w:rPr/>
      </w:pPr>
      <w:r>
        <w:rPr/>
      </w:r>
    </w:p>
    <w:p>
      <w:pPr>
        <w:pStyle w:val="BodyText"/>
        <w:ind w:left="720"/>
        <w:rPr>
          <w:b/>
          <w:bCs/>
          <w:sz w:val="30"/>
          <w:szCs w:val="30"/>
        </w:rPr>
      </w:pPr>
      <w:r>
        <w:rPr>
          <w:b/>
          <w:bCs/>
          <w:sz w:val="30"/>
          <w:szCs w:val="30"/>
        </w:rPr>
        <w:t>Fichier 2021 :</w:t>
      </w:r>
    </w:p>
    <w:p>
      <w:pPr>
        <w:pStyle w:val="BodyText"/>
        <w:ind w:left="720"/>
        <w:rPr/>
      </w:pPr>
      <w:r>
        <w:rPr/>
      </w:r>
    </w:p>
    <w:p>
      <w:pPr>
        <w:pStyle w:val="BodyText"/>
        <w:numPr>
          <w:ilvl w:val="0"/>
          <w:numId w:val="2"/>
        </w:numPr>
        <w:tabs>
          <w:tab w:val="clear" w:pos="708"/>
          <w:tab w:val="left" w:pos="0" w:leader="none"/>
        </w:tabs>
        <w:rPr/>
      </w:pPr>
      <w:r>
        <w:rPr>
          <w:rStyle w:val="Strong"/>
        </w:rPr>
        <w:t>Nombre de lignes</w:t>
      </w:r>
      <w:r>
        <w:rPr/>
        <w:t xml:space="preserve"> : 2028</w:t>
      </w:r>
    </w:p>
    <w:p>
      <w:pPr>
        <w:pStyle w:val="BodyText"/>
        <w:numPr>
          <w:ilvl w:val="0"/>
          <w:numId w:val="2"/>
        </w:numPr>
        <w:tabs>
          <w:tab w:val="clear" w:pos="708"/>
          <w:tab w:val="left" w:pos="0" w:leader="none"/>
        </w:tabs>
        <w:rPr/>
      </w:pPr>
      <w:r>
        <w:rPr>
          <w:rStyle w:val="Strong"/>
        </w:rPr>
        <w:t>Nombre de variables</w:t>
      </w:r>
      <w:r>
        <w:rPr/>
        <w:t xml:space="preserve"> : 40</w:t>
      </w:r>
    </w:p>
    <w:p>
      <w:pPr>
        <w:pStyle w:val="BodyText"/>
        <w:tabs>
          <w:tab w:val="clear" w:pos="708"/>
          <w:tab w:val="left" w:pos="0" w:leader="none"/>
        </w:tabs>
        <w:ind w:hanging="283" w:left="709"/>
        <w:rPr/>
      </w:pPr>
      <w:r>
        <w:rPr/>
      </w:r>
    </w:p>
    <w:p>
      <w:pPr>
        <w:pStyle w:val="Heading2"/>
        <w:rPr>
          <w:sz w:val="24"/>
          <w:szCs w:val="24"/>
        </w:rPr>
      </w:pPr>
      <w:r>
        <w:rPr>
          <w:sz w:val="24"/>
          <w:szCs w:val="24"/>
        </w:rPr>
        <w:t>3. Qualité des données</w:t>
      </w:r>
    </w:p>
    <w:p>
      <w:pPr>
        <w:pStyle w:val="Heading3"/>
        <w:rPr>
          <w:sz w:val="20"/>
          <w:szCs w:val="20"/>
        </w:rPr>
      </w:pPr>
      <w:r>
        <w:rPr>
          <w:sz w:val="20"/>
          <w:szCs w:val="20"/>
        </w:rPr>
        <w:t>Valeurs manquantes :</w:t>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535"/>
        <w:gridCol w:w="4536"/>
      </w:tblGrid>
      <w:tr>
        <w:trPr/>
        <w:tc>
          <w:tcPr>
            <w:tcW w:w="4535" w:type="dxa"/>
            <w:tcBorders>
              <w:top w:val="single" w:sz="4" w:space="0" w:color="000000"/>
              <w:left w:val="single" w:sz="4" w:space="0" w:color="000000"/>
              <w:bottom w:val="single" w:sz="4" w:space="0" w:color="000000"/>
            </w:tcBorders>
          </w:tcPr>
          <w:p>
            <w:pPr>
              <w:pStyle w:val="Contenudetableau"/>
              <w:spacing w:before="0" w:after="160"/>
              <w:rPr>
                <w:sz w:val="20"/>
                <w:szCs w:val="20"/>
              </w:rPr>
            </w:pPr>
            <w:r>
              <w:rPr>
                <w:b/>
                <w:bCs/>
                <w:sz w:val="20"/>
                <w:szCs w:val="20"/>
              </w:rPr>
              <w:t>Colonne</w:t>
            </w:r>
          </w:p>
        </w:tc>
        <w:tc>
          <w:tcPr>
            <w:tcW w:w="4536" w:type="dxa"/>
            <w:tcBorders>
              <w:top w:val="single" w:sz="4" w:space="0" w:color="000000"/>
              <w:left w:val="single" w:sz="4" w:space="0" w:color="000000"/>
              <w:bottom w:val="single" w:sz="4" w:space="0" w:color="000000"/>
              <w:right w:val="single" w:sz="4" w:space="0" w:color="000000"/>
            </w:tcBorders>
          </w:tcPr>
          <w:p>
            <w:pPr>
              <w:pStyle w:val="Contenudetableau"/>
              <w:spacing w:before="0" w:after="160"/>
              <w:rPr>
                <w:sz w:val="20"/>
                <w:szCs w:val="20"/>
              </w:rPr>
            </w:pPr>
            <w:r>
              <w:rPr>
                <w:b/>
                <w:bCs/>
                <w:sz w:val="20"/>
                <w:szCs w:val="20"/>
              </w:rPr>
              <w:t>Nombre de valeurs manquantes</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population de la commune</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évolution entrées</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49</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programmateur</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812</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label Art et Essai</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1167</w:t>
            </w:r>
          </w:p>
        </w:tc>
      </w:tr>
    </w:tbl>
    <w:p>
      <w:pPr>
        <w:pStyle w:val="Normal"/>
        <w:ind w:left="720"/>
        <w:rPr/>
      </w:pPr>
      <w:r>
        <w:rPr/>
      </w:r>
    </w:p>
    <w:p>
      <w:pPr>
        <w:pStyle w:val="BodyText"/>
        <w:numPr>
          <w:ilvl w:val="0"/>
          <w:numId w:val="3"/>
        </w:numPr>
        <w:rPr/>
      </w:pPr>
      <w:r>
        <w:rPr/>
        <w:t xml:space="preserve">La colonne </w:t>
      </w:r>
      <w:r>
        <w:rPr>
          <w:rStyle w:val="Strong"/>
        </w:rPr>
        <w:t>"programmateur et label Art et Essai"</w:t>
      </w:r>
      <w:r>
        <w:rPr/>
        <w:t xml:space="preserve"> est quasiment inutilisable en raison du nombre élevé de valeurs manquantes.</w:t>
      </w:r>
    </w:p>
    <w:p>
      <w:pPr>
        <w:pStyle w:val="Normal"/>
        <w:rPr>
          <w:sz w:val="24"/>
          <w:szCs w:val="24"/>
        </w:rPr>
      </w:pPr>
      <w:r>
        <w:rPr>
          <w:sz w:val="24"/>
          <w:szCs w:val="24"/>
        </w:rPr>
      </w:r>
    </w:p>
    <w:p>
      <w:pPr>
        <w:pStyle w:val="Heading2"/>
        <w:rPr>
          <w:sz w:val="24"/>
          <w:szCs w:val="24"/>
        </w:rPr>
      </w:pPr>
      <w:r>
        <w:rPr>
          <w:sz w:val="24"/>
          <w:szCs w:val="24"/>
        </w:rPr>
        <w:t>4. Conclusion</w:t>
      </w:r>
    </w:p>
    <w:p>
      <w:pPr>
        <w:pStyle w:val="Normal"/>
        <w:rPr/>
      </w:pPr>
      <w:r>
        <w:rPr>
          <w:sz w:val="24"/>
          <w:szCs w:val="24"/>
        </w:rPr>
        <w:t>Les données du fichier 2021 sont globalement bien structurées, mais plusieurs colonnes présentent des valeurs manquantes.</w:t>
      </w:r>
    </w:p>
    <w:p>
      <w:pPr>
        <w:pStyle w:val="BodyText"/>
        <w:numPr>
          <w:ilvl w:val="0"/>
          <w:numId w:val="5"/>
        </w:numPr>
        <w:tabs>
          <w:tab w:val="clear" w:pos="708"/>
          <w:tab w:val="left" w:pos="0" w:leader="none"/>
        </w:tabs>
        <w:spacing w:before="0" w:after="0"/>
        <w:rPr/>
      </w:pPr>
      <w:r>
        <w:rPr/>
        <w:t xml:space="preserve">La colonne </w:t>
      </w:r>
      <w:r>
        <w:rPr>
          <w:rStyle w:val="Strong"/>
        </w:rPr>
        <w:t>"programmateur"</w:t>
      </w:r>
      <w:r>
        <w:rPr/>
        <w:t xml:space="preserve"> et la colonne </w:t>
      </w:r>
      <w:r>
        <w:rPr>
          <w:rStyle w:val="Strong"/>
        </w:rPr>
        <w:t>"label Art et Essai"</w:t>
      </w:r>
      <w:r>
        <w:rPr/>
        <w:t xml:space="preserve"> sont quasiment inutilisables en raison du trop grand nombre de valeurs manquantes.</w:t>
      </w:r>
    </w:p>
    <w:p>
      <w:pPr>
        <w:pStyle w:val="BodyText"/>
        <w:numPr>
          <w:ilvl w:val="0"/>
          <w:numId w:val="6"/>
        </w:numPr>
        <w:tabs>
          <w:tab w:val="clear" w:pos="708"/>
          <w:tab w:val="left" w:pos="0" w:leader="none"/>
        </w:tabs>
        <w:spacing w:before="0" w:after="0"/>
        <w:rPr/>
      </w:pPr>
      <w:r>
        <w:rPr/>
        <w:t xml:space="preserve">Une vérification et une imputation des valeurs manquantes, notamment pour </w:t>
      </w:r>
      <w:r>
        <w:rPr>
          <w:rStyle w:val="Strong"/>
        </w:rPr>
        <w:t>"évolution entrées"</w:t>
      </w:r>
      <w:r>
        <w:rPr/>
        <w:t>, pourraient améliorer l’exploitation des données.</w:t>
      </w:r>
    </w:p>
    <w:p>
      <w:pPr>
        <w:pStyle w:val="BodyText"/>
        <w:rPr/>
      </w:pPr>
      <w:r>
        <w:rPr/>
      </w:r>
    </w:p>
    <w:p>
      <w:pPr>
        <w:pStyle w:val="BodyText"/>
        <w:rPr>
          <w:sz w:val="30"/>
          <w:szCs w:val="30"/>
        </w:rPr>
      </w:pPr>
      <w:r>
        <w:rPr>
          <w:sz w:val="30"/>
          <w:szCs w:val="30"/>
        </w:rPr>
      </w:r>
    </w:p>
    <w:p>
      <w:pPr>
        <w:pStyle w:val="BodyText"/>
        <w:ind w:left="720"/>
        <w:rPr>
          <w:sz w:val="30"/>
          <w:szCs w:val="30"/>
        </w:rPr>
      </w:pPr>
      <w:r>
        <w:rPr>
          <w:sz w:val="30"/>
          <w:szCs w:val="30"/>
        </w:rPr>
      </w:r>
    </w:p>
    <w:p>
      <w:pPr>
        <w:pStyle w:val="BodyText"/>
        <w:ind w:left="720"/>
        <w:rPr>
          <w:b/>
          <w:bCs/>
          <w:sz w:val="30"/>
          <w:szCs w:val="30"/>
        </w:rPr>
      </w:pPr>
      <w:r>
        <w:rPr>
          <w:b/>
          <w:bCs/>
          <w:sz w:val="30"/>
          <w:szCs w:val="30"/>
        </w:rPr>
        <w:t>Fichier 2020 :</w:t>
      </w:r>
    </w:p>
    <w:p>
      <w:pPr>
        <w:pStyle w:val="BodyText"/>
        <w:numPr>
          <w:ilvl w:val="0"/>
          <w:numId w:val="2"/>
        </w:numPr>
        <w:rPr/>
      </w:pPr>
      <w:r>
        <w:rPr>
          <w:rStyle w:val="Strong"/>
        </w:rPr>
        <w:t>Nombre de lignes</w:t>
      </w:r>
      <w:r>
        <w:rPr/>
        <w:t xml:space="preserve"> : </w:t>
      </w:r>
      <w:r>
        <w:rPr>
          <w:rStyle w:val="Strong"/>
          <w:b w:val="false"/>
          <w:bCs w:val="false"/>
        </w:rPr>
        <w:t>2041</w:t>
      </w:r>
    </w:p>
    <w:p>
      <w:pPr>
        <w:pStyle w:val="BodyText"/>
        <w:numPr>
          <w:ilvl w:val="0"/>
          <w:numId w:val="2"/>
        </w:numPr>
        <w:tabs>
          <w:tab w:val="clear" w:pos="708"/>
          <w:tab w:val="left" w:pos="0" w:leader="none"/>
        </w:tabs>
        <w:rPr/>
      </w:pPr>
      <w:r>
        <w:rPr>
          <w:rStyle w:val="Strong"/>
        </w:rPr>
        <w:t xml:space="preserve">Nombre de variables </w:t>
      </w:r>
      <w:r>
        <w:rPr/>
        <w:t xml:space="preserve"> : 40</w:t>
      </w:r>
    </w:p>
    <w:p>
      <w:pPr>
        <w:pStyle w:val="BodyText"/>
        <w:tabs>
          <w:tab w:val="clear" w:pos="708"/>
          <w:tab w:val="left" w:pos="0" w:leader="none"/>
        </w:tabs>
        <w:ind w:left="709"/>
        <w:rPr/>
      </w:pPr>
      <w:r>
        <w:rPr>
          <w:sz w:val="20"/>
          <w:szCs w:val="20"/>
        </w:rPr>
        <w:t>Valeurs manquantes :</w:t>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535"/>
        <w:gridCol w:w="4536"/>
      </w:tblGrid>
      <w:tr>
        <w:trPr/>
        <w:tc>
          <w:tcPr>
            <w:tcW w:w="4535" w:type="dxa"/>
            <w:tcBorders>
              <w:top w:val="single" w:sz="4" w:space="0" w:color="000000"/>
              <w:left w:val="single" w:sz="4" w:space="0" w:color="000000"/>
              <w:bottom w:val="single" w:sz="4" w:space="0" w:color="000000"/>
            </w:tcBorders>
          </w:tcPr>
          <w:p>
            <w:pPr>
              <w:pStyle w:val="Contenudetableau"/>
              <w:spacing w:before="0" w:after="160"/>
              <w:rPr>
                <w:sz w:val="20"/>
                <w:szCs w:val="20"/>
              </w:rPr>
            </w:pPr>
            <w:r>
              <w:rPr>
                <w:b/>
                <w:bCs/>
                <w:sz w:val="20"/>
                <w:szCs w:val="20"/>
              </w:rPr>
              <w:t>Colonne</w:t>
            </w:r>
          </w:p>
        </w:tc>
        <w:tc>
          <w:tcPr>
            <w:tcW w:w="4536" w:type="dxa"/>
            <w:tcBorders>
              <w:top w:val="single" w:sz="4" w:space="0" w:color="000000"/>
              <w:left w:val="single" w:sz="4" w:space="0" w:color="000000"/>
              <w:bottom w:val="single" w:sz="4" w:space="0" w:color="000000"/>
              <w:right w:val="single" w:sz="4" w:space="0" w:color="000000"/>
            </w:tcBorders>
          </w:tcPr>
          <w:p>
            <w:pPr>
              <w:pStyle w:val="Contenudetableau"/>
              <w:spacing w:before="0" w:after="160"/>
              <w:rPr>
                <w:sz w:val="20"/>
                <w:szCs w:val="20"/>
              </w:rPr>
            </w:pPr>
            <w:r>
              <w:rPr>
                <w:b/>
                <w:bCs/>
                <w:sz w:val="20"/>
                <w:szCs w:val="20"/>
              </w:rPr>
              <w:t>Nombre de valeurs manquantes</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évolution entrées</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programmateur</w:t>
            </w:r>
          </w:p>
        </w:tc>
        <w:tc>
          <w:tcPr>
            <w:tcW w:w="4536" w:type="dxa"/>
            <w:tcBorders>
              <w:left w:val="single" w:sz="4" w:space="0" w:color="000000"/>
              <w:bottom w:val="single" w:sz="4" w:space="0" w:color="000000"/>
              <w:right w:val="single" w:sz="4" w:space="0" w:color="000000"/>
            </w:tcBorders>
          </w:tcPr>
          <w:p>
            <w:pPr>
              <w:pStyle w:val="BodyText"/>
              <w:spacing w:before="0" w:after="0"/>
              <w:rPr/>
            </w:pPr>
            <w:r>
              <w:rPr>
                <w:sz w:val="20"/>
                <w:szCs w:val="20"/>
              </w:rPr>
              <w:t>854</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sz w:val="20"/>
                <w:szCs w:val="20"/>
              </w:rPr>
              <w:t>label Art et Essai</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sz w:val="20"/>
                <w:szCs w:val="20"/>
              </w:rPr>
              <w:t>1198</w:t>
            </w:r>
          </w:p>
        </w:tc>
      </w:tr>
    </w:tbl>
    <w:p>
      <w:pPr>
        <w:pStyle w:val="Normal"/>
        <w:ind w:left="720"/>
        <w:rPr>
          <w:sz w:val="24"/>
          <w:szCs w:val="24"/>
        </w:rPr>
      </w:pPr>
      <w:r>
        <w:rPr>
          <w:sz w:val="24"/>
          <w:szCs w:val="24"/>
        </w:rPr>
        <w:tab/>
      </w:r>
    </w:p>
    <w:p>
      <w:pPr>
        <w:pStyle w:val="Normal"/>
        <w:rPr>
          <w:sz w:val="24"/>
          <w:szCs w:val="24"/>
        </w:rPr>
      </w:pPr>
      <w:r>
        <w:rPr>
          <w:b/>
          <w:bCs/>
          <w:sz w:val="24"/>
          <w:szCs w:val="24"/>
        </w:rPr>
        <w:t>Conclusion</w:t>
      </w:r>
    </w:p>
    <w:p>
      <w:pPr>
        <w:pStyle w:val="Normal"/>
        <w:numPr>
          <w:ilvl w:val="0"/>
          <w:numId w:val="8"/>
        </w:numPr>
        <w:rPr>
          <w:sz w:val="24"/>
          <w:szCs w:val="24"/>
        </w:rPr>
      </w:pPr>
      <w:r>
        <w:rPr>
          <w:sz w:val="24"/>
          <w:szCs w:val="24"/>
        </w:rPr>
        <w:t>La base semble bien structurée avec des informations détaillées.</w:t>
      </w:r>
    </w:p>
    <w:p>
      <w:pPr>
        <w:pStyle w:val="BodyText"/>
        <w:numPr>
          <w:ilvl w:val="0"/>
          <w:numId w:val="7"/>
        </w:numPr>
        <w:spacing w:before="0" w:after="0"/>
        <w:rPr/>
      </w:pPr>
      <w:r>
        <w:rPr>
          <w:sz w:val="24"/>
          <w:szCs w:val="24"/>
        </w:rPr>
        <w:t xml:space="preserve">Certaines variables comme </w:t>
      </w:r>
      <w:r>
        <w:rPr>
          <w:rStyle w:val="Strong"/>
          <w:sz w:val="24"/>
          <w:szCs w:val="24"/>
        </w:rPr>
        <w:t>programmateur</w:t>
      </w:r>
      <w:r>
        <w:rPr>
          <w:sz w:val="24"/>
          <w:szCs w:val="24"/>
        </w:rPr>
        <w:t xml:space="preserve"> et </w:t>
      </w:r>
      <w:r>
        <w:rPr>
          <w:rStyle w:val="Strong"/>
          <w:sz w:val="24"/>
          <w:szCs w:val="24"/>
        </w:rPr>
        <w:t>label Art et Essai</w:t>
      </w:r>
      <w:r>
        <w:rPr>
          <w:sz w:val="24"/>
          <w:szCs w:val="24"/>
        </w:rPr>
        <w:t xml:space="preserve"> ont beaucoup de valeurs manquantes, ce qui pourrait nécessiter un traitement particulier.</w:t>
      </w:r>
    </w:p>
    <w:p>
      <w:pPr>
        <w:pStyle w:val="BodyText"/>
        <w:spacing w:before="0" w:after="0"/>
        <w:rPr>
          <w:sz w:val="30"/>
          <w:szCs w:val="30"/>
        </w:rPr>
      </w:pPr>
      <w:r>
        <w:rPr>
          <w:sz w:val="30"/>
          <w:szCs w:val="30"/>
        </w:rPr>
      </w:r>
    </w:p>
    <w:p>
      <w:pPr>
        <w:pStyle w:val="BodyText"/>
        <w:ind w:left="720"/>
        <w:rPr>
          <w:b/>
          <w:bCs/>
          <w:sz w:val="30"/>
          <w:szCs w:val="30"/>
        </w:rPr>
      </w:pPr>
      <w:r>
        <w:rPr>
          <w:b/>
          <w:bCs/>
          <w:sz w:val="30"/>
          <w:szCs w:val="30"/>
        </w:rPr>
        <w:t>Fichier 2019 :</w:t>
      </w:r>
    </w:p>
    <w:p>
      <w:pPr>
        <w:pStyle w:val="BodyText"/>
        <w:numPr>
          <w:ilvl w:val="0"/>
          <w:numId w:val="2"/>
        </w:numPr>
        <w:rPr/>
      </w:pPr>
      <w:r>
        <w:rPr>
          <w:rStyle w:val="Strong"/>
        </w:rPr>
        <w:t>Nombre de lignes</w:t>
      </w:r>
      <w:r>
        <w:rPr/>
        <w:t xml:space="preserve"> : </w:t>
      </w:r>
      <w:r>
        <w:rPr>
          <w:rStyle w:val="Strong"/>
          <w:b w:val="false"/>
          <w:bCs w:val="false"/>
        </w:rPr>
        <w:t>2045</w:t>
      </w:r>
    </w:p>
    <w:p>
      <w:pPr>
        <w:pStyle w:val="BodyText"/>
        <w:numPr>
          <w:ilvl w:val="0"/>
          <w:numId w:val="2"/>
        </w:numPr>
        <w:tabs>
          <w:tab w:val="clear" w:pos="708"/>
          <w:tab w:val="left" w:pos="0" w:leader="none"/>
        </w:tabs>
        <w:rPr/>
      </w:pPr>
      <w:r>
        <w:rPr>
          <w:rStyle w:val="Strong"/>
        </w:rPr>
        <w:t xml:space="preserve">Nombre de variables </w:t>
      </w:r>
      <w:r>
        <w:rPr/>
        <w:t xml:space="preserve"> : 40</w:t>
      </w:r>
    </w:p>
    <w:p>
      <w:pPr>
        <w:pStyle w:val="Heading3"/>
        <w:rPr>
          <w:sz w:val="20"/>
          <w:szCs w:val="20"/>
        </w:rPr>
      </w:pPr>
      <w:r>
        <w:rPr>
          <w:sz w:val="20"/>
          <w:szCs w:val="20"/>
        </w:rPr>
        <w:t>Valeurs manquantes :</w:t>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535"/>
        <w:gridCol w:w="4536"/>
      </w:tblGrid>
      <w:tr>
        <w:trPr/>
        <w:tc>
          <w:tcPr>
            <w:tcW w:w="4535" w:type="dxa"/>
            <w:tcBorders>
              <w:top w:val="single" w:sz="4" w:space="0" w:color="000000"/>
              <w:left w:val="single" w:sz="4" w:space="0" w:color="000000"/>
              <w:bottom w:val="single" w:sz="4" w:space="0" w:color="000000"/>
            </w:tcBorders>
          </w:tcPr>
          <w:p>
            <w:pPr>
              <w:pStyle w:val="Contenudetableau"/>
              <w:spacing w:before="0" w:after="160"/>
              <w:rPr>
                <w:sz w:val="20"/>
                <w:szCs w:val="20"/>
              </w:rPr>
            </w:pPr>
            <w:r>
              <w:rPr>
                <w:b/>
                <w:bCs/>
                <w:sz w:val="20"/>
                <w:szCs w:val="20"/>
              </w:rPr>
              <w:t>Colonne</w:t>
            </w:r>
          </w:p>
        </w:tc>
        <w:tc>
          <w:tcPr>
            <w:tcW w:w="4536" w:type="dxa"/>
            <w:tcBorders>
              <w:top w:val="single" w:sz="4" w:space="0" w:color="000000"/>
              <w:left w:val="single" w:sz="4" w:space="0" w:color="000000"/>
              <w:bottom w:val="single" w:sz="4" w:space="0" w:color="000000"/>
              <w:right w:val="single" w:sz="4" w:space="0" w:color="000000"/>
            </w:tcBorders>
          </w:tcPr>
          <w:p>
            <w:pPr>
              <w:pStyle w:val="Contenudetableau"/>
              <w:spacing w:before="0" w:after="160"/>
              <w:rPr>
                <w:sz w:val="20"/>
                <w:szCs w:val="20"/>
              </w:rPr>
            </w:pPr>
            <w:r>
              <w:rPr>
                <w:b/>
                <w:bCs/>
                <w:sz w:val="20"/>
                <w:szCs w:val="20"/>
              </w:rPr>
              <w:t>Nombre de valeurs manquantes</w:t>
            </w:r>
          </w:p>
        </w:tc>
      </w:tr>
      <w:tr>
        <w:trPr/>
        <w:tc>
          <w:tcPr>
            <w:tcW w:w="4535" w:type="dxa"/>
            <w:tcBorders>
              <w:left w:val="single" w:sz="4" w:space="0" w:color="000000"/>
              <w:bottom w:val="single" w:sz="4" w:space="0" w:color="000000"/>
            </w:tcBorders>
          </w:tcPr>
          <w:p>
            <w:pPr>
              <w:pStyle w:val="BodyText"/>
              <w:spacing w:before="0" w:after="0"/>
              <w:rPr/>
            </w:pPr>
            <w:r>
              <w:rPr>
                <w:rStyle w:val="Strong"/>
                <w:sz w:val="20"/>
                <w:szCs w:val="20"/>
              </w:rPr>
              <w:t>adresse</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18</w:t>
            </w:r>
          </w:p>
        </w:tc>
      </w:tr>
      <w:tr>
        <w:trPr/>
        <w:tc>
          <w:tcPr>
            <w:tcW w:w="4535" w:type="dxa"/>
            <w:tcBorders>
              <w:left w:val="single" w:sz="4" w:space="0" w:color="000000"/>
              <w:bottom w:val="single" w:sz="4" w:space="0" w:color="000000"/>
            </w:tcBorders>
          </w:tcPr>
          <w:p>
            <w:pPr>
              <w:pStyle w:val="BodyText"/>
              <w:spacing w:before="0" w:after="0"/>
              <w:rPr>
                <w:sz w:val="20"/>
                <w:szCs w:val="20"/>
              </w:rPr>
            </w:pPr>
            <w:r>
              <w:rPr>
                <w:rStyle w:val="Strong"/>
                <w:sz w:val="20"/>
                <w:szCs w:val="20"/>
              </w:rPr>
              <w:t>entrées 2018</w:t>
            </w:r>
          </w:p>
        </w:tc>
        <w:tc>
          <w:tcPr>
            <w:tcW w:w="4536" w:type="dxa"/>
            <w:tcBorders>
              <w:left w:val="single" w:sz="4" w:space="0" w:color="000000"/>
              <w:bottom w:val="single" w:sz="4" w:space="0" w:color="000000"/>
              <w:right w:val="single" w:sz="4" w:space="0" w:color="000000"/>
            </w:tcBorders>
          </w:tcPr>
          <w:p>
            <w:pPr>
              <w:pStyle w:val="BodyText"/>
              <w:spacing w:before="0" w:after="0"/>
              <w:rPr/>
            </w:pPr>
            <w:r>
              <w:rPr>
                <w:sz w:val="20"/>
                <w:szCs w:val="20"/>
              </w:rPr>
              <w:t>44</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rStyle w:val="Strong"/>
                <w:sz w:val="20"/>
                <w:szCs w:val="20"/>
              </w:rPr>
              <w:t>évolution entrées</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sz w:val="20"/>
                <w:szCs w:val="20"/>
              </w:rPr>
              <w:t>44</w:t>
            </w:r>
          </w:p>
        </w:tc>
      </w:tr>
      <w:tr>
        <w:trPr/>
        <w:tc>
          <w:tcPr>
            <w:tcW w:w="4535" w:type="dxa"/>
            <w:tcBorders>
              <w:left w:val="single" w:sz="4" w:space="0" w:color="000000"/>
              <w:bottom w:val="single" w:sz="4" w:space="0" w:color="000000"/>
            </w:tcBorders>
          </w:tcPr>
          <w:p>
            <w:pPr>
              <w:pStyle w:val="BodyText"/>
              <w:spacing w:before="0" w:after="0"/>
              <w:rPr/>
            </w:pPr>
            <w:r>
              <w:rPr>
                <w:rStyle w:val="Strong"/>
              </w:rPr>
              <w:t>programmateur</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862</w:t>
            </w:r>
          </w:p>
        </w:tc>
      </w:tr>
      <w:tr>
        <w:trPr/>
        <w:tc>
          <w:tcPr>
            <w:tcW w:w="4535" w:type="dxa"/>
            <w:tcBorders>
              <w:left w:val="single" w:sz="4" w:space="0" w:color="000000"/>
              <w:bottom w:val="single" w:sz="4" w:space="0" w:color="000000"/>
            </w:tcBorders>
          </w:tcPr>
          <w:p>
            <w:pPr>
              <w:pStyle w:val="BodyText"/>
              <w:spacing w:before="0" w:after="0"/>
              <w:rPr/>
            </w:pPr>
            <w:r>
              <w:rPr>
                <w:rStyle w:val="Strong"/>
              </w:rPr>
              <w:t>label Art et Essai</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1212</w:t>
            </w:r>
          </w:p>
        </w:tc>
      </w:tr>
      <w:tr>
        <w:trPr/>
        <w:tc>
          <w:tcPr>
            <w:tcW w:w="4535" w:type="dxa"/>
            <w:tcBorders>
              <w:left w:val="single" w:sz="4" w:space="0" w:color="000000"/>
              <w:bottom w:val="single" w:sz="4" w:space="0" w:color="000000"/>
            </w:tcBorders>
          </w:tcPr>
          <w:p>
            <w:pPr>
              <w:pStyle w:val="BodyText"/>
              <w:spacing w:before="0" w:after="0"/>
              <w:rPr/>
            </w:pPr>
            <w:r>
              <w:rPr>
                <w:rStyle w:val="Strong"/>
              </w:rPr>
              <w:t>propriétaire</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341</w:t>
            </w:r>
          </w:p>
        </w:tc>
      </w:tr>
    </w:tbl>
    <w:p>
      <w:pPr>
        <w:pStyle w:val="Normal"/>
        <w:ind w:left="720"/>
        <w:rPr>
          <w:sz w:val="24"/>
          <w:szCs w:val="24"/>
        </w:rPr>
      </w:pPr>
      <w:r>
        <w:rPr>
          <w:sz w:val="24"/>
          <w:szCs w:val="24"/>
        </w:rPr>
        <w:tab/>
      </w:r>
    </w:p>
    <w:p>
      <w:pPr>
        <w:pStyle w:val="Normal"/>
        <w:rPr>
          <w:sz w:val="24"/>
          <w:szCs w:val="24"/>
        </w:rPr>
      </w:pPr>
      <w:r>
        <w:rPr>
          <w:b/>
          <w:bCs/>
          <w:sz w:val="24"/>
          <w:szCs w:val="24"/>
        </w:rPr>
        <w:t>Conclusion</w:t>
      </w:r>
    </w:p>
    <w:p>
      <w:pPr>
        <w:pStyle w:val="Normal"/>
        <w:numPr>
          <w:ilvl w:val="0"/>
          <w:numId w:val="9"/>
        </w:numPr>
        <w:rPr/>
      </w:pPr>
      <w:r>
        <w:rPr/>
        <w:t>Des valeurs manquantes similaires à 2020 sont présentes pour « </w:t>
      </w:r>
      <w:r>
        <w:rPr>
          <w:rStyle w:val="Strong"/>
          <w:b w:val="false"/>
          <w:bCs w:val="false"/>
        </w:rPr>
        <w:t>programmateur »</w:t>
      </w:r>
      <w:r>
        <w:rPr/>
        <w:t xml:space="preserve"> et « </w:t>
      </w:r>
      <w:r>
        <w:rPr>
          <w:rStyle w:val="Strong"/>
          <w:b w:val="false"/>
          <w:bCs w:val="false"/>
        </w:rPr>
        <w:t>label Art et Essai ».</w:t>
      </w:r>
    </w:p>
    <w:p>
      <w:pPr>
        <w:pStyle w:val="BodyText"/>
        <w:ind w:left="720"/>
        <w:rPr>
          <w:sz w:val="30"/>
          <w:szCs w:val="30"/>
        </w:rPr>
      </w:pPr>
      <w:r>
        <w:rPr>
          <w:sz w:val="30"/>
          <w:szCs w:val="30"/>
        </w:rPr>
      </w:r>
    </w:p>
    <w:p>
      <w:pPr>
        <w:pStyle w:val="BodyText"/>
        <w:ind w:left="720"/>
        <w:rPr>
          <w:sz w:val="30"/>
          <w:szCs w:val="30"/>
        </w:rPr>
      </w:pPr>
      <w:r>
        <w:rPr>
          <w:sz w:val="30"/>
          <w:szCs w:val="30"/>
        </w:rPr>
      </w:r>
    </w:p>
    <w:p>
      <w:pPr>
        <w:pStyle w:val="BodyText"/>
        <w:ind w:left="720"/>
        <w:rPr>
          <w:b/>
          <w:bCs/>
          <w:sz w:val="30"/>
          <w:szCs w:val="30"/>
        </w:rPr>
      </w:pPr>
      <w:r>
        <w:rPr>
          <w:b/>
          <w:bCs/>
          <w:sz w:val="30"/>
          <w:szCs w:val="30"/>
        </w:rPr>
        <w:t>Fichier 2018 :</w:t>
      </w:r>
    </w:p>
    <w:p>
      <w:pPr>
        <w:pStyle w:val="BodyText"/>
        <w:numPr>
          <w:ilvl w:val="0"/>
          <w:numId w:val="2"/>
        </w:numPr>
        <w:rPr/>
      </w:pPr>
      <w:r>
        <w:rPr>
          <w:rStyle w:val="Strong"/>
        </w:rPr>
        <w:t>Nombre de lignes</w:t>
      </w:r>
      <w:r>
        <w:rPr/>
        <w:t xml:space="preserve"> : </w:t>
      </w:r>
      <w:r>
        <w:rPr>
          <w:rStyle w:val="Strong"/>
          <w:b w:val="false"/>
          <w:bCs w:val="false"/>
        </w:rPr>
        <w:t>2040</w:t>
      </w:r>
    </w:p>
    <w:p>
      <w:pPr>
        <w:pStyle w:val="BodyText"/>
        <w:numPr>
          <w:ilvl w:val="0"/>
          <w:numId w:val="2"/>
        </w:numPr>
        <w:tabs>
          <w:tab w:val="clear" w:pos="708"/>
          <w:tab w:val="left" w:pos="0" w:leader="none"/>
        </w:tabs>
        <w:rPr/>
      </w:pPr>
      <w:r>
        <w:rPr>
          <w:rStyle w:val="Strong"/>
        </w:rPr>
        <w:t xml:space="preserve">Nombre de variables </w:t>
      </w:r>
      <w:r>
        <w:rPr>
          <w:b/>
          <w:bCs/>
        </w:rPr>
        <w:t xml:space="preserve"> : 40</w:t>
      </w:r>
    </w:p>
    <w:p>
      <w:pPr>
        <w:pStyle w:val="Heading3"/>
        <w:rPr>
          <w:sz w:val="20"/>
          <w:szCs w:val="20"/>
        </w:rPr>
      </w:pPr>
      <w:r>
        <w:rPr>
          <w:sz w:val="20"/>
          <w:szCs w:val="20"/>
        </w:rPr>
        <w:t>Valeurs manquantes :</w:t>
      </w:r>
    </w:p>
    <w:tbl>
      <w:tblPr>
        <w:tblW w:w="5000" w:type="pct"/>
        <w:jc w:val="left"/>
        <w:tblInd w:w="-5" w:type="dxa"/>
        <w:tblLayout w:type="fixed"/>
        <w:tblCellMar>
          <w:top w:w="55" w:type="dxa"/>
          <w:left w:w="55" w:type="dxa"/>
          <w:bottom w:w="55" w:type="dxa"/>
          <w:right w:w="55" w:type="dxa"/>
        </w:tblCellMar>
        <w:tblLook w:val="04a0" w:noHBand="0" w:noVBand="1" w:firstColumn="1" w:lastRow="0" w:lastColumn="0" w:firstRow="1"/>
      </w:tblPr>
      <w:tblGrid>
        <w:gridCol w:w="4535"/>
        <w:gridCol w:w="4536"/>
      </w:tblGrid>
      <w:tr>
        <w:trPr/>
        <w:tc>
          <w:tcPr>
            <w:tcW w:w="4535" w:type="dxa"/>
            <w:tcBorders>
              <w:top w:val="single" w:sz="4" w:space="0" w:color="000000"/>
              <w:left w:val="single" w:sz="4" w:space="0" w:color="000000"/>
              <w:bottom w:val="single" w:sz="4" w:space="0" w:color="000000"/>
            </w:tcBorders>
          </w:tcPr>
          <w:p>
            <w:pPr>
              <w:pStyle w:val="Contenudetableau"/>
              <w:spacing w:before="0" w:after="160"/>
              <w:rPr>
                <w:sz w:val="20"/>
                <w:szCs w:val="20"/>
              </w:rPr>
            </w:pPr>
            <w:r>
              <w:rPr>
                <w:b/>
                <w:bCs/>
                <w:sz w:val="20"/>
                <w:szCs w:val="20"/>
              </w:rPr>
              <w:t>Colonne</w:t>
            </w:r>
          </w:p>
        </w:tc>
        <w:tc>
          <w:tcPr>
            <w:tcW w:w="4536" w:type="dxa"/>
            <w:tcBorders>
              <w:top w:val="single" w:sz="4" w:space="0" w:color="000000"/>
              <w:left w:val="single" w:sz="4" w:space="0" w:color="000000"/>
              <w:bottom w:val="single" w:sz="4" w:space="0" w:color="000000"/>
              <w:right w:val="single" w:sz="4" w:space="0" w:color="000000"/>
            </w:tcBorders>
          </w:tcPr>
          <w:p>
            <w:pPr>
              <w:pStyle w:val="Contenudetableau"/>
              <w:spacing w:before="0" w:after="160"/>
              <w:rPr>
                <w:sz w:val="20"/>
                <w:szCs w:val="20"/>
              </w:rPr>
            </w:pPr>
            <w:r>
              <w:rPr>
                <w:b/>
                <w:bCs/>
                <w:sz w:val="20"/>
                <w:szCs w:val="20"/>
              </w:rPr>
              <w:t>Nombre de valeurs manquantes</w:t>
            </w:r>
          </w:p>
        </w:tc>
      </w:tr>
      <w:tr>
        <w:trPr/>
        <w:tc>
          <w:tcPr>
            <w:tcW w:w="4535" w:type="dxa"/>
            <w:tcBorders>
              <w:left w:val="single" w:sz="4" w:space="0" w:color="000000"/>
              <w:bottom w:val="single" w:sz="4" w:space="0" w:color="000000"/>
            </w:tcBorders>
          </w:tcPr>
          <w:p>
            <w:pPr>
              <w:pStyle w:val="BodyText"/>
              <w:spacing w:before="0" w:after="140"/>
              <w:rPr>
                <w:rStyle w:val="Strong"/>
                <w:sz w:val="20"/>
                <w:szCs w:val="20"/>
              </w:rPr>
            </w:pPr>
            <w:r>
              <w:rPr>
                <w:rStyle w:val="Strong"/>
                <w:sz w:val="20"/>
                <w:szCs w:val="20"/>
              </w:rPr>
              <w:t>PdM en entrées des films français</w:t>
            </w:r>
          </w:p>
        </w:tc>
        <w:tc>
          <w:tcPr>
            <w:tcW w:w="4536" w:type="dxa"/>
            <w:tcBorders>
              <w:left w:val="single" w:sz="4" w:space="0" w:color="000000"/>
              <w:bottom w:val="single" w:sz="4" w:space="0" w:color="000000"/>
              <w:right w:val="single" w:sz="4" w:space="0" w:color="000000"/>
            </w:tcBorders>
          </w:tcPr>
          <w:p>
            <w:pPr>
              <w:pStyle w:val="Contenudetableau"/>
              <w:spacing w:before="0" w:after="160"/>
              <w:rPr>
                <w:sz w:val="20"/>
                <w:szCs w:val="20"/>
              </w:rPr>
            </w:pPr>
            <w:r>
              <w:rPr>
                <w:sz w:val="20"/>
                <w:szCs w:val="20"/>
              </w:rPr>
              <w:t>1</w:t>
            </w:r>
          </w:p>
        </w:tc>
      </w:tr>
      <w:tr>
        <w:trPr/>
        <w:tc>
          <w:tcPr>
            <w:tcW w:w="4535" w:type="dxa"/>
            <w:tcBorders>
              <w:left w:val="single" w:sz="4" w:space="0" w:color="000000"/>
              <w:bottom w:val="single" w:sz="4" w:space="0" w:color="000000"/>
            </w:tcBorders>
          </w:tcPr>
          <w:p>
            <w:pPr>
              <w:pStyle w:val="BodyText"/>
              <w:spacing w:before="0" w:after="0"/>
              <w:rPr>
                <w:sz w:val="20"/>
                <w:szCs w:val="20"/>
              </w:rPr>
            </w:pPr>
            <w:r>
              <w:rPr>
                <w:rStyle w:val="Strong"/>
                <w:sz w:val="20"/>
                <w:szCs w:val="20"/>
              </w:rPr>
              <w:t>PdM en entrées des films américains</w:t>
            </w:r>
          </w:p>
        </w:tc>
        <w:tc>
          <w:tcPr>
            <w:tcW w:w="4536" w:type="dxa"/>
            <w:tcBorders>
              <w:left w:val="single" w:sz="4" w:space="0" w:color="000000"/>
              <w:bottom w:val="single" w:sz="4" w:space="0" w:color="000000"/>
              <w:right w:val="single" w:sz="4" w:space="0" w:color="000000"/>
            </w:tcBorders>
          </w:tcPr>
          <w:p>
            <w:pPr>
              <w:pStyle w:val="BodyText"/>
              <w:spacing w:before="0" w:after="0"/>
              <w:rPr/>
            </w:pPr>
            <w:r>
              <w:rPr>
                <w:sz w:val="20"/>
                <w:szCs w:val="20"/>
              </w:rPr>
              <w:t>1</w:t>
            </w:r>
          </w:p>
        </w:tc>
      </w:tr>
      <w:tr>
        <w:trPr/>
        <w:tc>
          <w:tcPr>
            <w:tcW w:w="4535" w:type="dxa"/>
            <w:tcBorders>
              <w:left w:val="single" w:sz="4" w:space="0" w:color="000000"/>
              <w:bottom w:val="single" w:sz="4" w:space="0" w:color="000000"/>
            </w:tcBorders>
          </w:tcPr>
          <w:p>
            <w:pPr>
              <w:pStyle w:val="Contenudetableau"/>
              <w:spacing w:before="0" w:after="160"/>
              <w:rPr>
                <w:sz w:val="20"/>
                <w:szCs w:val="20"/>
              </w:rPr>
            </w:pPr>
            <w:r>
              <w:rPr>
                <w:rStyle w:val="Strong"/>
                <w:sz w:val="20"/>
                <w:szCs w:val="20"/>
              </w:rPr>
              <w:t>évolution entrées</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sz w:val="20"/>
                <w:szCs w:val="20"/>
              </w:rPr>
              <w:t>18</w:t>
            </w:r>
          </w:p>
        </w:tc>
      </w:tr>
      <w:tr>
        <w:trPr/>
        <w:tc>
          <w:tcPr>
            <w:tcW w:w="4535" w:type="dxa"/>
            <w:tcBorders>
              <w:left w:val="single" w:sz="4" w:space="0" w:color="000000"/>
              <w:bottom w:val="single" w:sz="4" w:space="0" w:color="000000"/>
            </w:tcBorders>
          </w:tcPr>
          <w:p>
            <w:pPr>
              <w:pStyle w:val="BodyText"/>
              <w:spacing w:before="0" w:after="0"/>
              <w:rPr/>
            </w:pPr>
            <w:r>
              <w:rPr>
                <w:rStyle w:val="Strong"/>
              </w:rPr>
              <w:t>programmateur</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928</w:t>
            </w:r>
          </w:p>
        </w:tc>
      </w:tr>
      <w:tr>
        <w:trPr/>
        <w:tc>
          <w:tcPr>
            <w:tcW w:w="4535" w:type="dxa"/>
            <w:tcBorders>
              <w:left w:val="single" w:sz="4" w:space="0" w:color="000000"/>
              <w:bottom w:val="single" w:sz="4" w:space="0" w:color="000000"/>
            </w:tcBorders>
          </w:tcPr>
          <w:p>
            <w:pPr>
              <w:pStyle w:val="BodyText"/>
              <w:spacing w:before="0" w:after="0"/>
              <w:rPr/>
            </w:pPr>
            <w:r>
              <w:rPr>
                <w:rStyle w:val="Strong"/>
              </w:rPr>
              <w:t>label Art et Essai</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1308</w:t>
            </w:r>
          </w:p>
        </w:tc>
      </w:tr>
      <w:tr>
        <w:trPr/>
        <w:tc>
          <w:tcPr>
            <w:tcW w:w="4535" w:type="dxa"/>
            <w:tcBorders>
              <w:left w:val="single" w:sz="4" w:space="0" w:color="000000"/>
              <w:bottom w:val="single" w:sz="4" w:space="0" w:color="000000"/>
            </w:tcBorders>
          </w:tcPr>
          <w:p>
            <w:pPr>
              <w:pStyle w:val="BodyText"/>
              <w:spacing w:before="0" w:after="0"/>
              <w:rPr/>
            </w:pPr>
            <w:r>
              <w:rPr>
                <w:rStyle w:val="Strong"/>
              </w:rPr>
              <w:t>propriétaire</w:t>
            </w:r>
          </w:p>
        </w:tc>
        <w:tc>
          <w:tcPr>
            <w:tcW w:w="4536" w:type="dxa"/>
            <w:tcBorders>
              <w:left w:val="single" w:sz="4" w:space="0" w:color="000000"/>
              <w:bottom w:val="single" w:sz="4" w:space="0" w:color="000000"/>
              <w:right w:val="single" w:sz="4" w:space="0" w:color="000000"/>
            </w:tcBorders>
          </w:tcPr>
          <w:p>
            <w:pPr>
              <w:pStyle w:val="BodyText"/>
              <w:spacing w:lineRule="auto" w:line="276" w:before="0" w:after="140"/>
              <w:rPr/>
            </w:pPr>
            <w:r>
              <w:rPr/>
              <w:t>109</w:t>
            </w:r>
          </w:p>
        </w:tc>
      </w:tr>
    </w:tbl>
    <w:p>
      <w:pPr>
        <w:pStyle w:val="Normal"/>
        <w:ind w:left="720"/>
        <w:rPr>
          <w:sz w:val="24"/>
          <w:szCs w:val="24"/>
        </w:rPr>
      </w:pPr>
      <w:r>
        <w:rPr>
          <w:b/>
          <w:bCs/>
          <w:sz w:val="24"/>
          <w:szCs w:val="24"/>
        </w:rPr>
        <w:tab/>
      </w:r>
    </w:p>
    <w:p>
      <w:pPr>
        <w:pStyle w:val="Normal"/>
        <w:rPr>
          <w:b/>
          <w:bCs/>
        </w:rPr>
      </w:pPr>
      <w:r>
        <w:rPr>
          <w:b/>
          <w:bCs/>
        </w:rPr>
      </w:r>
    </w:p>
    <w:p>
      <w:pPr>
        <w:pStyle w:val="Normal"/>
        <w:rPr>
          <w:sz w:val="24"/>
          <w:szCs w:val="24"/>
        </w:rPr>
      </w:pPr>
      <w:r>
        <w:rPr>
          <w:b/>
          <w:bCs/>
          <w:sz w:val="24"/>
          <w:szCs w:val="24"/>
        </w:rPr>
        <w:t>Conclusion</w:t>
      </w:r>
    </w:p>
    <w:p>
      <w:pPr>
        <w:pStyle w:val="BodyText"/>
        <w:numPr>
          <w:ilvl w:val="0"/>
          <w:numId w:val="10"/>
        </w:numPr>
        <w:spacing w:before="0" w:after="160"/>
        <w:rPr/>
      </w:pPr>
      <w:r>
        <w:rPr/>
        <w:t>La structure reste cohérente avec les autres années, facilitant la comparaison.</w:t>
      </w:r>
    </w:p>
    <w:p>
      <w:pPr>
        <w:pStyle w:val="BodyText"/>
        <w:numPr>
          <w:ilvl w:val="0"/>
          <w:numId w:val="10"/>
        </w:numPr>
        <w:spacing w:before="0" w:after="0"/>
        <w:rPr/>
      </w:pPr>
      <w:r>
        <w:rPr/>
        <w:t xml:space="preserve">Les valeurs manquantes sur </w:t>
      </w:r>
      <w:r>
        <w:rPr>
          <w:rStyle w:val="Strong"/>
          <w:b w:val="false"/>
          <w:bCs w:val="false"/>
        </w:rPr>
        <w:t>« programmateur »</w:t>
      </w:r>
      <w:r>
        <w:rPr/>
        <w:t xml:space="preserve"> et « </w:t>
      </w:r>
      <w:r>
        <w:rPr>
          <w:rStyle w:val="Strong"/>
          <w:b w:val="false"/>
          <w:bCs w:val="false"/>
        </w:rPr>
        <w:t>label Art et Essai » s</w:t>
      </w:r>
      <w:r>
        <w:rPr/>
        <w:t>ont fréquentes.</w:t>
      </w:r>
    </w:p>
    <w:p>
      <w:pPr>
        <w:pStyle w:val="Normal"/>
        <w:rPr>
          <w:b/>
          <w:bCs/>
        </w:rPr>
      </w:pPr>
      <w:r>
        <w:rPr>
          <w:b/>
          <w:bCs/>
        </w:rPr>
      </w:r>
    </w:p>
    <w:p>
      <w:pPr>
        <w:pStyle w:val="Normal"/>
        <w:rPr>
          <w:rStyle w:val="Strong"/>
        </w:rPr>
      </w:pPr>
      <w:r>
        <w:rPr/>
        <w:t>Est-il possible de produire un seul fichier qui regroupe les données cinématographiques sur plusieurs années ? si oui, comment ?</w:t>
      </w:r>
    </w:p>
    <w:p>
      <w:pPr>
        <w:pStyle w:val="Normal"/>
        <w:rPr>
          <w:rStyle w:val="Strong"/>
          <w:b w:val="false"/>
          <w:bCs w:val="false"/>
        </w:rPr>
      </w:pPr>
      <w:r>
        <w:rPr>
          <w:b/>
          <w:bCs/>
        </w:rPr>
        <w:t xml:space="preserve">Oui, il est possible de regrouper les données de plusieurs années en un seul fichier. En les concatènent les fichiers en utilisant R ou Python (pandas) pour fusionner </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Analyse :</w:t>
      </w:r>
    </w:p>
    <w:p>
      <w:pPr>
        <w:pStyle w:val="Normal"/>
        <w:rPr>
          <w:b/>
          <w:bCs/>
        </w:rPr>
      </w:pPr>
      <w:r>
        <w:rPr>
          <w:b/>
          <w:bCs/>
        </w:rPr>
        <w:t xml:space="preserve">Le cinéma en France a à peu près toujours les mêmes pratiques, à l'exception de la crise du COVID, où l'on remarque une énorme baisse de la fréquentation des cinémas en 2020 et 2021. Source des données : CNC. </w:t>
      </w:r>
    </w:p>
    <w:p>
      <w:pPr>
        <w:pStyle w:val="Normal"/>
        <w:rPr>
          <w:b/>
          <w:bCs/>
        </w:rPr>
      </w:pPr>
      <w:r>
        <w:rPr>
          <w:b/>
          <w:bCs/>
        </w:rPr>
      </w:r>
    </w:p>
    <w:tbl>
      <w:tblPr>
        <w:tblW w:w="3910" w:type="dxa"/>
        <w:jc w:val="left"/>
        <w:tblInd w:w="0" w:type="dxa"/>
        <w:tblLayout w:type="fixed"/>
        <w:tblCellMar>
          <w:top w:w="0" w:type="dxa"/>
          <w:left w:w="30" w:type="dxa"/>
          <w:bottom w:w="0" w:type="dxa"/>
          <w:right w:w="30" w:type="dxa"/>
        </w:tblCellMar>
      </w:tblPr>
      <w:tblGrid>
        <w:gridCol w:w="1303"/>
        <w:gridCol w:w="1303"/>
        <w:gridCol w:w="1304"/>
      </w:tblGrid>
      <w:tr>
        <w:trPr>
          <w:trHeight w:val="1162" w:hRule="atLeast"/>
        </w:trPr>
        <w:tc>
          <w:tcPr>
            <w:tcW w:w="1303" w:type="dxa"/>
            <w:tcBorders/>
          </w:tcPr>
          <w:p>
            <w:pPr>
              <w:pStyle w:val="Normal"/>
              <w:tabs>
                <w:tab w:val="clear" w:pos="708"/>
              </w:tabs>
              <w:spacing w:before="0" w:after="160"/>
              <w:jc w:val="center"/>
              <w:rPr/>
            </w:pPr>
            <w:r>
              <w:rPr>
                <w:rFonts w:ascii="Calibri" w:hAnsi="Calibri"/>
                <w:b/>
                <w:color w:val="000000"/>
                <w:sz w:val="22"/>
              </w:rPr>
              <w:t>Année</w:t>
            </w:r>
          </w:p>
        </w:tc>
        <w:tc>
          <w:tcPr>
            <w:tcW w:w="1303" w:type="dxa"/>
            <w:tcBorders/>
          </w:tcPr>
          <w:p>
            <w:pPr>
              <w:pStyle w:val="Normal"/>
              <w:tabs>
                <w:tab w:val="clear" w:pos="708"/>
              </w:tabs>
              <w:spacing w:before="0" w:after="160"/>
              <w:jc w:val="center"/>
              <w:rPr/>
            </w:pPr>
            <w:r>
              <w:rPr>
                <w:rFonts w:ascii="Calibri" w:hAnsi="Calibri"/>
                <w:b/>
                <w:color w:val="000000"/>
                <w:sz w:val="22"/>
              </w:rPr>
              <w:t>Séances (milliers)</w:t>
            </w:r>
          </w:p>
        </w:tc>
        <w:tc>
          <w:tcPr>
            <w:tcW w:w="1304" w:type="dxa"/>
            <w:tcBorders/>
          </w:tcPr>
          <w:p>
            <w:pPr>
              <w:pStyle w:val="Normal"/>
              <w:tabs>
                <w:tab w:val="clear" w:pos="708"/>
              </w:tabs>
              <w:spacing w:before="0" w:after="160"/>
              <w:jc w:val="center"/>
              <w:rPr/>
            </w:pPr>
            <w:r>
              <w:rPr>
                <w:rFonts w:ascii="Calibri" w:hAnsi="Calibri"/>
                <w:b/>
                <w:color w:val="000000"/>
                <w:sz w:val="22"/>
              </w:rPr>
              <w:t>Entrées (millions)</w:t>
            </w:r>
          </w:p>
        </w:tc>
      </w:tr>
      <w:tr>
        <w:trPr>
          <w:trHeight w:val="290" w:hRule="atLeast"/>
        </w:trPr>
        <w:tc>
          <w:tcPr>
            <w:tcW w:w="1303" w:type="dxa"/>
            <w:tcBorders/>
          </w:tcPr>
          <w:p>
            <w:pPr>
              <w:pStyle w:val="Normal"/>
              <w:tabs>
                <w:tab w:val="clear" w:pos="708"/>
              </w:tabs>
              <w:spacing w:before="0" w:after="160"/>
              <w:jc w:val="right"/>
              <w:rPr/>
            </w:pPr>
            <w:r>
              <w:rPr>
                <w:rFonts w:ascii="Calibri" w:hAnsi="Calibri"/>
                <w:b w:val="false"/>
                <w:color w:val="000000"/>
                <w:sz w:val="22"/>
              </w:rPr>
              <w:t>2019</w:t>
            </w:r>
          </w:p>
        </w:tc>
        <w:tc>
          <w:tcPr>
            <w:tcW w:w="1303" w:type="dxa"/>
            <w:tcBorders/>
          </w:tcPr>
          <w:p>
            <w:pPr>
              <w:pStyle w:val="Normal"/>
              <w:tabs>
                <w:tab w:val="clear" w:pos="708"/>
              </w:tabs>
              <w:spacing w:before="0" w:after="160"/>
              <w:jc w:val="left"/>
              <w:rPr/>
            </w:pPr>
            <w:r>
              <w:rPr>
                <w:rFonts w:ascii="Calibri" w:hAnsi="Calibri"/>
                <w:b w:val="false"/>
                <w:color w:val="000000"/>
                <w:sz w:val="22"/>
              </w:rPr>
              <w:t>8 572,5</w:t>
            </w:r>
          </w:p>
        </w:tc>
        <w:tc>
          <w:tcPr>
            <w:tcW w:w="1304" w:type="dxa"/>
            <w:tcBorders/>
          </w:tcPr>
          <w:p>
            <w:pPr>
              <w:pStyle w:val="Normal"/>
              <w:tabs>
                <w:tab w:val="clear" w:pos="708"/>
              </w:tabs>
              <w:spacing w:before="0" w:after="160"/>
              <w:jc w:val="right"/>
              <w:rPr/>
            </w:pPr>
            <w:r>
              <w:rPr>
                <w:rFonts w:ascii="Calibri" w:hAnsi="Calibri"/>
                <w:b w:val="false"/>
                <w:color w:val="000000"/>
                <w:sz w:val="22"/>
              </w:rPr>
              <w:t>213,2</w:t>
            </w:r>
          </w:p>
        </w:tc>
      </w:tr>
      <w:tr>
        <w:trPr>
          <w:trHeight w:val="290" w:hRule="atLeast"/>
        </w:trPr>
        <w:tc>
          <w:tcPr>
            <w:tcW w:w="1303" w:type="dxa"/>
            <w:tcBorders/>
          </w:tcPr>
          <w:p>
            <w:pPr>
              <w:pStyle w:val="Normal"/>
              <w:tabs>
                <w:tab w:val="clear" w:pos="708"/>
              </w:tabs>
              <w:spacing w:before="0" w:after="160"/>
              <w:jc w:val="right"/>
              <w:rPr/>
            </w:pPr>
            <w:r>
              <w:rPr>
                <w:rFonts w:ascii="Calibri" w:hAnsi="Calibri"/>
                <w:b w:val="false"/>
                <w:color w:val="000000"/>
                <w:sz w:val="22"/>
              </w:rPr>
              <w:t>2020</w:t>
            </w:r>
          </w:p>
        </w:tc>
        <w:tc>
          <w:tcPr>
            <w:tcW w:w="1303" w:type="dxa"/>
            <w:tcBorders/>
          </w:tcPr>
          <w:p>
            <w:pPr>
              <w:pStyle w:val="Normal"/>
              <w:tabs>
                <w:tab w:val="clear" w:pos="708"/>
              </w:tabs>
              <w:spacing w:before="0" w:after="160"/>
              <w:jc w:val="left"/>
              <w:rPr/>
            </w:pPr>
            <w:r>
              <w:rPr>
                <w:rFonts w:ascii="Calibri" w:hAnsi="Calibri"/>
                <w:b w:val="false"/>
                <w:color w:val="000000"/>
                <w:sz w:val="22"/>
              </w:rPr>
              <w:t>4 230,3</w:t>
            </w:r>
          </w:p>
        </w:tc>
        <w:tc>
          <w:tcPr>
            <w:tcW w:w="1304" w:type="dxa"/>
            <w:tcBorders/>
          </w:tcPr>
          <w:p>
            <w:pPr>
              <w:pStyle w:val="Normal"/>
              <w:tabs>
                <w:tab w:val="clear" w:pos="708"/>
              </w:tabs>
              <w:spacing w:before="0" w:after="160"/>
              <w:jc w:val="right"/>
              <w:rPr/>
            </w:pPr>
            <w:r>
              <w:rPr>
                <w:rFonts w:ascii="Calibri" w:hAnsi="Calibri"/>
                <w:b w:val="false"/>
                <w:color w:val="000000"/>
                <w:sz w:val="22"/>
              </w:rPr>
              <w:t>65,3</w:t>
            </w:r>
          </w:p>
        </w:tc>
      </w:tr>
      <w:tr>
        <w:trPr>
          <w:trHeight w:val="290" w:hRule="atLeast"/>
        </w:trPr>
        <w:tc>
          <w:tcPr>
            <w:tcW w:w="1303" w:type="dxa"/>
            <w:tcBorders/>
          </w:tcPr>
          <w:p>
            <w:pPr>
              <w:pStyle w:val="Normal"/>
              <w:tabs>
                <w:tab w:val="clear" w:pos="708"/>
              </w:tabs>
              <w:spacing w:before="0" w:after="160"/>
              <w:jc w:val="right"/>
              <w:rPr/>
            </w:pPr>
            <w:r>
              <w:rPr>
                <w:rFonts w:ascii="Calibri" w:hAnsi="Calibri"/>
                <w:b w:val="false"/>
                <w:color w:val="000000"/>
                <w:sz w:val="22"/>
              </w:rPr>
              <w:t>2021</w:t>
            </w:r>
          </w:p>
        </w:tc>
        <w:tc>
          <w:tcPr>
            <w:tcW w:w="1303" w:type="dxa"/>
            <w:tcBorders/>
          </w:tcPr>
          <w:p>
            <w:pPr>
              <w:pStyle w:val="Normal"/>
              <w:tabs>
                <w:tab w:val="clear" w:pos="708"/>
              </w:tabs>
              <w:spacing w:before="0" w:after="160"/>
              <w:jc w:val="left"/>
              <w:rPr/>
            </w:pPr>
            <w:r>
              <w:rPr>
                <w:rFonts w:ascii="Calibri" w:hAnsi="Calibri"/>
                <w:b w:val="false"/>
                <w:color w:val="000000"/>
                <w:sz w:val="22"/>
              </w:rPr>
              <w:t>5 040,7</w:t>
            </w:r>
          </w:p>
        </w:tc>
        <w:tc>
          <w:tcPr>
            <w:tcW w:w="1304" w:type="dxa"/>
            <w:tcBorders/>
          </w:tcPr>
          <w:p>
            <w:pPr>
              <w:pStyle w:val="Normal"/>
              <w:tabs>
                <w:tab w:val="clear" w:pos="708"/>
              </w:tabs>
              <w:spacing w:before="0" w:after="160"/>
              <w:jc w:val="right"/>
              <w:rPr/>
            </w:pPr>
            <w:r>
              <w:rPr>
                <w:rFonts w:ascii="Calibri" w:hAnsi="Calibri"/>
                <w:b w:val="false"/>
                <w:color w:val="000000"/>
                <w:sz w:val="22"/>
              </w:rPr>
              <w:t>95,5</w:t>
            </w:r>
          </w:p>
        </w:tc>
      </w:tr>
      <w:tr>
        <w:trPr>
          <w:trHeight w:val="290" w:hRule="atLeast"/>
        </w:trPr>
        <w:tc>
          <w:tcPr>
            <w:tcW w:w="1303" w:type="dxa"/>
            <w:tcBorders/>
          </w:tcPr>
          <w:p>
            <w:pPr>
              <w:pStyle w:val="Normal"/>
              <w:tabs>
                <w:tab w:val="clear" w:pos="708"/>
              </w:tabs>
              <w:spacing w:before="0" w:after="160"/>
              <w:jc w:val="right"/>
              <w:rPr/>
            </w:pPr>
            <w:r>
              <w:rPr>
                <w:rFonts w:ascii="Calibri" w:hAnsi="Calibri"/>
                <w:b w:val="false"/>
                <w:color w:val="000000"/>
                <w:sz w:val="22"/>
              </w:rPr>
              <w:t>2022</w:t>
            </w:r>
          </w:p>
        </w:tc>
        <w:tc>
          <w:tcPr>
            <w:tcW w:w="1303" w:type="dxa"/>
            <w:tcBorders/>
          </w:tcPr>
          <w:p>
            <w:pPr>
              <w:pStyle w:val="Normal"/>
              <w:tabs>
                <w:tab w:val="clear" w:pos="708"/>
              </w:tabs>
              <w:spacing w:before="0" w:after="160"/>
              <w:jc w:val="left"/>
              <w:rPr/>
            </w:pPr>
            <w:r>
              <w:rPr>
                <w:rFonts w:ascii="Calibri" w:hAnsi="Calibri"/>
                <w:b w:val="false"/>
                <w:color w:val="000000"/>
                <w:sz w:val="22"/>
              </w:rPr>
              <w:t>8 400,1</w:t>
            </w:r>
          </w:p>
        </w:tc>
        <w:tc>
          <w:tcPr>
            <w:tcW w:w="1304" w:type="dxa"/>
            <w:tcBorders/>
          </w:tcPr>
          <w:p>
            <w:pPr>
              <w:pStyle w:val="Normal"/>
              <w:tabs>
                <w:tab w:val="clear" w:pos="708"/>
              </w:tabs>
              <w:spacing w:before="0" w:after="160"/>
              <w:jc w:val="right"/>
              <w:rPr/>
            </w:pPr>
            <w:r>
              <w:rPr>
                <w:rFonts w:ascii="Calibri" w:hAnsi="Calibri"/>
                <w:b w:val="false"/>
                <w:color w:val="000000"/>
                <w:sz w:val="22"/>
              </w:rPr>
              <w:t>152</w:t>
            </w:r>
          </w:p>
        </w:tc>
      </w:tr>
    </w:tbl>
    <w:p>
      <w:pPr>
        <w:pStyle w:val="Normal"/>
        <w:rPr>
          <w:rFonts w:ascii="Calibri" w:hAnsi="Calibri"/>
          <w:b w:val="false"/>
          <w:color w:val="000000"/>
          <w:sz w:val="22"/>
        </w:rPr>
      </w:pPr>
      <w:r>
        <w:rPr>
          <w:rFonts w:ascii="Calibri" w:hAnsi="Calibri"/>
          <w:b w:val="false"/>
          <w:color w:val="000000"/>
          <w:sz w:val="22"/>
        </w:rPr>
      </w:r>
    </w:p>
    <w:p>
      <w:pPr>
        <w:pStyle w:val="Normal"/>
        <w:rPr>
          <w:b/>
          <w:bCs/>
        </w:rPr>
      </w:pPr>
      <w:r>
        <w:rPr>
          <w:b/>
          <w:bCs/>
        </w:rPr>
      </w:r>
    </w:p>
    <w:p>
      <w:pPr>
        <w:pStyle w:val="Normal"/>
        <w:rPr>
          <w:b/>
          <w:bCs/>
        </w:rPr>
      </w:pPr>
      <w:r>
        <w:rPr>
          <w:b/>
          <w:bCs/>
        </w:rPr>
      </w:r>
    </w:p>
    <w:p>
      <w:pPr>
        <w:pStyle w:val="Normal"/>
        <w:rPr>
          <w:b/>
          <w:bCs/>
        </w:rPr>
      </w:pPr>
      <w:r>
        <w:rPr>
          <w:b/>
          <w:bCs/>
        </w:rPr>
      </w:r>
    </w:p>
    <w:p>
      <w:pPr>
        <w:pStyle w:val="Normal"/>
        <w:rPr>
          <w:b w:val="false"/>
          <w:bCs w:val="false"/>
        </w:rPr>
      </w:pPr>
      <w:r>
        <w:rPr>
          <w:b w:val="false"/>
          <w:bCs w:val="false"/>
        </w:rPr>
        <w:t xml:space="preserve">Malheureusement, nous n'avons pas de données plus récentes disponibles sur le site data.culture.gouv.fr. Nous avons donc pris l'initiative de rechercher des informations sur Internet et avons trouvé que le nombre d'entrées dans tous les cinémas de France pour l'année 2023 était de </w:t>
      </w:r>
      <w:r>
        <w:rPr>
          <w:b/>
          <w:bCs/>
        </w:rPr>
        <w:t xml:space="preserve">180,76 </w:t>
      </w:r>
      <w:r>
        <w:rPr>
          <w:b w:val="false"/>
          <w:bCs w:val="false"/>
        </w:rPr>
        <w:t xml:space="preserve">millions, selon le CNC ( </w:t>
      </w:r>
      <w:hyperlink r:id="rId2">
        <w:r>
          <w:rPr>
            <w:b w:val="false"/>
            <w:bCs w:val="false"/>
          </w:rPr>
          <w:t>https://www.cnc.fr/professionnels/communiques-de-presse/a-181-millions-dentrees-la-frequentation-des-salles-en-2023-confirme-sa-forte-dynamique_2096483</w:t>
        </w:r>
      </w:hyperlink>
      <w:r>
        <w:rPr>
          <w:b w:val="false"/>
          <w:bCs w:val="false"/>
        </w:rPr>
        <w:t xml:space="preserve"> ), et que pour l'année 2024, il était de </w:t>
      </w:r>
      <w:r>
        <w:rPr>
          <w:b/>
          <w:bCs/>
        </w:rPr>
        <w:t>181,27</w:t>
      </w:r>
      <w:r>
        <w:rPr>
          <w:b w:val="false"/>
          <w:bCs w:val="false"/>
        </w:rPr>
        <w:t xml:space="preserve"> millions sur Statista (</w:t>
      </w:r>
      <w:hyperlink r:id="rId3">
        <w:r>
          <w:rPr>
            <w:b w:val="false"/>
            <w:bCs w:val="false"/>
          </w:rPr>
          <w:t>https://fr.statista.com/statistiques/550521/frequentation-cinema-salles-france/</w:t>
        </w:r>
      </w:hyperlink>
      <w:r>
        <w:rPr>
          <w:b w:val="false"/>
          <w:bCs w:val="false"/>
        </w:rPr>
        <w:t>)</w:t>
      </w:r>
    </w:p>
    <w:p>
      <w:pPr>
        <w:pStyle w:val="Normal"/>
        <w:rPr>
          <w:b w:val="false"/>
          <w:bCs w:val="false"/>
        </w:rPr>
      </w:pPr>
      <w:r>
        <w:rPr>
          <w:b w:val="false"/>
          <w:bCs w:val="false"/>
        </w:rPr>
      </w:r>
    </w:p>
    <w:p>
      <w:pPr>
        <w:pStyle w:val="Normal"/>
        <w:rPr>
          <w:b w:val="false"/>
          <w:bCs w:val="false"/>
        </w:rPr>
      </w:pPr>
      <w:r>
        <w:rPr>
          <w:b w:val="false"/>
          <w:bCs w:val="false"/>
        </w:rPr>
      </w:r>
    </w:p>
    <w:p>
      <w:pPr>
        <w:pStyle w:val="Normal"/>
        <w:rPr>
          <w:b/>
          <w:bCs/>
        </w:rPr>
      </w:pPr>
      <w:r>
        <w:rPr>
          <w:b/>
          <w:bCs/>
        </w:rPr>
        <w:t xml:space="preserve">Données trouvé plus récentes sur CNC ( </w:t>
      </w:r>
      <w:hyperlink r:id="rId4">
        <w:r>
          <w:rPr>
            <w:b w:val="false"/>
            <w:bCs w:val="false"/>
          </w:rPr>
          <w:t>https://www.cnc.fr/professionnels/communiques-de-presse/avec-plus-de-181-millions-dentrees-en-2024-les-salles-francaises-confirment-la-situation-exceptionnelle-de-la-france-dans-le-paysage-du-cinema-mondial_2318147</w:t>
        </w:r>
      </w:hyperlink>
      <w:r>
        <w:rPr>
          <w:b/>
          <w:bCs/>
        </w:rPr>
        <w:t xml:space="preserve"> ) :</w:t>
      </w:r>
    </w:p>
    <w:tbl>
      <w:tblPr>
        <w:tblW w:w="8489" w:type="dxa"/>
        <w:jc w:val="left"/>
        <w:tblInd w:w="28" w:type="dxa"/>
        <w:tblLayout w:type="fixed"/>
        <w:tblCellMar>
          <w:top w:w="28" w:type="dxa"/>
          <w:left w:w="28" w:type="dxa"/>
          <w:bottom w:w="28" w:type="dxa"/>
          <w:right w:w="28" w:type="dxa"/>
        </w:tblCellMar>
      </w:tblPr>
      <w:tblGrid>
        <w:gridCol w:w="5021"/>
        <w:gridCol w:w="956"/>
        <w:gridCol w:w="2512"/>
      </w:tblGrid>
      <w:tr>
        <w:trPr>
          <w:tblHeader w:val="true"/>
        </w:trPr>
        <w:tc>
          <w:tcPr>
            <w:tcW w:w="5021" w:type="dxa"/>
            <w:tcBorders/>
            <w:vAlign w:val="center"/>
          </w:tcPr>
          <w:p>
            <w:pPr>
              <w:pStyle w:val="Contenudetableau"/>
              <w:widowControl w:val="false"/>
              <w:suppressLineNumbers/>
              <w:spacing w:before="0" w:after="160"/>
              <w:rPr/>
            </w:pPr>
            <w:r>
              <w:rPr>
                <w:rStyle w:val="Strong"/>
              </w:rPr>
              <w:t xml:space="preserve">Fréquentation totale </w:t>
            </w:r>
            <w:r>
              <w:rPr/>
              <w:t>(millions d’entrées)</w:t>
            </w:r>
          </w:p>
        </w:tc>
        <w:tc>
          <w:tcPr>
            <w:tcW w:w="956" w:type="dxa"/>
            <w:tcBorders/>
            <w:vAlign w:val="center"/>
          </w:tcPr>
          <w:p>
            <w:pPr>
              <w:pStyle w:val="Contenudetableau"/>
              <w:spacing w:before="0" w:after="160"/>
              <w:rPr/>
            </w:pPr>
            <w:r>
              <w:rPr>
                <w:rStyle w:val="Strong"/>
              </w:rPr>
              <w:t>2023</w:t>
            </w:r>
          </w:p>
        </w:tc>
        <w:tc>
          <w:tcPr>
            <w:tcW w:w="2512" w:type="dxa"/>
            <w:tcBorders/>
            <w:vAlign w:val="center"/>
          </w:tcPr>
          <w:p>
            <w:pPr>
              <w:pStyle w:val="Contenudetableau"/>
              <w:widowControl w:val="false"/>
              <w:suppressLineNumbers/>
              <w:spacing w:before="0" w:after="160"/>
              <w:rPr/>
            </w:pPr>
            <w:r>
              <w:rPr>
                <w:rStyle w:val="Strong"/>
              </w:rPr>
              <w:t>2024</w:t>
            </w:r>
          </w:p>
        </w:tc>
      </w:tr>
      <w:tr>
        <w:trPr/>
        <w:tc>
          <w:tcPr>
            <w:tcW w:w="5021" w:type="dxa"/>
            <w:tcBorders/>
            <w:vAlign w:val="center"/>
          </w:tcPr>
          <w:p>
            <w:pPr>
              <w:pStyle w:val="Contenudetableau"/>
              <w:widowControl w:val="false"/>
              <w:suppressLineNumbers/>
              <w:spacing w:before="0" w:after="160"/>
              <w:rPr/>
            </w:pPr>
            <w:r>
              <w:rPr/>
              <w:t>Janvier</w:t>
            </w:r>
          </w:p>
        </w:tc>
        <w:tc>
          <w:tcPr>
            <w:tcW w:w="956" w:type="dxa"/>
            <w:tcBorders/>
            <w:vAlign w:val="center"/>
          </w:tcPr>
          <w:p>
            <w:pPr>
              <w:pStyle w:val="Contenudetableau"/>
              <w:spacing w:before="0" w:after="160"/>
              <w:rPr/>
            </w:pPr>
            <w:r>
              <w:rPr/>
              <w:t>14,82</w:t>
            </w:r>
          </w:p>
        </w:tc>
        <w:tc>
          <w:tcPr>
            <w:tcW w:w="2512" w:type="dxa"/>
            <w:tcBorders/>
            <w:vAlign w:val="center"/>
          </w:tcPr>
          <w:p>
            <w:pPr>
              <w:pStyle w:val="Contenudetableau"/>
              <w:widowControl w:val="false"/>
              <w:suppressLineNumbers/>
              <w:spacing w:before="0" w:after="160"/>
              <w:rPr/>
            </w:pPr>
            <w:r>
              <w:rPr/>
              <w:t>13,71</w:t>
            </w:r>
          </w:p>
        </w:tc>
      </w:tr>
      <w:tr>
        <w:trPr/>
        <w:tc>
          <w:tcPr>
            <w:tcW w:w="5021" w:type="dxa"/>
            <w:tcBorders/>
            <w:vAlign w:val="center"/>
          </w:tcPr>
          <w:p>
            <w:pPr>
              <w:pStyle w:val="Contenudetableau"/>
              <w:widowControl w:val="false"/>
              <w:suppressLineNumbers/>
              <w:spacing w:before="0" w:after="160"/>
              <w:rPr/>
            </w:pPr>
            <w:r>
              <w:rPr/>
              <w:t>Février</w:t>
            </w:r>
          </w:p>
        </w:tc>
        <w:tc>
          <w:tcPr>
            <w:tcW w:w="956" w:type="dxa"/>
            <w:tcBorders/>
            <w:vAlign w:val="center"/>
          </w:tcPr>
          <w:p>
            <w:pPr>
              <w:pStyle w:val="Contenudetableau"/>
              <w:spacing w:before="0" w:after="160"/>
              <w:rPr>
                <w:color w:val="FF3838"/>
              </w:rPr>
            </w:pPr>
            <w:r>
              <w:rPr>
                <w:color w:val="FF3838"/>
              </w:rPr>
              <w:t>18,03</w:t>
            </w:r>
          </w:p>
        </w:tc>
        <w:tc>
          <w:tcPr>
            <w:tcW w:w="2512" w:type="dxa"/>
            <w:tcBorders/>
            <w:vAlign w:val="center"/>
          </w:tcPr>
          <w:p>
            <w:pPr>
              <w:pStyle w:val="Contenudetableau"/>
              <w:widowControl w:val="false"/>
              <w:suppressLineNumbers/>
              <w:spacing w:before="0" w:after="160"/>
              <w:rPr/>
            </w:pPr>
            <w:r>
              <w:rPr/>
              <w:t>15,08</w:t>
            </w:r>
          </w:p>
        </w:tc>
      </w:tr>
      <w:tr>
        <w:trPr/>
        <w:tc>
          <w:tcPr>
            <w:tcW w:w="5021" w:type="dxa"/>
            <w:tcBorders/>
            <w:vAlign w:val="center"/>
          </w:tcPr>
          <w:p>
            <w:pPr>
              <w:pStyle w:val="Contenudetableau"/>
              <w:widowControl w:val="false"/>
              <w:suppressLineNumbers/>
              <w:spacing w:before="0" w:after="160"/>
              <w:rPr/>
            </w:pPr>
            <w:r>
              <w:rPr/>
              <w:t>Mars</w:t>
            </w:r>
          </w:p>
        </w:tc>
        <w:tc>
          <w:tcPr>
            <w:tcW w:w="956" w:type="dxa"/>
            <w:tcBorders/>
            <w:vAlign w:val="center"/>
          </w:tcPr>
          <w:p>
            <w:pPr>
              <w:pStyle w:val="Contenudetableau"/>
              <w:spacing w:before="0" w:after="160"/>
              <w:rPr/>
            </w:pPr>
            <w:r>
              <w:rPr/>
              <w:t>15,76</w:t>
            </w:r>
          </w:p>
        </w:tc>
        <w:tc>
          <w:tcPr>
            <w:tcW w:w="2512" w:type="dxa"/>
            <w:tcBorders/>
            <w:vAlign w:val="center"/>
          </w:tcPr>
          <w:p>
            <w:pPr>
              <w:pStyle w:val="Contenudetableau"/>
              <w:widowControl w:val="false"/>
              <w:suppressLineNumbers/>
              <w:spacing w:before="0" w:after="160"/>
              <w:rPr/>
            </w:pPr>
            <w:r>
              <w:rPr/>
              <w:t>15,19</w:t>
            </w:r>
          </w:p>
        </w:tc>
      </w:tr>
      <w:tr>
        <w:trPr/>
        <w:tc>
          <w:tcPr>
            <w:tcW w:w="5021" w:type="dxa"/>
            <w:tcBorders/>
            <w:vAlign w:val="center"/>
          </w:tcPr>
          <w:p>
            <w:pPr>
              <w:pStyle w:val="Contenudetableau"/>
              <w:widowControl w:val="false"/>
              <w:suppressLineNumbers/>
              <w:spacing w:before="0" w:after="160"/>
              <w:rPr/>
            </w:pPr>
            <w:r>
              <w:rPr/>
              <w:t>Avril</w:t>
            </w:r>
          </w:p>
        </w:tc>
        <w:tc>
          <w:tcPr>
            <w:tcW w:w="956" w:type="dxa"/>
            <w:tcBorders/>
            <w:vAlign w:val="center"/>
          </w:tcPr>
          <w:p>
            <w:pPr>
              <w:pStyle w:val="Contenudetableau"/>
              <w:spacing w:before="0" w:after="160"/>
              <w:rPr>
                <w:color w:val="FF3838"/>
              </w:rPr>
            </w:pPr>
            <w:r>
              <w:rPr>
                <w:color w:val="FF3838"/>
              </w:rPr>
              <w:t>18,61</w:t>
            </w:r>
          </w:p>
        </w:tc>
        <w:tc>
          <w:tcPr>
            <w:tcW w:w="2512" w:type="dxa"/>
            <w:tcBorders/>
            <w:vAlign w:val="center"/>
          </w:tcPr>
          <w:p>
            <w:pPr>
              <w:pStyle w:val="Contenudetableau"/>
              <w:spacing w:before="0" w:after="160"/>
              <w:rPr/>
            </w:pPr>
            <w:r>
              <w:rPr/>
              <w:t>11,90</w:t>
            </w:r>
          </w:p>
        </w:tc>
      </w:tr>
      <w:tr>
        <w:trPr/>
        <w:tc>
          <w:tcPr>
            <w:tcW w:w="5021" w:type="dxa"/>
            <w:tcBorders/>
            <w:vAlign w:val="center"/>
          </w:tcPr>
          <w:p>
            <w:pPr>
              <w:pStyle w:val="Contenudetableau"/>
              <w:widowControl w:val="false"/>
              <w:suppressLineNumbers/>
              <w:spacing w:before="0" w:after="160"/>
              <w:rPr/>
            </w:pPr>
            <w:r>
              <w:rPr/>
              <w:t>Mai</w:t>
            </w:r>
          </w:p>
        </w:tc>
        <w:tc>
          <w:tcPr>
            <w:tcW w:w="956" w:type="dxa"/>
            <w:tcBorders/>
            <w:vAlign w:val="center"/>
          </w:tcPr>
          <w:p>
            <w:pPr>
              <w:pStyle w:val="Contenudetableau"/>
              <w:spacing w:before="0" w:after="160"/>
              <w:rPr/>
            </w:pPr>
            <w:r>
              <w:rPr/>
              <w:t>13,76</w:t>
            </w:r>
          </w:p>
        </w:tc>
        <w:tc>
          <w:tcPr>
            <w:tcW w:w="2512" w:type="dxa"/>
            <w:tcBorders/>
            <w:vAlign w:val="center"/>
          </w:tcPr>
          <w:p>
            <w:pPr>
              <w:pStyle w:val="Contenudetableau"/>
              <w:widowControl w:val="false"/>
              <w:suppressLineNumbers/>
              <w:spacing w:before="0" w:after="160"/>
              <w:rPr/>
            </w:pPr>
            <w:r>
              <w:rPr/>
              <w:t>15,72</w:t>
            </w:r>
          </w:p>
        </w:tc>
      </w:tr>
      <w:tr>
        <w:trPr/>
        <w:tc>
          <w:tcPr>
            <w:tcW w:w="5021" w:type="dxa"/>
            <w:tcBorders/>
            <w:vAlign w:val="center"/>
          </w:tcPr>
          <w:p>
            <w:pPr>
              <w:pStyle w:val="Contenudetableau"/>
              <w:widowControl w:val="false"/>
              <w:suppressLineNumbers/>
              <w:spacing w:before="0" w:after="160"/>
              <w:rPr/>
            </w:pPr>
            <w:r>
              <w:rPr/>
              <w:t>Juin</w:t>
            </w:r>
          </w:p>
        </w:tc>
        <w:tc>
          <w:tcPr>
            <w:tcW w:w="956" w:type="dxa"/>
            <w:tcBorders/>
            <w:vAlign w:val="center"/>
          </w:tcPr>
          <w:p>
            <w:pPr>
              <w:pStyle w:val="Contenudetableau"/>
              <w:spacing w:before="0" w:after="160"/>
              <w:rPr/>
            </w:pPr>
            <w:r>
              <w:rPr/>
              <w:t>10,22</w:t>
            </w:r>
          </w:p>
        </w:tc>
        <w:tc>
          <w:tcPr>
            <w:tcW w:w="2512" w:type="dxa"/>
            <w:tcBorders/>
            <w:vAlign w:val="center"/>
          </w:tcPr>
          <w:p>
            <w:pPr>
              <w:pStyle w:val="Contenudetableau"/>
              <w:widowControl w:val="false"/>
              <w:suppressLineNumbers/>
              <w:spacing w:before="0" w:after="160"/>
              <w:rPr/>
            </w:pPr>
            <w:r>
              <w:rPr/>
              <w:t>14,15</w:t>
            </w:r>
          </w:p>
        </w:tc>
      </w:tr>
      <w:tr>
        <w:trPr/>
        <w:tc>
          <w:tcPr>
            <w:tcW w:w="5021" w:type="dxa"/>
            <w:tcBorders/>
            <w:vAlign w:val="center"/>
          </w:tcPr>
          <w:p>
            <w:pPr>
              <w:pStyle w:val="Contenudetableau"/>
              <w:widowControl w:val="false"/>
              <w:suppressLineNumbers/>
              <w:spacing w:before="0" w:after="160"/>
              <w:rPr/>
            </w:pPr>
            <w:r>
              <w:rPr/>
              <w:t>Juillet</w:t>
            </w:r>
          </w:p>
        </w:tc>
        <w:tc>
          <w:tcPr>
            <w:tcW w:w="956" w:type="dxa"/>
            <w:tcBorders/>
            <w:vAlign w:val="center"/>
          </w:tcPr>
          <w:p>
            <w:pPr>
              <w:pStyle w:val="Contenudetableau"/>
              <w:spacing w:before="0" w:after="160"/>
              <w:rPr>
                <w:color w:val="FF3838"/>
              </w:rPr>
            </w:pPr>
            <w:r>
              <w:rPr>
                <w:color w:val="FF3838"/>
              </w:rPr>
              <w:t>18,30</w:t>
            </w:r>
          </w:p>
        </w:tc>
        <w:tc>
          <w:tcPr>
            <w:tcW w:w="2512" w:type="dxa"/>
            <w:tcBorders/>
            <w:vAlign w:val="center"/>
          </w:tcPr>
          <w:p>
            <w:pPr>
              <w:pStyle w:val="Contenudetableau"/>
              <w:widowControl w:val="false"/>
              <w:suppressLineNumbers/>
              <w:spacing w:before="0" w:after="160"/>
              <w:rPr/>
            </w:pPr>
            <w:r>
              <w:rPr/>
              <w:t>17,87</w:t>
            </w:r>
          </w:p>
        </w:tc>
      </w:tr>
      <w:tr>
        <w:trPr/>
        <w:tc>
          <w:tcPr>
            <w:tcW w:w="5021" w:type="dxa"/>
            <w:tcBorders/>
            <w:vAlign w:val="center"/>
          </w:tcPr>
          <w:p>
            <w:pPr>
              <w:pStyle w:val="Contenudetableau"/>
              <w:widowControl w:val="false"/>
              <w:suppressLineNumbers/>
              <w:spacing w:before="0" w:after="160"/>
              <w:rPr/>
            </w:pPr>
            <w:r>
              <w:rPr/>
              <w:t>Août</w:t>
            </w:r>
          </w:p>
        </w:tc>
        <w:tc>
          <w:tcPr>
            <w:tcW w:w="956" w:type="dxa"/>
            <w:tcBorders/>
            <w:vAlign w:val="center"/>
          </w:tcPr>
          <w:p>
            <w:pPr>
              <w:pStyle w:val="Contenudetableau"/>
              <w:spacing w:before="0" w:after="160"/>
              <w:rPr/>
            </w:pPr>
            <w:r>
              <w:rPr/>
              <w:t>15,42</w:t>
            </w:r>
          </w:p>
        </w:tc>
        <w:tc>
          <w:tcPr>
            <w:tcW w:w="2512" w:type="dxa"/>
            <w:tcBorders/>
            <w:vAlign w:val="center"/>
          </w:tcPr>
          <w:p>
            <w:pPr>
              <w:pStyle w:val="Contenudetableau"/>
              <w:widowControl w:val="false"/>
              <w:suppressLineNumbers/>
              <w:spacing w:before="0" w:after="160"/>
              <w:rPr/>
            </w:pPr>
            <w:r>
              <w:rPr/>
              <w:t>14,15</w:t>
            </w:r>
          </w:p>
        </w:tc>
      </w:tr>
      <w:tr>
        <w:trPr/>
        <w:tc>
          <w:tcPr>
            <w:tcW w:w="5021" w:type="dxa"/>
            <w:tcBorders/>
            <w:vAlign w:val="center"/>
          </w:tcPr>
          <w:p>
            <w:pPr>
              <w:pStyle w:val="Contenudetableau"/>
              <w:widowControl w:val="false"/>
              <w:suppressLineNumbers/>
              <w:spacing w:before="0" w:after="160"/>
              <w:rPr/>
            </w:pPr>
            <w:r>
              <w:rPr/>
              <w:t>Septembre</w:t>
            </w:r>
          </w:p>
        </w:tc>
        <w:tc>
          <w:tcPr>
            <w:tcW w:w="956" w:type="dxa"/>
            <w:tcBorders/>
            <w:vAlign w:val="center"/>
          </w:tcPr>
          <w:p>
            <w:pPr>
              <w:pStyle w:val="Contenudetableau"/>
              <w:spacing w:before="0" w:after="160"/>
              <w:rPr/>
            </w:pPr>
            <w:r>
              <w:rPr/>
              <w:t>8,95</w:t>
            </w:r>
          </w:p>
        </w:tc>
        <w:tc>
          <w:tcPr>
            <w:tcW w:w="2512" w:type="dxa"/>
            <w:tcBorders/>
            <w:vAlign w:val="center"/>
          </w:tcPr>
          <w:p>
            <w:pPr>
              <w:pStyle w:val="Contenudetableau"/>
              <w:widowControl w:val="false"/>
              <w:suppressLineNumbers/>
              <w:spacing w:before="0" w:after="160"/>
              <w:rPr/>
            </w:pPr>
            <w:r>
              <w:rPr/>
              <w:t>10,05</w:t>
            </w:r>
          </w:p>
        </w:tc>
      </w:tr>
      <w:tr>
        <w:trPr/>
        <w:tc>
          <w:tcPr>
            <w:tcW w:w="5021" w:type="dxa"/>
            <w:tcBorders/>
            <w:vAlign w:val="center"/>
          </w:tcPr>
          <w:p>
            <w:pPr>
              <w:pStyle w:val="Contenudetableau"/>
              <w:widowControl w:val="false"/>
              <w:suppressLineNumbers/>
              <w:spacing w:before="0" w:after="160"/>
              <w:rPr/>
            </w:pPr>
            <w:r>
              <w:rPr/>
              <w:t>Octobre</w:t>
            </w:r>
          </w:p>
        </w:tc>
        <w:tc>
          <w:tcPr>
            <w:tcW w:w="956" w:type="dxa"/>
            <w:tcBorders/>
            <w:vAlign w:val="center"/>
          </w:tcPr>
          <w:p>
            <w:pPr>
              <w:pStyle w:val="Contenudetableau"/>
              <w:spacing w:before="0" w:after="160"/>
              <w:rPr/>
            </w:pPr>
            <w:r>
              <w:rPr/>
              <w:t>14,01</w:t>
            </w:r>
          </w:p>
        </w:tc>
        <w:tc>
          <w:tcPr>
            <w:tcW w:w="2512" w:type="dxa"/>
            <w:tcBorders/>
            <w:vAlign w:val="center"/>
          </w:tcPr>
          <w:p>
            <w:pPr>
              <w:pStyle w:val="Contenudetableau"/>
              <w:widowControl w:val="false"/>
              <w:suppressLineNumbers/>
              <w:spacing w:before="0" w:after="160"/>
              <w:rPr/>
            </w:pPr>
            <w:r>
              <w:rPr/>
              <w:t>15,30</w:t>
            </w:r>
          </w:p>
        </w:tc>
      </w:tr>
      <w:tr>
        <w:trPr/>
        <w:tc>
          <w:tcPr>
            <w:tcW w:w="5021" w:type="dxa"/>
            <w:tcBorders/>
            <w:vAlign w:val="center"/>
          </w:tcPr>
          <w:p>
            <w:pPr>
              <w:pStyle w:val="Contenudetableau"/>
              <w:widowControl w:val="false"/>
              <w:suppressLineNumbers/>
              <w:spacing w:before="0" w:after="160"/>
              <w:rPr/>
            </w:pPr>
            <w:r>
              <w:rPr/>
              <w:t>Novembre</w:t>
            </w:r>
          </w:p>
        </w:tc>
        <w:tc>
          <w:tcPr>
            <w:tcW w:w="956" w:type="dxa"/>
            <w:tcBorders/>
            <w:vAlign w:val="center"/>
          </w:tcPr>
          <w:p>
            <w:pPr>
              <w:pStyle w:val="Contenudetableau"/>
              <w:spacing w:before="0" w:after="160"/>
              <w:rPr/>
            </w:pPr>
            <w:r>
              <w:rPr/>
              <w:t>15,17</w:t>
            </w:r>
          </w:p>
        </w:tc>
        <w:tc>
          <w:tcPr>
            <w:tcW w:w="2512" w:type="dxa"/>
            <w:tcBorders/>
            <w:vAlign w:val="center"/>
          </w:tcPr>
          <w:p>
            <w:pPr>
              <w:pStyle w:val="Contenudetableau"/>
              <w:spacing w:before="0" w:after="160"/>
              <w:ind w:hanging="0" w:left="0" w:right="0"/>
              <w:rPr>
                <w:color w:val="FF0000"/>
              </w:rPr>
            </w:pPr>
            <w:r>
              <w:rPr>
                <w:color w:val="FF0000"/>
              </w:rPr>
              <w:t>17,69</w:t>
            </w:r>
          </w:p>
        </w:tc>
      </w:tr>
      <w:tr>
        <w:trPr/>
        <w:tc>
          <w:tcPr>
            <w:tcW w:w="5021" w:type="dxa"/>
            <w:tcBorders/>
            <w:vAlign w:val="center"/>
          </w:tcPr>
          <w:p>
            <w:pPr>
              <w:pStyle w:val="Contenudetableau"/>
              <w:widowControl w:val="false"/>
              <w:suppressLineNumbers/>
              <w:spacing w:before="0" w:after="160"/>
              <w:rPr/>
            </w:pPr>
            <w:r>
              <w:rPr/>
              <w:t>Décembre</w:t>
            </w:r>
          </w:p>
        </w:tc>
        <w:tc>
          <w:tcPr>
            <w:tcW w:w="956" w:type="dxa"/>
            <w:tcBorders/>
            <w:vAlign w:val="center"/>
          </w:tcPr>
          <w:p>
            <w:pPr>
              <w:pStyle w:val="Contenudetableau"/>
              <w:spacing w:before="0" w:after="160"/>
              <w:rPr/>
            </w:pPr>
            <w:r>
              <w:rPr/>
              <w:t>17,34</w:t>
            </w:r>
          </w:p>
        </w:tc>
        <w:tc>
          <w:tcPr>
            <w:tcW w:w="2512" w:type="dxa"/>
            <w:tcBorders/>
            <w:vAlign w:val="center"/>
          </w:tcPr>
          <w:p>
            <w:pPr>
              <w:pStyle w:val="Contenudetableau"/>
              <w:spacing w:before="0" w:after="160"/>
              <w:ind w:hanging="0" w:left="0" w:right="0"/>
              <w:rPr>
                <w:color w:val="FF0000"/>
              </w:rPr>
            </w:pPr>
            <w:r>
              <w:rPr>
                <w:color w:val="FF0000"/>
              </w:rPr>
              <w:t>20,46</w:t>
            </w:r>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sz w:val="24"/>
          <w:szCs w:val="24"/>
        </w:rPr>
      </w:pPr>
      <w:r>
        <w:rPr>
          <w:b/>
          <w:bCs/>
          <w:sz w:val="24"/>
          <w:szCs w:val="24"/>
        </w:rPr>
        <w:t>Le jeu de données « Basilic » : Contenu et Utilité</w:t>
      </w:r>
    </w:p>
    <w:p>
      <w:pPr>
        <w:pStyle w:val="Normal"/>
        <w:rPr>
          <w:b/>
          <w:bCs/>
        </w:rPr>
      </w:pPr>
      <w:r>
        <w:rPr>
          <w:b/>
          <w:bCs/>
        </w:rPr>
        <w:t>Contenu :</w:t>
      </w:r>
    </w:p>
    <w:p>
      <w:pPr>
        <w:pStyle w:val="Normal"/>
        <w:rPr/>
      </w:pPr>
      <w:r>
        <w:rPr/>
        <w:t>Le jeu de données « Basilic » répertorie les lieux et équipements culturels en France. Avec des informations détaillées sur divers équipements culturels comme des bibliothèques, cinémas, musées, théâtres</w:t>
      </w:r>
    </w:p>
    <w:p>
      <w:pPr>
        <w:pStyle w:val="BodyText"/>
        <w:numPr>
          <w:ilvl w:val="0"/>
          <w:numId w:val="2"/>
        </w:numPr>
        <w:rPr/>
      </w:pPr>
      <w:r>
        <w:rPr>
          <w:rStyle w:val="Strong"/>
        </w:rPr>
        <w:t>Nombre de lignes</w:t>
      </w:r>
      <w:r>
        <w:rPr>
          <w:b/>
          <w:bCs/>
        </w:rPr>
        <w:t xml:space="preserve"> : </w:t>
      </w:r>
      <w:r>
        <w:rPr>
          <w:rStyle w:val="Strong"/>
          <w:b w:val="false"/>
          <w:bCs w:val="false"/>
        </w:rPr>
        <w:t>2163</w:t>
      </w:r>
    </w:p>
    <w:p>
      <w:pPr>
        <w:pStyle w:val="BodyText"/>
        <w:numPr>
          <w:ilvl w:val="0"/>
          <w:numId w:val="2"/>
        </w:numPr>
        <w:rPr/>
      </w:pPr>
      <w:r>
        <w:rPr>
          <w:rStyle w:val="Strong"/>
        </w:rPr>
        <w:t>Nombre de variables</w:t>
      </w:r>
      <w:r>
        <w:rPr>
          <w:rStyle w:val="Strong"/>
          <w:b w:val="false"/>
          <w:bCs w:val="false"/>
        </w:rPr>
        <w:t xml:space="preserve"> : 54</w:t>
      </w:r>
    </w:p>
    <w:p>
      <w:pPr>
        <w:pStyle w:val="BodyText"/>
        <w:rPr>
          <w:rStyle w:val="Strong"/>
          <w:b w:val="false"/>
          <w:bCs w:val="false"/>
        </w:rPr>
      </w:pPr>
      <w:r>
        <w:rPr/>
      </w:r>
    </w:p>
    <w:p>
      <w:pPr>
        <w:pStyle w:val="BodyText"/>
        <w:rPr/>
      </w:pPr>
      <w:r>
        <w:rPr>
          <w:rStyle w:val="Strong"/>
          <w:b w:val="false"/>
          <w:bCs w:val="false"/>
        </w:rPr>
        <w:t xml:space="preserve">Malgré le fait qu’il y est plus de variables pour cette base de données, celle-ci reste </w:t>
      </w:r>
      <w:r>
        <w:rPr>
          <w:rStyle w:val="Strong"/>
          <w:b/>
          <w:bCs/>
        </w:rPr>
        <w:t>inexploitable</w:t>
      </w:r>
      <w:r>
        <w:rPr>
          <w:rStyle w:val="Strong"/>
          <w:b w:val="false"/>
          <w:bCs w:val="false"/>
        </w:rPr>
        <w:t xml:space="preserve"> a cause des données manquante à part : </w:t>
      </w:r>
    </w:p>
    <w:p>
      <w:pPr>
        <w:pStyle w:val="BodyText"/>
        <w:numPr>
          <w:ilvl w:val="0"/>
          <w:numId w:val="14"/>
        </w:numPr>
        <w:rPr>
          <w:b/>
          <w:bCs/>
        </w:rPr>
      </w:pPr>
      <w:r>
        <w:rPr>
          <w:b/>
          <w:bCs/>
        </w:rPr>
        <w:t>Le GCD</w:t>
      </w:r>
      <w:r>
        <w:rPr>
          <w:b w:val="false"/>
          <w:bCs w:val="false"/>
        </w:rPr>
        <w:t xml:space="preserve"> (Grille Communale de Densité-INSEE) qui représente le type de la « ville » dans laquelle le cinéma est implanté.</w:t>
      </w:r>
    </w:p>
    <w:p>
      <w:pPr>
        <w:pStyle w:val="BodyText"/>
        <w:numPr>
          <w:ilvl w:val="0"/>
          <w:numId w:val="13"/>
        </w:numPr>
        <w:spacing w:before="0" w:after="0"/>
        <w:rPr/>
      </w:pPr>
      <w:r>
        <w:rPr>
          <w:rStyle w:val="Strong"/>
          <w:b/>
          <w:bCs w:val="false"/>
        </w:rPr>
        <w:t>Le AAV</w:t>
      </w:r>
      <w:r>
        <w:rPr>
          <w:rStyle w:val="Strong"/>
          <w:b w:val="false"/>
          <w:bCs w:val="false"/>
        </w:rPr>
        <w:t xml:space="preserve"> (Aire d’Attractivité des Villes) qui permet de connaître la fourchette d’habitants du pôle, la source pourrait nous aider afin de pouvoir comparer les chiffres selon les organismes (ministère de la </w:t>
      </w:r>
    </w:p>
    <w:p>
      <w:pPr>
        <w:pStyle w:val="BodyText"/>
        <w:numPr>
          <w:ilvl w:val="0"/>
          <w:numId w:val="0"/>
        </w:numPr>
        <w:spacing w:before="0" w:after="0"/>
        <w:ind w:hanging="0" w:left="720"/>
        <w:rPr/>
      </w:pPr>
      <w:r>
        <w:rPr/>
      </w:r>
    </w:p>
    <w:p>
      <w:pPr>
        <w:pStyle w:val="BodyText"/>
        <w:numPr>
          <w:ilvl w:val="0"/>
          <w:numId w:val="12"/>
        </w:numPr>
        <w:spacing w:before="0" w:after="0"/>
        <w:rPr/>
      </w:pPr>
      <w:r>
        <w:rPr>
          <w:rStyle w:val="Strong"/>
          <w:b/>
          <w:bCs/>
          <w:sz w:val="22"/>
          <w:szCs w:val="22"/>
        </w:rPr>
        <w:t>Source (la source de la variable)</w:t>
      </w:r>
    </w:p>
    <w:p>
      <w:pPr>
        <w:pStyle w:val="BodyText"/>
        <w:spacing w:before="0" w:after="0"/>
        <w:ind w:hanging="0" w:left="0" w:right="0"/>
        <w:rPr>
          <w:rStyle w:val="Strong"/>
          <w:b w:val="false"/>
          <w:bCs w:val="false"/>
          <w:sz w:val="22"/>
          <w:szCs w:val="22"/>
        </w:rPr>
      </w:pPr>
      <w:r>
        <w:rPr/>
      </w:r>
    </w:p>
    <w:p>
      <w:pPr>
        <w:pStyle w:val="BodyText"/>
        <w:spacing w:before="0" w:after="0"/>
        <w:ind w:hanging="0" w:left="0" w:right="0"/>
        <w:rPr>
          <w:b/>
          <w:bCs/>
        </w:rPr>
      </w:pPr>
      <w:r>
        <w:rPr>
          <w:b/>
          <w:bCs/>
        </w:rPr>
        <w:t>0 données manquantes pour CGD et AAV</w:t>
      </w:r>
    </w:p>
    <w:p>
      <w:pPr>
        <w:pStyle w:val="Normal"/>
        <w:numPr>
          <w:ilvl w:val="0"/>
          <w:numId w:val="0"/>
        </w:numPr>
        <w:ind w:hanging="0" w:left="720"/>
        <w:rPr/>
      </w:pPr>
      <w:r>
        <w:rPr/>
      </w:r>
    </w:p>
    <w:p>
      <w:pPr>
        <w:pStyle w:val="Normal"/>
        <w:numPr>
          <w:ilvl w:val="0"/>
          <w:numId w:val="11"/>
        </w:numPr>
        <w:rPr/>
      </w:pPr>
      <w:r>
        <w:rPr/>
        <w:t>Identifiant les zones sous-équipées en croisant avec des données démographiques.</w:t>
      </w:r>
    </w:p>
    <w:p>
      <w:pPr>
        <w:pStyle w:val="Normal"/>
        <w:numPr>
          <w:ilvl w:val="0"/>
          <w:numId w:val="11"/>
        </w:numPr>
        <w:rPr/>
      </w:pPr>
      <w:r>
        <w:rPr/>
        <w:t>Cartographiant l'offre culturelle par région ou quartier prioritaire (QPV).</w:t>
      </w:r>
    </w:p>
    <w:p>
      <w:pPr>
        <w:pStyle w:val="Normal"/>
        <w:rPr>
          <w:b/>
          <w:bCs/>
        </w:rPr>
      </w:pPr>
      <w:r>
        <w:rPr>
          <w:b/>
          <w:bCs/>
        </w:rPr>
        <w:t>Cela permet d'avoir une vision globale de l'accès à la culture sur le territoire.</w:t>
      </w:r>
    </w:p>
    <w:p>
      <w:pPr>
        <w:pStyle w:val="Normal"/>
        <w:rPr>
          <w:b/>
          <w:bCs/>
        </w:rPr>
      </w:pPr>
      <w:r>
        <w:rPr>
          <w:b/>
          <w:bCs/>
        </w:rPr>
      </w:r>
    </w:p>
    <w:p>
      <w:pPr>
        <w:pStyle w:val="BodyText"/>
        <w:spacing w:before="0" w:after="0"/>
        <w:ind w:hanging="0" w:left="0" w:right="0"/>
        <w:rPr/>
      </w:pPr>
      <w:r>
        <w:rPr/>
        <w:t>culture, INSEE…). Grâce à ces informations nous pourrons en connaître davantage sur l’emplacement du cinéma ce qui est un bon complément aux données de bases que nous possédons. Cependant, les données concernant le point géographique du cinéma ne semblent pas être un indicateur pertinent pour notre analyse.</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spacing w:before="0" w:after="160"/>
        <w:rPr>
          <w:b/>
          <w:bCs/>
        </w:rPr>
      </w:pPr>
      <w:r>
        <w:rPr>
          <w:b/>
          <w:bCs/>
        </w:rPr>
      </w:r>
    </w:p>
    <w:sectPr>
      <w:type w:val="nextPage"/>
      <w:pgSz w:w="11906" w:h="16838"/>
      <w:pgMar w:left="1417" w:right="1417"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auto"/>
    <w:pitch w:val="variable"/>
  </w:font>
  <w:font w:name="Calibri">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830"/>
        </w:tabs>
        <w:ind w:left="830" w:hanging="360"/>
      </w:pPr>
      <w:rPr>
        <w:rFonts w:ascii="Symbol" w:hAnsi="Symbol" w:cs="Symbol" w:hint="default"/>
      </w:rPr>
    </w:lvl>
    <w:lvl w:ilvl="1">
      <w:start w:val="1"/>
      <w:numFmt w:val="bullet"/>
      <w:lvlText w:val="◦"/>
      <w:lvlJc w:val="left"/>
      <w:pPr>
        <w:tabs>
          <w:tab w:val="num" w:pos="1190"/>
        </w:tabs>
        <w:ind w:left="1190" w:hanging="360"/>
      </w:pPr>
      <w:rPr>
        <w:rFonts w:ascii="OpenSymbol" w:hAnsi="OpenSymbol" w:cs="OpenSymbol" w:hint="default"/>
      </w:rPr>
    </w:lvl>
    <w:lvl w:ilvl="2">
      <w:start w:val="1"/>
      <w:numFmt w:val="bullet"/>
      <w:lvlText w:val="▪"/>
      <w:lvlJc w:val="left"/>
      <w:pPr>
        <w:tabs>
          <w:tab w:val="num" w:pos="1550"/>
        </w:tabs>
        <w:ind w:left="1550" w:hanging="360"/>
      </w:pPr>
      <w:rPr>
        <w:rFonts w:ascii="OpenSymbol" w:hAnsi="OpenSymbol" w:cs="OpenSymbol" w:hint="default"/>
      </w:rPr>
    </w:lvl>
    <w:lvl w:ilvl="3">
      <w:start w:val="1"/>
      <w:numFmt w:val="bullet"/>
      <w:lvlText w:val=""/>
      <w:lvlJc w:val="left"/>
      <w:pPr>
        <w:tabs>
          <w:tab w:val="num" w:pos="1910"/>
        </w:tabs>
        <w:ind w:left="1910" w:hanging="360"/>
      </w:pPr>
      <w:rPr>
        <w:rFonts w:ascii="Symbol" w:hAnsi="Symbol" w:cs="Symbol" w:hint="default"/>
      </w:rPr>
    </w:lvl>
    <w:lvl w:ilvl="4">
      <w:start w:val="1"/>
      <w:numFmt w:val="bullet"/>
      <w:lvlText w:val="◦"/>
      <w:lvlJc w:val="left"/>
      <w:pPr>
        <w:tabs>
          <w:tab w:val="num" w:pos="2270"/>
        </w:tabs>
        <w:ind w:left="2270" w:hanging="360"/>
      </w:pPr>
      <w:rPr>
        <w:rFonts w:ascii="OpenSymbol" w:hAnsi="OpenSymbol" w:cs="OpenSymbol" w:hint="default"/>
      </w:rPr>
    </w:lvl>
    <w:lvl w:ilvl="5">
      <w:start w:val="1"/>
      <w:numFmt w:val="bullet"/>
      <w:lvlText w:val="▪"/>
      <w:lvlJc w:val="left"/>
      <w:pPr>
        <w:tabs>
          <w:tab w:val="num" w:pos="2630"/>
        </w:tabs>
        <w:ind w:left="2630" w:hanging="360"/>
      </w:pPr>
      <w:rPr>
        <w:rFonts w:ascii="OpenSymbol" w:hAnsi="OpenSymbol" w:cs="OpenSymbol" w:hint="default"/>
      </w:rPr>
    </w:lvl>
    <w:lvl w:ilvl="6">
      <w:start w:val="1"/>
      <w:numFmt w:val="bullet"/>
      <w:lvlText w:val=""/>
      <w:lvlJc w:val="left"/>
      <w:pPr>
        <w:tabs>
          <w:tab w:val="num" w:pos="2990"/>
        </w:tabs>
        <w:ind w:left="2990" w:hanging="360"/>
      </w:pPr>
      <w:rPr>
        <w:rFonts w:ascii="Symbol" w:hAnsi="Symbol" w:cs="Symbol" w:hint="default"/>
      </w:rPr>
    </w:lvl>
    <w:lvl w:ilvl="7">
      <w:start w:val="1"/>
      <w:numFmt w:val="bullet"/>
      <w:lvlText w:val="◦"/>
      <w:lvlJc w:val="left"/>
      <w:pPr>
        <w:tabs>
          <w:tab w:val="num" w:pos="3350"/>
        </w:tabs>
        <w:ind w:left="3350" w:hanging="360"/>
      </w:pPr>
      <w:rPr>
        <w:rFonts w:ascii="OpenSymbol" w:hAnsi="OpenSymbol" w:cs="OpenSymbol" w:hint="default"/>
      </w:rPr>
    </w:lvl>
    <w:lvl w:ilvl="8">
      <w:start w:val="1"/>
      <w:numFmt w:val="bullet"/>
      <w:lvlText w:val="▪"/>
      <w:lvlJc w:val="left"/>
      <w:pPr>
        <w:tabs>
          <w:tab w:val="num" w:pos="3710"/>
        </w:tabs>
        <w:ind w:left="371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2">
    <w:name w:val="Heading 2"/>
    <w:basedOn w:val="Title"/>
    <w:next w:val="BodyText"/>
    <w:qFormat/>
    <w:pPr>
      <w:spacing w:before="200" w:after="120"/>
      <w:outlineLvl w:val="1"/>
    </w:pPr>
    <w:rPr>
      <w:rFonts w:eastAsia="DejaVu Sans" w:cs="DejaVu Sans"/>
      <w:b/>
      <w:bCs/>
      <w:sz w:val="36"/>
      <w:szCs w:val="36"/>
    </w:rPr>
  </w:style>
  <w:style w:type="paragraph" w:styleId="Heading3">
    <w:name w:val="Heading 3"/>
    <w:basedOn w:val="Title"/>
    <w:next w:val="BodyText"/>
    <w:qFormat/>
    <w:pPr>
      <w:spacing w:before="140" w:after="120"/>
      <w:outlineLvl w:val="2"/>
    </w:pPr>
    <w:rPr>
      <w:rFonts w:eastAsia="DejaVu Sans" w:cs="DejaVu Sans"/>
      <w:b/>
      <w:bCs/>
    </w:rPr>
  </w:style>
  <w:style w:type="paragraph" w:styleId="Heading4">
    <w:name w:val="Heading 4"/>
    <w:basedOn w:val="Normal"/>
    <w:next w:val="Normal"/>
    <w:link w:val="Titre4Car"/>
    <w:uiPriority w:val="9"/>
    <w:semiHidden/>
    <w:unhideWhenUsed/>
    <w:qFormat/>
    <w:rsid w:val="005242a8"/>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unhideWhenUsed/>
    <w:qFormat/>
    <w:rPr/>
  </w:style>
  <w:style w:type="character" w:styleId="Puces" w:customStyle="1">
    <w:name w:val="Puces"/>
    <w:qFormat/>
    <w:rPr>
      <w:rFonts w:ascii="OpenSymbol" w:hAnsi="OpenSymbol" w:eastAsia="OpenSymbol" w:cs="OpenSymbol"/>
    </w:rPr>
  </w:style>
  <w:style w:type="character" w:styleId="Strong">
    <w:name w:val="Strong"/>
    <w:qFormat/>
    <w:rPr>
      <w:b/>
      <w:bCs/>
    </w:rPr>
  </w:style>
  <w:style w:type="character" w:styleId="Caractresdenumrotation" w:customStyle="1">
    <w:name w:val="Caractères de numérotation"/>
    <w:qFormat/>
    <w:rPr/>
  </w:style>
  <w:style w:type="character" w:styleId="Caractresdenotedebasdepage" w:customStyle="1">
    <w:name w:val="Caractères de note de bas de page"/>
    <w:qFormat/>
    <w:rPr/>
  </w:style>
  <w:style w:type="character" w:styleId="Caractresdenotedefin" w:customStyle="1">
    <w:name w:val="Caractères de note de fin"/>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Titre4Car" w:customStyle="1">
    <w:name w:val="Titre 4 Car"/>
    <w:basedOn w:val="DefaultParagraphFont"/>
    <w:uiPriority w:val="9"/>
    <w:semiHidden/>
    <w:qFormat/>
    <w:rsid w:val="005242a8"/>
    <w:rPr>
      <w:rFonts w:ascii="Calibri Light" w:hAnsi="Calibri Light" w:eastAsia="" w:cs="" w:asciiTheme="majorHAnsi" w:cstheme="majorBidi" w:eastAsiaTheme="majorEastAsia" w:hAnsiTheme="majorHAnsi"/>
      <w:i/>
      <w:iCs/>
      <w:color w:themeColor="accent1" w:themeShade="bf" w:val="2F5496"/>
    </w:rPr>
  </w:style>
  <w:style w:type="character" w:styleId="annotationreference">
    <w:name w:val="annotation reference"/>
    <w:basedOn w:val="DefaultParagraphFont"/>
    <w:uiPriority w:val="99"/>
    <w:semiHidden/>
    <w:unhideWhenUsed/>
    <w:qFormat/>
    <w:rsid w:val="001e1636"/>
    <w:rPr>
      <w:sz w:val="16"/>
      <w:szCs w:val="16"/>
    </w:rPr>
  </w:style>
  <w:style w:type="character" w:styleId="CommentaireCar" w:customStyle="1">
    <w:name w:val="Commentaire Car"/>
    <w:basedOn w:val="DefaultParagraphFont"/>
    <w:uiPriority w:val="99"/>
    <w:semiHidden/>
    <w:qFormat/>
    <w:rsid w:val="001e1636"/>
    <w:rPr>
      <w:sz w:val="20"/>
      <w:szCs w:val="20"/>
    </w:rPr>
  </w:style>
  <w:style w:type="character" w:styleId="ObjetducommentaireCar" w:customStyle="1">
    <w:name w:val="Objet du commentaire Car"/>
    <w:basedOn w:val="CommentaireCar"/>
    <w:link w:val="annotationsubject"/>
    <w:uiPriority w:val="99"/>
    <w:semiHidden/>
    <w:qFormat/>
    <w:rsid w:val="001e1636"/>
    <w:rPr>
      <w:b/>
      <w:bCs/>
      <w:sz w:val="20"/>
      <w:szCs w:val="20"/>
    </w:rPr>
  </w:style>
  <w:style w:type="paragraph" w:styleId="Titre">
    <w:name w:val="Titre"/>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customStyle="1">
    <w:name w:val="Index"/>
    <w:basedOn w:val="Normal"/>
    <w:qFormat/>
    <w:pPr>
      <w:suppressLineNumbers/>
    </w:pPr>
    <w:rPr>
      <w:rFonts w:cs="Noto Sans"/>
    </w:rPr>
  </w:style>
  <w:style w:type="paragraph" w:styleId="Title">
    <w:name w:val="Title"/>
    <w:basedOn w:val="Normal"/>
    <w:next w:val="BodyText"/>
    <w:qFormat/>
    <w:pPr>
      <w:keepNext w:val="true"/>
      <w:spacing w:before="240" w:after="120"/>
    </w:pPr>
    <w:rPr>
      <w:rFonts w:ascii="Carlito" w:hAnsi="Carlito" w:eastAsia="Noto Sans SC Regular" w:cs="Noto Sans"/>
      <w:sz w:val="28"/>
      <w:szCs w:val="28"/>
    </w:rPr>
  </w:style>
  <w:style w:type="paragraph" w:styleId="Contenudetableau" w:customStyle="1">
    <w:name w:val="Contenu de tableau"/>
    <w:basedOn w:val="Normal"/>
    <w:qFormat/>
    <w:pPr>
      <w:widowControl w:val="false"/>
      <w:suppressLineNumbers/>
    </w:pPr>
    <w:rPr/>
  </w:style>
  <w:style w:type="paragraph" w:styleId="Titredetableau" w:customStyle="1">
    <w:name w:val="Titre de tableau"/>
    <w:basedOn w:val="Contenudetableau"/>
    <w:qFormat/>
    <w:pPr>
      <w:jc w:val="center"/>
    </w:pPr>
    <w:rPr>
      <w:b/>
      <w:bCs/>
    </w:rPr>
  </w:style>
  <w:style w:type="paragraph" w:styleId="Contenudeliste" w:customStyle="1">
    <w:name w:val="Contenu de liste"/>
    <w:basedOn w:val="Normal"/>
    <w:qFormat/>
    <w:pPr>
      <w:ind w:left="567"/>
    </w:pPr>
    <w:rPr/>
  </w:style>
  <w:style w:type="paragraph" w:styleId="AnnotationText">
    <w:name w:val="Annotation Text"/>
    <w:basedOn w:val="Normal"/>
    <w:link w:val="CommentaireCar"/>
    <w:uiPriority w:val="99"/>
    <w:semiHidden/>
    <w:unhideWhenUsed/>
    <w:rsid w:val="001e1636"/>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1e1636"/>
    <w:pPr/>
    <w:rPr>
      <w:b/>
      <w:bCs/>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nc.fr/professionnels/communiques-de-presse/a-181-millions-dentrees-la-frequentation-des-salles-en-2023-confirme-sa-forte-dynamique_2096483" TargetMode="External"/><Relationship Id="rId3" Type="http://schemas.openxmlformats.org/officeDocument/2006/relationships/hyperlink" Target="https://fr.statista.com/statistiques/550521/frequentation-cinema-salles-france/" TargetMode="External"/><Relationship Id="rId4" Type="http://schemas.openxmlformats.org/officeDocument/2006/relationships/hyperlink" Target="https://www.cnc.fr/professionnels/communiques-de-presse/avec-plus-de-181-millions-dentrees-en-2024-les-salles-francaises-confirment-la-situation-exceptionnelle-de-la-france-dans-le-paysage-du-cinema-mondial_2318147"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323</TotalTime>
  <Application>Collabora_Office/24.04.12.4$Linux_X86_64 LibreOffice_project/ef9dc9e4b253f1461f80c70fd8aba1669944eba5</Application>
  <AppVersion>15.0000</AppVersion>
  <Pages>7</Pages>
  <Words>963</Words>
  <Characters>5493</Characters>
  <CharactersWithSpaces>6257</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2025-03-04T15:15:00Z</dcterms:created>
  <dc:creator>Yasmine Bououden</dc:creator>
  <dc:description/>
  <dc:language>fr-FR</dc:language>
  <cp:lastModifiedBy/>
  <dcterms:modified xsi:type="dcterms:W3CDTF">2025-03-11T17:01:19Z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