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大学生电子商务网风险登记册</w:t>
      </w:r>
    </w:p>
    <w:p/>
    <w:tbl>
      <w:tblPr>
        <w:tblStyle w:val="4"/>
        <w:tblW w:w="138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hAnsi="宋体" w:eastAsiaTheme="minorEastAsia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家教平台或者线下找家教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王昭 刘晓倩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深入分析学生群体特点和需求，设计出符合他们的电子购物平台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王昭 刘晓倩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深入分析商户群体特点和需求，设计出符合他们的电子销售平台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无法实现为家教与学生之间更好的桥接与沟通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网站应该能让家教老师与学生之间更好的桥接，沟通意外时能及时处理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董世轩 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更好沟通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崔珊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及时调度相应的人员到位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刘杼滨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及时争取引进投资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434B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">
    <w:name w:val="标题 Char"/>
    <w:basedOn w:val="3"/>
    <w:link w:val="2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377</Characters>
  <Lines>3</Lines>
  <Paragraphs>1</Paragraphs>
  <TotalTime>1</TotalTime>
  <ScaleCrop>false</ScaleCrop>
  <LinksUpToDate>false</LinksUpToDate>
  <CharactersWithSpaces>442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2012-09-20T02:46:00Z</dcterms:created>
  <dc:creator>zhaosheng</dc:creator>
  <cp:lastModifiedBy>DSX</cp:lastModifiedBy>
  <dcterms:modified xsi:type="dcterms:W3CDTF">2019-05-05T03:54:28Z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