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B08D6" w14:textId="77777777" w:rsidR="004055B3" w:rsidRPr="004E4644" w:rsidRDefault="00000000">
      <w:pPr>
        <w:spacing w:after="0" w:line="240" w:lineRule="auto"/>
        <w:jc w:val="center"/>
        <w:rPr>
          <w:sz w:val="40"/>
          <w:szCs w:val="40"/>
        </w:rPr>
      </w:pPr>
      <w:r w:rsidRPr="004E4644">
        <w:rPr>
          <w:rFonts w:ascii="Times New Roman" w:hAnsi="Times New Roman"/>
          <w:b/>
          <w:sz w:val="44"/>
          <w:szCs w:val="40"/>
        </w:rPr>
        <w:t>Theoretical Syllabus: Growth and Development</w:t>
      </w:r>
    </w:p>
    <w:p w14:paraId="0E1ECE1D" w14:textId="77777777" w:rsidR="004055B3" w:rsidRPr="004E4644" w:rsidRDefault="00000000">
      <w:pPr>
        <w:spacing w:after="0" w:line="240" w:lineRule="auto"/>
        <w:jc w:val="center"/>
        <w:rPr>
          <w:sz w:val="40"/>
          <w:szCs w:val="40"/>
        </w:rPr>
      </w:pPr>
      <w:r w:rsidRPr="004E4644">
        <w:rPr>
          <w:rFonts w:ascii="Times New Roman" w:hAnsi="Times New Roman"/>
          <w:b/>
          <w:sz w:val="32"/>
          <w:szCs w:val="40"/>
        </w:rPr>
        <w:t>College of Nursing – Third-Year Students</w:t>
      </w:r>
    </w:p>
    <w:p w14:paraId="4ED5F63E" w14:textId="77777777" w:rsidR="004055B3" w:rsidRPr="004E4644" w:rsidRDefault="00000000">
      <w:pPr>
        <w:spacing w:after="0" w:line="240" w:lineRule="auto"/>
        <w:rPr>
          <w:sz w:val="40"/>
          <w:szCs w:val="40"/>
        </w:rPr>
      </w:pPr>
      <w:r w:rsidRPr="004E4644">
        <w:rPr>
          <w:rFonts w:ascii="Times New Roman" w:hAnsi="Times New Roman"/>
          <w:sz w:val="28"/>
          <w:szCs w:val="40"/>
        </w:rPr>
        <w:t>Course Title: Growth and Development – Theoretical</w:t>
      </w:r>
    </w:p>
    <w:p w14:paraId="01547BD9" w14:textId="77777777" w:rsidR="004055B3" w:rsidRPr="004E4644" w:rsidRDefault="00000000">
      <w:pPr>
        <w:spacing w:after="0" w:line="240" w:lineRule="auto"/>
        <w:rPr>
          <w:sz w:val="40"/>
          <w:szCs w:val="40"/>
        </w:rPr>
      </w:pPr>
      <w:r w:rsidRPr="004E4644">
        <w:rPr>
          <w:rFonts w:ascii="Times New Roman" w:hAnsi="Times New Roman"/>
          <w:sz w:val="28"/>
          <w:szCs w:val="40"/>
        </w:rPr>
        <w:t>Target Students: Third-Year Nursing Students</w:t>
      </w:r>
    </w:p>
    <w:p w14:paraId="211FE6B6" w14:textId="77777777" w:rsidR="004055B3" w:rsidRPr="004E4644" w:rsidRDefault="00000000">
      <w:pPr>
        <w:spacing w:after="0" w:line="240" w:lineRule="auto"/>
        <w:rPr>
          <w:sz w:val="40"/>
          <w:szCs w:val="40"/>
        </w:rPr>
      </w:pPr>
      <w:r w:rsidRPr="004E4644">
        <w:rPr>
          <w:rFonts w:ascii="Times New Roman" w:hAnsi="Times New Roman"/>
          <w:sz w:val="28"/>
          <w:szCs w:val="40"/>
        </w:rPr>
        <w:t>Prepared by: Dr. Moustafa Ali</w:t>
      </w:r>
    </w:p>
    <w:p w14:paraId="5FE29468" w14:textId="660DE963" w:rsidR="004055B3" w:rsidRPr="004E4644" w:rsidRDefault="00000000">
      <w:pPr>
        <w:spacing w:after="0" w:line="240" w:lineRule="auto"/>
        <w:rPr>
          <w:sz w:val="40"/>
          <w:szCs w:val="40"/>
        </w:rPr>
      </w:pPr>
      <w:r w:rsidRPr="004E4644">
        <w:rPr>
          <w:rFonts w:ascii="Times New Roman" w:hAnsi="Times New Roman"/>
          <w:sz w:val="28"/>
          <w:szCs w:val="40"/>
        </w:rPr>
        <w:t>Suggested Duration: 1</w:t>
      </w:r>
      <w:r w:rsidR="00061A15">
        <w:rPr>
          <w:rFonts w:ascii="Times New Roman" w:hAnsi="Times New Roman"/>
          <w:sz w:val="28"/>
          <w:szCs w:val="40"/>
        </w:rPr>
        <w:t>1</w:t>
      </w:r>
      <w:r w:rsidRPr="004E4644">
        <w:rPr>
          <w:rFonts w:ascii="Times New Roman" w:hAnsi="Times New Roman"/>
          <w:sz w:val="28"/>
          <w:szCs w:val="40"/>
        </w:rPr>
        <w:t xml:space="preserve"> Theoretical Sessions</w:t>
      </w:r>
    </w:p>
    <w:p w14:paraId="12643948" w14:textId="77777777" w:rsidR="004055B3" w:rsidRPr="004E4644" w:rsidRDefault="00000000">
      <w:pPr>
        <w:spacing w:after="0" w:line="240" w:lineRule="auto"/>
        <w:rPr>
          <w:sz w:val="40"/>
          <w:szCs w:val="40"/>
        </w:rPr>
      </w:pPr>
      <w:r w:rsidRPr="004E4644">
        <w:rPr>
          <w:rFonts w:ascii="Times New Roman" w:hAnsi="Times New Roman"/>
          <w:b/>
          <w:sz w:val="32"/>
          <w:szCs w:val="40"/>
        </w:rPr>
        <w:t>Expected Learning Outcomes</w:t>
      </w:r>
    </w:p>
    <w:p w14:paraId="6AA851F5" w14:textId="40FA0B28" w:rsidR="004055B3" w:rsidRPr="004E4644" w:rsidRDefault="00000000" w:rsidP="006F5D2F">
      <w:pPr>
        <w:pStyle w:val="aa"/>
        <w:numPr>
          <w:ilvl w:val="0"/>
          <w:numId w:val="11"/>
        </w:numPr>
        <w:spacing w:after="0" w:line="240" w:lineRule="auto"/>
        <w:rPr>
          <w:sz w:val="40"/>
          <w:szCs w:val="40"/>
        </w:rPr>
      </w:pPr>
      <w:r w:rsidRPr="004E4644">
        <w:rPr>
          <w:rFonts w:ascii="Times New Roman" w:hAnsi="Times New Roman"/>
          <w:sz w:val="24"/>
          <w:szCs w:val="40"/>
        </w:rPr>
        <w:t>Define growth, development, and maturation and explain the principles, patterns, and factors that influence growth and development.</w:t>
      </w:r>
    </w:p>
    <w:p w14:paraId="565D18F7" w14:textId="54EE4738" w:rsidR="004055B3" w:rsidRPr="004E4644" w:rsidRDefault="00000000" w:rsidP="00A55099">
      <w:pPr>
        <w:pStyle w:val="aa"/>
        <w:numPr>
          <w:ilvl w:val="0"/>
          <w:numId w:val="11"/>
        </w:numPr>
        <w:spacing w:after="0" w:line="240" w:lineRule="auto"/>
        <w:rPr>
          <w:sz w:val="40"/>
          <w:szCs w:val="40"/>
        </w:rPr>
      </w:pPr>
      <w:r w:rsidRPr="004E4644">
        <w:rPr>
          <w:rFonts w:ascii="Times New Roman" w:hAnsi="Times New Roman"/>
          <w:sz w:val="24"/>
          <w:szCs w:val="40"/>
        </w:rPr>
        <w:t>Compare the major theories of child development — Freud, Erikson, and Piaget — and their relevance to nursing care.</w:t>
      </w:r>
    </w:p>
    <w:p w14:paraId="4C93AA53" w14:textId="57025A61" w:rsidR="004055B3" w:rsidRPr="004E4644" w:rsidRDefault="00000000" w:rsidP="00A55099">
      <w:pPr>
        <w:pStyle w:val="aa"/>
        <w:numPr>
          <w:ilvl w:val="0"/>
          <w:numId w:val="11"/>
        </w:numPr>
        <w:spacing w:after="0" w:line="240" w:lineRule="auto"/>
        <w:rPr>
          <w:sz w:val="40"/>
          <w:szCs w:val="40"/>
        </w:rPr>
      </w:pPr>
      <w:r w:rsidRPr="004E4644">
        <w:rPr>
          <w:rFonts w:ascii="Times New Roman" w:hAnsi="Times New Roman"/>
          <w:sz w:val="24"/>
          <w:szCs w:val="40"/>
        </w:rPr>
        <w:t>Describe normal physical, motor, language, cognitive, and psychosocial development from the newborn through the adolescent.</w:t>
      </w:r>
    </w:p>
    <w:p w14:paraId="57FA0FE3" w14:textId="481F6AD2" w:rsidR="004055B3" w:rsidRPr="004E4644" w:rsidRDefault="00000000" w:rsidP="00A55099">
      <w:pPr>
        <w:pStyle w:val="aa"/>
        <w:numPr>
          <w:ilvl w:val="0"/>
          <w:numId w:val="11"/>
        </w:numPr>
        <w:spacing w:after="0" w:line="240" w:lineRule="auto"/>
        <w:rPr>
          <w:sz w:val="40"/>
          <w:szCs w:val="40"/>
        </w:rPr>
      </w:pPr>
      <w:r w:rsidRPr="004E4644">
        <w:rPr>
          <w:rFonts w:ascii="Times New Roman" w:hAnsi="Times New Roman"/>
          <w:sz w:val="24"/>
          <w:szCs w:val="40"/>
        </w:rPr>
        <w:t>Recognize birth injuries and common deviations and health problems affecting growth and development across age groups.</w:t>
      </w:r>
    </w:p>
    <w:p w14:paraId="2F405A39" w14:textId="03C177AD" w:rsidR="004055B3" w:rsidRPr="004E4644" w:rsidRDefault="00000000" w:rsidP="00A55099">
      <w:pPr>
        <w:pStyle w:val="aa"/>
        <w:numPr>
          <w:ilvl w:val="0"/>
          <w:numId w:val="11"/>
        </w:numPr>
        <w:spacing w:after="0" w:line="240" w:lineRule="auto"/>
        <w:rPr>
          <w:sz w:val="40"/>
          <w:szCs w:val="40"/>
        </w:rPr>
      </w:pPr>
      <w:r w:rsidRPr="004E4644">
        <w:rPr>
          <w:rFonts w:ascii="Times New Roman" w:hAnsi="Times New Roman"/>
          <w:sz w:val="24"/>
          <w:szCs w:val="40"/>
        </w:rPr>
        <w:t>Integrate knowledge of growth and development with the nursing process to provide safe, family-centered care.</w:t>
      </w:r>
    </w:p>
    <w:p w14:paraId="52D1FF9E" w14:textId="77777777" w:rsidR="004055B3" w:rsidRPr="004E4644" w:rsidRDefault="00000000">
      <w:pPr>
        <w:spacing w:after="0" w:line="240" w:lineRule="auto"/>
        <w:rPr>
          <w:sz w:val="40"/>
          <w:szCs w:val="40"/>
        </w:rPr>
      </w:pPr>
      <w:r w:rsidRPr="004E4644">
        <w:rPr>
          <w:rFonts w:ascii="Times New Roman" w:hAnsi="Times New Roman"/>
          <w:b/>
          <w:sz w:val="32"/>
          <w:szCs w:val="40"/>
        </w:rPr>
        <w:t>Theoretical Course Outline. Theoretical Topic Main Contents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4"/>
        <w:gridCol w:w="2909"/>
        <w:gridCol w:w="7247"/>
      </w:tblGrid>
      <w:tr w:rsidR="004055B3" w:rsidRPr="004E4644" w14:paraId="10299C16" w14:textId="77777777" w:rsidTr="006F5D2F">
        <w:trPr>
          <w:jc w:val="center"/>
        </w:trPr>
        <w:tc>
          <w:tcPr>
            <w:tcW w:w="294" w:type="pct"/>
          </w:tcPr>
          <w:p w14:paraId="5D48321A" w14:textId="77777777" w:rsidR="004055B3" w:rsidRPr="004E4644" w:rsidRDefault="00000000">
            <w:pPr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b/>
                <w:sz w:val="24"/>
                <w:szCs w:val="40"/>
              </w:rPr>
              <w:t>No.</w:t>
            </w:r>
          </w:p>
        </w:tc>
        <w:tc>
          <w:tcPr>
            <w:tcW w:w="1348" w:type="pct"/>
          </w:tcPr>
          <w:p w14:paraId="35B70A41" w14:textId="77777777" w:rsidR="004055B3" w:rsidRPr="004E4644" w:rsidRDefault="00000000">
            <w:pPr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b/>
                <w:sz w:val="24"/>
                <w:szCs w:val="40"/>
              </w:rPr>
              <w:t>Theoretical Topic</w:t>
            </w:r>
          </w:p>
        </w:tc>
        <w:tc>
          <w:tcPr>
            <w:tcW w:w="3358" w:type="pct"/>
          </w:tcPr>
          <w:p w14:paraId="4A112E4A" w14:textId="77777777" w:rsidR="004055B3" w:rsidRPr="004E4644" w:rsidRDefault="00000000">
            <w:pPr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b/>
                <w:sz w:val="24"/>
                <w:szCs w:val="40"/>
              </w:rPr>
              <w:t>Main Contents</w:t>
            </w:r>
          </w:p>
        </w:tc>
      </w:tr>
      <w:tr w:rsidR="004055B3" w:rsidRPr="004E4644" w14:paraId="72D26455" w14:textId="77777777" w:rsidTr="006F5D2F">
        <w:trPr>
          <w:jc w:val="center"/>
        </w:trPr>
        <w:tc>
          <w:tcPr>
            <w:tcW w:w="294" w:type="pct"/>
          </w:tcPr>
          <w:p w14:paraId="2755AB3F" w14:textId="77777777" w:rsidR="004055B3" w:rsidRPr="004E4644" w:rsidRDefault="00000000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szCs w:val="40"/>
              </w:rPr>
              <w:t>1</w:t>
            </w:r>
          </w:p>
        </w:tc>
        <w:tc>
          <w:tcPr>
            <w:tcW w:w="1348" w:type="pct"/>
          </w:tcPr>
          <w:p w14:paraId="1C974CA8" w14:textId="77777777" w:rsidR="004055B3" w:rsidRPr="004E4644" w:rsidRDefault="00000000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b/>
                <w:szCs w:val="40"/>
              </w:rPr>
              <w:t>Introduction to Growth and Development</w:t>
            </w:r>
          </w:p>
        </w:tc>
        <w:tc>
          <w:tcPr>
            <w:tcW w:w="3358" w:type="pct"/>
          </w:tcPr>
          <w:p w14:paraId="7364886B" w14:textId="77777777" w:rsidR="004055B3" w:rsidRPr="004E4644" w:rsidRDefault="00000000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szCs w:val="40"/>
              </w:rPr>
              <w:t>Definitions of growth, development, and maturation; principles and patterns; types and stages; factors affecting growth and development; and the nurse’s role.</w:t>
            </w:r>
          </w:p>
        </w:tc>
      </w:tr>
      <w:tr w:rsidR="004055B3" w:rsidRPr="004E4644" w14:paraId="6A6C7DF0" w14:textId="77777777" w:rsidTr="006F5D2F">
        <w:trPr>
          <w:jc w:val="center"/>
        </w:trPr>
        <w:tc>
          <w:tcPr>
            <w:tcW w:w="294" w:type="pct"/>
          </w:tcPr>
          <w:p w14:paraId="2167E553" w14:textId="0D532D45" w:rsidR="004055B3" w:rsidRPr="004E4644" w:rsidRDefault="006F5D2F">
            <w:pPr>
              <w:spacing w:after="0" w:line="211" w:lineRule="auto"/>
              <w:rPr>
                <w:rFonts w:ascii="Times New Roman" w:hAnsi="Times New Roman"/>
                <w:szCs w:val="40"/>
              </w:rPr>
            </w:pPr>
            <w:r w:rsidRPr="004E4644">
              <w:rPr>
                <w:rFonts w:ascii="Times New Roman" w:hAnsi="Times New Roman"/>
                <w:szCs w:val="40"/>
              </w:rPr>
              <w:t>2</w:t>
            </w:r>
          </w:p>
        </w:tc>
        <w:tc>
          <w:tcPr>
            <w:tcW w:w="1348" w:type="pct"/>
          </w:tcPr>
          <w:p w14:paraId="29D57047" w14:textId="77777777" w:rsidR="004055B3" w:rsidRPr="004E4644" w:rsidRDefault="00000000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b/>
                <w:szCs w:val="40"/>
              </w:rPr>
              <w:t>Freud’s Theory of Psychosexual Development</w:t>
            </w:r>
          </w:p>
        </w:tc>
        <w:tc>
          <w:tcPr>
            <w:tcW w:w="3358" w:type="pct"/>
          </w:tcPr>
          <w:p w14:paraId="7C41266F" w14:textId="77777777" w:rsidR="004055B3" w:rsidRPr="004E4644" w:rsidRDefault="00000000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szCs w:val="40"/>
              </w:rPr>
              <w:t>The unconscious mind, id, ego, and superego; the psychosexual stages (oral, anal, phallic, latency, genital); fixation; and ego defense mechanisms.</w:t>
            </w:r>
          </w:p>
        </w:tc>
      </w:tr>
      <w:tr w:rsidR="004055B3" w:rsidRPr="004E4644" w14:paraId="4991B55E" w14:textId="77777777" w:rsidTr="006F5D2F">
        <w:trPr>
          <w:jc w:val="center"/>
        </w:trPr>
        <w:tc>
          <w:tcPr>
            <w:tcW w:w="294" w:type="pct"/>
          </w:tcPr>
          <w:p w14:paraId="5F2845B7" w14:textId="62F0DC7D" w:rsidR="004055B3" w:rsidRPr="004E4644" w:rsidRDefault="006F5D2F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szCs w:val="40"/>
              </w:rPr>
              <w:t>3</w:t>
            </w:r>
          </w:p>
        </w:tc>
        <w:tc>
          <w:tcPr>
            <w:tcW w:w="1348" w:type="pct"/>
          </w:tcPr>
          <w:p w14:paraId="27075C0B" w14:textId="77777777" w:rsidR="004055B3" w:rsidRPr="004E4644" w:rsidRDefault="00000000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b/>
                <w:szCs w:val="40"/>
              </w:rPr>
              <w:t>Erikson’s Theory of Psychosocial Development</w:t>
            </w:r>
          </w:p>
        </w:tc>
        <w:tc>
          <w:tcPr>
            <w:tcW w:w="3358" w:type="pct"/>
          </w:tcPr>
          <w:p w14:paraId="6062CE50" w14:textId="77777777" w:rsidR="004055B3" w:rsidRPr="004E4644" w:rsidRDefault="00000000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szCs w:val="40"/>
              </w:rPr>
              <w:t>The eight psychosocial stages from trust versus mistrust to integrity versus despair; developmental tasks and their relevance to nursing care across the lifespan.</w:t>
            </w:r>
          </w:p>
        </w:tc>
      </w:tr>
      <w:tr w:rsidR="004055B3" w:rsidRPr="004E4644" w14:paraId="723838B9" w14:textId="77777777" w:rsidTr="006F5D2F">
        <w:trPr>
          <w:jc w:val="center"/>
        </w:trPr>
        <w:tc>
          <w:tcPr>
            <w:tcW w:w="294" w:type="pct"/>
          </w:tcPr>
          <w:p w14:paraId="75E7BCF9" w14:textId="21D5DD24" w:rsidR="004055B3" w:rsidRPr="004E4644" w:rsidRDefault="006F5D2F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szCs w:val="40"/>
              </w:rPr>
              <w:t>4</w:t>
            </w:r>
          </w:p>
        </w:tc>
        <w:tc>
          <w:tcPr>
            <w:tcW w:w="1348" w:type="pct"/>
          </w:tcPr>
          <w:p w14:paraId="564996E4" w14:textId="77777777" w:rsidR="004055B3" w:rsidRPr="004E4644" w:rsidRDefault="00000000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b/>
                <w:szCs w:val="40"/>
              </w:rPr>
              <w:t>Piaget’s Theory of Cognitive Development</w:t>
            </w:r>
          </w:p>
        </w:tc>
        <w:tc>
          <w:tcPr>
            <w:tcW w:w="3358" w:type="pct"/>
          </w:tcPr>
          <w:p w14:paraId="602E7B2C" w14:textId="77777777" w:rsidR="004055B3" w:rsidRPr="004E4644" w:rsidRDefault="00000000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szCs w:val="40"/>
              </w:rPr>
              <w:t>Organization, adaptation, and equilibration; the sensorimotor, preoperational, concrete operational, and formal operational stages; and implications for nursing care.</w:t>
            </w:r>
          </w:p>
        </w:tc>
      </w:tr>
      <w:tr w:rsidR="004055B3" w:rsidRPr="004E4644" w14:paraId="71F1A881" w14:textId="77777777" w:rsidTr="006F5D2F">
        <w:trPr>
          <w:jc w:val="center"/>
        </w:trPr>
        <w:tc>
          <w:tcPr>
            <w:tcW w:w="294" w:type="pct"/>
          </w:tcPr>
          <w:p w14:paraId="71E50711" w14:textId="79582ABF" w:rsidR="004055B3" w:rsidRPr="004E4644" w:rsidRDefault="006F5D2F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szCs w:val="40"/>
              </w:rPr>
              <w:t>5</w:t>
            </w:r>
          </w:p>
        </w:tc>
        <w:tc>
          <w:tcPr>
            <w:tcW w:w="1348" w:type="pct"/>
          </w:tcPr>
          <w:p w14:paraId="7A4D0CBC" w14:textId="77777777" w:rsidR="004055B3" w:rsidRPr="004E4644" w:rsidRDefault="00000000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b/>
                <w:szCs w:val="40"/>
              </w:rPr>
              <w:t>Growth and Development of the Newborn and Infant</w:t>
            </w:r>
          </w:p>
        </w:tc>
        <w:tc>
          <w:tcPr>
            <w:tcW w:w="3358" w:type="pct"/>
          </w:tcPr>
          <w:p w14:paraId="78EE8859" w14:textId="77777777" w:rsidR="004055B3" w:rsidRPr="004E4644" w:rsidRDefault="00000000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szCs w:val="40"/>
              </w:rPr>
              <w:t>Intrauterine and postnatal growth; vital signs and reflexes; physical, gross motor, fine motor, language, and social development; health promotion, immunization, and safety.</w:t>
            </w:r>
          </w:p>
        </w:tc>
      </w:tr>
      <w:tr w:rsidR="004055B3" w:rsidRPr="004E4644" w14:paraId="2CD55F28" w14:textId="77777777" w:rsidTr="006F5D2F">
        <w:trPr>
          <w:jc w:val="center"/>
        </w:trPr>
        <w:tc>
          <w:tcPr>
            <w:tcW w:w="294" w:type="pct"/>
          </w:tcPr>
          <w:p w14:paraId="5EDA4589" w14:textId="56CCF592" w:rsidR="004055B3" w:rsidRPr="004E4644" w:rsidRDefault="006F5D2F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szCs w:val="40"/>
              </w:rPr>
              <w:t>6</w:t>
            </w:r>
          </w:p>
        </w:tc>
        <w:tc>
          <w:tcPr>
            <w:tcW w:w="1348" w:type="pct"/>
          </w:tcPr>
          <w:p w14:paraId="76AA8F87" w14:textId="77777777" w:rsidR="004055B3" w:rsidRPr="004E4644" w:rsidRDefault="00000000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b/>
                <w:szCs w:val="40"/>
              </w:rPr>
              <w:t>Birth Injuries of the Newborn</w:t>
            </w:r>
          </w:p>
        </w:tc>
        <w:tc>
          <w:tcPr>
            <w:tcW w:w="3358" w:type="pct"/>
          </w:tcPr>
          <w:p w14:paraId="08512A6D" w14:textId="77777777" w:rsidR="004055B3" w:rsidRPr="004E4644" w:rsidRDefault="00000000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szCs w:val="40"/>
              </w:rPr>
              <w:t>Soft-tissue injuries; head trauma (caput succedaneum, cephalhematoma, subgaleal hemorrhage); fractures; facial and peripheral nerve injuries; and nursing care and prognosis.</w:t>
            </w:r>
          </w:p>
        </w:tc>
      </w:tr>
      <w:tr w:rsidR="004055B3" w:rsidRPr="004E4644" w14:paraId="2FECB51A" w14:textId="77777777" w:rsidTr="006F5D2F">
        <w:trPr>
          <w:jc w:val="center"/>
        </w:trPr>
        <w:tc>
          <w:tcPr>
            <w:tcW w:w="294" w:type="pct"/>
          </w:tcPr>
          <w:p w14:paraId="10B046EB" w14:textId="6035A3EB" w:rsidR="004055B3" w:rsidRPr="004E4644" w:rsidRDefault="006F5D2F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szCs w:val="40"/>
              </w:rPr>
              <w:t>7</w:t>
            </w:r>
          </w:p>
        </w:tc>
        <w:tc>
          <w:tcPr>
            <w:tcW w:w="1348" w:type="pct"/>
          </w:tcPr>
          <w:p w14:paraId="559D607D" w14:textId="77777777" w:rsidR="004055B3" w:rsidRPr="004E4644" w:rsidRDefault="00000000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b/>
                <w:szCs w:val="40"/>
              </w:rPr>
              <w:t>Growth and Development of the Toddler (1–3 Years)</w:t>
            </w:r>
          </w:p>
        </w:tc>
        <w:tc>
          <w:tcPr>
            <w:tcW w:w="3358" w:type="pct"/>
          </w:tcPr>
          <w:p w14:paraId="118B8151" w14:textId="77777777" w:rsidR="004055B3" w:rsidRPr="004E4644" w:rsidRDefault="00000000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szCs w:val="40"/>
              </w:rPr>
              <w:t>Physical and physiologic growth; gross and fine motor development; language and psychosocial (autonomy) development; play; health promotion; common health problems and toilet training.</w:t>
            </w:r>
          </w:p>
        </w:tc>
      </w:tr>
      <w:tr w:rsidR="004055B3" w:rsidRPr="004E4644" w14:paraId="7F629530" w14:textId="77777777" w:rsidTr="00061A15">
        <w:trPr>
          <w:trHeight w:val="800"/>
          <w:jc w:val="center"/>
        </w:trPr>
        <w:tc>
          <w:tcPr>
            <w:tcW w:w="294" w:type="pct"/>
          </w:tcPr>
          <w:p w14:paraId="26EC7486" w14:textId="55A81E3E" w:rsidR="004055B3" w:rsidRPr="00061A15" w:rsidRDefault="00061A15">
            <w:pPr>
              <w:spacing w:after="0" w:line="211" w:lineRule="auto"/>
              <w:rPr>
                <w:rFonts w:ascii="Times New Roman" w:hAnsi="Times New Roman"/>
                <w:szCs w:val="40"/>
              </w:rPr>
            </w:pPr>
            <w:r w:rsidRPr="00061A15">
              <w:rPr>
                <w:rFonts w:ascii="Times New Roman" w:hAnsi="Times New Roman"/>
                <w:szCs w:val="40"/>
              </w:rPr>
              <w:t>8</w:t>
            </w:r>
          </w:p>
        </w:tc>
        <w:tc>
          <w:tcPr>
            <w:tcW w:w="1348" w:type="pct"/>
          </w:tcPr>
          <w:p w14:paraId="583EF67F" w14:textId="77777777" w:rsidR="004055B3" w:rsidRPr="004E4644" w:rsidRDefault="00000000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b/>
                <w:szCs w:val="40"/>
              </w:rPr>
              <w:t>Growth and Development of the Preschooler (3–5 Years)</w:t>
            </w:r>
          </w:p>
        </w:tc>
        <w:tc>
          <w:tcPr>
            <w:tcW w:w="3358" w:type="pct"/>
          </w:tcPr>
          <w:p w14:paraId="02833A5C" w14:textId="77777777" w:rsidR="004055B3" w:rsidRPr="004E4644" w:rsidRDefault="00000000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szCs w:val="40"/>
              </w:rPr>
              <w:t>Physical and physiologic growth; motor development; language, social, and psychosocial (initiative versus guilt) development; play; health promotion; and selected health problems.</w:t>
            </w:r>
          </w:p>
        </w:tc>
      </w:tr>
      <w:tr w:rsidR="004055B3" w:rsidRPr="004E4644" w14:paraId="008793CC" w14:textId="77777777" w:rsidTr="006F5D2F">
        <w:trPr>
          <w:jc w:val="center"/>
        </w:trPr>
        <w:tc>
          <w:tcPr>
            <w:tcW w:w="294" w:type="pct"/>
          </w:tcPr>
          <w:p w14:paraId="0402545F" w14:textId="378C2BA1" w:rsidR="004055B3" w:rsidRPr="004E4644" w:rsidRDefault="00061A15">
            <w:pPr>
              <w:spacing w:after="0" w:line="211" w:lineRule="auto"/>
              <w:rPr>
                <w:sz w:val="40"/>
                <w:szCs w:val="40"/>
              </w:rPr>
            </w:pPr>
            <w:r>
              <w:rPr>
                <w:rFonts w:ascii="Times New Roman" w:hAnsi="Times New Roman"/>
                <w:szCs w:val="40"/>
              </w:rPr>
              <w:t>9</w:t>
            </w:r>
          </w:p>
        </w:tc>
        <w:tc>
          <w:tcPr>
            <w:tcW w:w="1348" w:type="pct"/>
          </w:tcPr>
          <w:p w14:paraId="686B635A" w14:textId="77777777" w:rsidR="004055B3" w:rsidRPr="004E4644" w:rsidRDefault="00000000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b/>
                <w:szCs w:val="40"/>
              </w:rPr>
              <w:t>Growth and Development of the School-Age Child (6–12 Years)</w:t>
            </w:r>
          </w:p>
        </w:tc>
        <w:tc>
          <w:tcPr>
            <w:tcW w:w="3358" w:type="pct"/>
          </w:tcPr>
          <w:p w14:paraId="7ACF5F4A" w14:textId="77777777" w:rsidR="004055B3" w:rsidRPr="004E4644" w:rsidRDefault="00000000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szCs w:val="40"/>
              </w:rPr>
              <w:t>Physical growth and motor coordination; cognitive (concrete operational) development; psychosocial (industry versus inferiority) development; nutrition, health, and safety; and common health problems.</w:t>
            </w:r>
          </w:p>
        </w:tc>
      </w:tr>
      <w:tr w:rsidR="004055B3" w:rsidRPr="004E4644" w14:paraId="540845F3" w14:textId="77777777" w:rsidTr="006F5D2F">
        <w:trPr>
          <w:jc w:val="center"/>
        </w:trPr>
        <w:tc>
          <w:tcPr>
            <w:tcW w:w="294" w:type="pct"/>
          </w:tcPr>
          <w:p w14:paraId="6C3D9A9A" w14:textId="3CAB39B2" w:rsidR="004055B3" w:rsidRPr="004E4644" w:rsidRDefault="00061A15">
            <w:pPr>
              <w:spacing w:after="0" w:line="211" w:lineRule="auto"/>
              <w:rPr>
                <w:sz w:val="40"/>
                <w:szCs w:val="40"/>
              </w:rPr>
            </w:pPr>
            <w:r>
              <w:rPr>
                <w:rFonts w:ascii="Times New Roman" w:hAnsi="Times New Roman"/>
                <w:szCs w:val="40"/>
              </w:rPr>
              <w:t>10</w:t>
            </w:r>
          </w:p>
        </w:tc>
        <w:tc>
          <w:tcPr>
            <w:tcW w:w="1348" w:type="pct"/>
          </w:tcPr>
          <w:p w14:paraId="1260E735" w14:textId="77777777" w:rsidR="004055B3" w:rsidRPr="004E4644" w:rsidRDefault="00000000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b/>
                <w:szCs w:val="40"/>
              </w:rPr>
              <w:t>Growth and Development of the Adolescent (12–18 Years)</w:t>
            </w:r>
          </w:p>
        </w:tc>
        <w:tc>
          <w:tcPr>
            <w:tcW w:w="3358" w:type="pct"/>
          </w:tcPr>
          <w:p w14:paraId="2A92926E" w14:textId="77777777" w:rsidR="004055B3" w:rsidRPr="004E4644" w:rsidRDefault="00000000">
            <w:pPr>
              <w:spacing w:after="0" w:line="211" w:lineRule="auto"/>
              <w:rPr>
                <w:sz w:val="40"/>
                <w:szCs w:val="40"/>
              </w:rPr>
            </w:pPr>
            <w:r w:rsidRPr="004E4644">
              <w:rPr>
                <w:rFonts w:ascii="Times New Roman" w:hAnsi="Times New Roman"/>
                <w:szCs w:val="40"/>
              </w:rPr>
              <w:t>Pubertal growth and secondary sexual characteristics; cognitive (formal operational) development; psychosocial (identity versus role confusion) development; nutrition, risk behaviors, and health promotion.</w:t>
            </w:r>
          </w:p>
        </w:tc>
      </w:tr>
    </w:tbl>
    <w:p w14:paraId="70E1DCCB" w14:textId="401C25D3" w:rsidR="004055B3" w:rsidRPr="004E4644" w:rsidRDefault="00000000">
      <w:pPr>
        <w:spacing w:after="0" w:line="240" w:lineRule="auto"/>
        <w:jc w:val="center"/>
        <w:rPr>
          <w:sz w:val="40"/>
          <w:szCs w:val="40"/>
        </w:rPr>
      </w:pPr>
      <w:r w:rsidRPr="004E4644">
        <w:rPr>
          <w:rFonts w:ascii="Times New Roman" w:hAnsi="Times New Roman"/>
          <w:sz w:val="24"/>
          <w:szCs w:val="40"/>
        </w:rPr>
        <w:t xml:space="preserve">College of Nursing </w:t>
      </w:r>
    </w:p>
    <w:sectPr w:rsidR="004055B3" w:rsidRPr="004E4644" w:rsidSect="00034616">
      <w:pgSz w:w="12240" w:h="15840"/>
      <w:pgMar w:top="648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4B54CA"/>
    <w:multiLevelType w:val="hybridMultilevel"/>
    <w:tmpl w:val="143E16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F35FCC"/>
    <w:multiLevelType w:val="hybridMultilevel"/>
    <w:tmpl w:val="DE76EEAA"/>
    <w:lvl w:ilvl="0" w:tplc="E332AC56">
      <w:start w:val="1"/>
      <w:numFmt w:val="decimal"/>
      <w:lvlText w:val="%1."/>
      <w:lvlJc w:val="left"/>
      <w:pPr>
        <w:ind w:left="1080" w:hanging="720"/>
      </w:pPr>
      <w:rPr>
        <w:rFonts w:ascii="Times New Roman" w:hAnsi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516289">
    <w:abstractNumId w:val="8"/>
  </w:num>
  <w:num w:numId="2" w16cid:durableId="1282348533">
    <w:abstractNumId w:val="6"/>
  </w:num>
  <w:num w:numId="3" w16cid:durableId="1150945404">
    <w:abstractNumId w:val="5"/>
  </w:num>
  <w:num w:numId="4" w16cid:durableId="1446464226">
    <w:abstractNumId w:val="4"/>
  </w:num>
  <w:num w:numId="5" w16cid:durableId="1929998906">
    <w:abstractNumId w:val="7"/>
  </w:num>
  <w:num w:numId="6" w16cid:durableId="634676915">
    <w:abstractNumId w:val="3"/>
  </w:num>
  <w:num w:numId="7" w16cid:durableId="2027513916">
    <w:abstractNumId w:val="2"/>
  </w:num>
  <w:num w:numId="8" w16cid:durableId="1418943934">
    <w:abstractNumId w:val="1"/>
  </w:num>
  <w:num w:numId="9" w16cid:durableId="36004314">
    <w:abstractNumId w:val="0"/>
  </w:num>
  <w:num w:numId="10" w16cid:durableId="1702169004">
    <w:abstractNumId w:val="9"/>
  </w:num>
  <w:num w:numId="11" w16cid:durableId="4029470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A15"/>
    <w:rsid w:val="0015074B"/>
    <w:rsid w:val="0029639D"/>
    <w:rsid w:val="002A5274"/>
    <w:rsid w:val="00326F90"/>
    <w:rsid w:val="004055B3"/>
    <w:rsid w:val="004E4644"/>
    <w:rsid w:val="00681D00"/>
    <w:rsid w:val="006F5D2F"/>
    <w:rsid w:val="00A55099"/>
    <w:rsid w:val="00AA1D8D"/>
    <w:rsid w:val="00B47730"/>
    <w:rsid w:val="00B940F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1008A"/>
  <w14:defaultImageDpi w14:val="300"/>
  <w15:docId w15:val="{619A05AC-541B-4463-82B3-A53A9B638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green lanter</cp:lastModifiedBy>
  <cp:revision>5</cp:revision>
  <cp:lastPrinted>2026-10-16T20:44:00Z</cp:lastPrinted>
  <dcterms:created xsi:type="dcterms:W3CDTF">2026-10-16T20:47:00Z</dcterms:created>
  <dcterms:modified xsi:type="dcterms:W3CDTF">2026-10-16T21:29:00Z</dcterms:modified>
  <cp:category/>
</cp:coreProperties>
</file>