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lineRule="auto"/>
        <w:jc w:val="center"/>
      </w:pPr>
      <w:r>
        <w:rPr>
          <w:rFonts w:ascii="Times New Roman" w:cs="Times New Roman" w:eastAsia="Times New Roman" w:hAnsi="Times New Roman"/>
          <w:b/>
          <w:bCs/>
          <w:sz w:val="32"/>
          <w:szCs w:val="32"/>
        </w:rPr>
        <w:t xml:space="preserve">GESTIONNAIRE DE PORTE-MONNAIE</w:t>
      </w:r>
    </w:p>
    <w:p>
      <w:pPr>
        <w:spacing w:after="480" w:line="360" w:lineRule="auto"/>
        <w:jc w:val="center"/>
      </w:pPr>
      <w:r>
        <w:rPr>
          <w:rFonts w:ascii="Times New Roman" w:cs="Times New Roman" w:eastAsia="Times New Roman" w:hAnsi="Times New Roman"/>
          <w:sz w:val="24"/>
          <w:szCs w:val="24"/>
        </w:rPr>
        <w:t xml:space="preserve">Documentation technique</w:t>
      </w:r>
    </w:p>
    <w:p>
      <w:pPr>
        <w:pStyle w:val="Heading1"/>
        <w:spacing w:after="200" w:before="320" w:line="360" w:lineRule="auto"/>
      </w:pPr>
      <w:r>
        <w:rPr>
          <w:rFonts w:ascii="Times New Roman" w:cs="Times New Roman" w:eastAsia="Times New Roman" w:hAnsi="Times New Roman"/>
          <w:b/>
          <w:bCs/>
          <w:color w:val="000000"/>
          <w:sz w:val="32"/>
          <w:szCs w:val="32"/>
        </w:rPr>
        <w:t xml:space="preserve">1. Contexte et objectifs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Ce projet consiste à développer une application console en Java permettant à un utilisateur unique de gérer son porte-monnaie personnel : suivi des dépenses, des revenus et des objectifs d'épargne.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Il s'agit d'un projet d'apprentissage individuel, sans interface graphique dans un premier temps, avec pour objectifs pédagogiques :</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manipuler la programmation orientée objet en Java : classes, encapsulation, énumérations, collections d'objets ;</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apprendre la sérialisation de données au format JSON avec la bibliothèque Gson ;</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structurer un projet de façon propre et évolutive, en séparant la logique métier de l'affichage.</w:t>
      </w:r>
    </w:p>
    <w:p>
      <w:pPr>
        <w:spacing w:after="160" w:before="200" w:line="360" w:lineRule="auto"/>
        <w:jc w:val="both"/>
      </w:pPr>
      <w:r>
        <w:rPr>
          <w:rFonts w:ascii="Times New Roman" w:cs="Times New Roman" w:eastAsia="Times New Roman" w:hAnsi="Times New Roman"/>
          <w:b w:val="false"/>
          <w:bCs w:val="false"/>
          <w:i w:val="false"/>
          <w:iCs w:val="false"/>
          <w:sz w:val="24"/>
          <w:szCs w:val="24"/>
        </w:rPr>
        <w:t xml:space="preserve">L'usage est strictement personnel : un seul utilisateur, un seul portefeuille, aucune synchronisation en ligne.</w:t>
      </w:r>
    </w:p>
    <w:p>
      <w:pPr>
        <w:pStyle w:val="Heading1"/>
        <w:spacing w:after="200" w:before="320" w:line="360" w:lineRule="auto"/>
      </w:pPr>
      <w:r>
        <w:rPr>
          <w:rFonts w:ascii="Times New Roman" w:cs="Times New Roman" w:eastAsia="Times New Roman" w:hAnsi="Times New Roman"/>
          <w:b/>
          <w:bCs/>
          <w:color w:val="000000"/>
          <w:sz w:val="32"/>
          <w:szCs w:val="32"/>
        </w:rPr>
        <w:t xml:space="preserve">2. Fonctionnalités</w:t>
      </w:r>
    </w:p>
    <w:p>
      <w:pPr>
        <w:pStyle w:val="Heading2"/>
        <w:spacing w:after="140" w:before="240" w:line="360" w:lineRule="auto"/>
      </w:pPr>
      <w:r>
        <w:rPr>
          <w:rFonts w:ascii="Times New Roman" w:cs="Times New Roman" w:eastAsia="Times New Roman" w:hAnsi="Times New Roman"/>
          <w:b/>
          <w:bCs/>
          <w:color w:val="000000"/>
          <w:sz w:val="28"/>
          <w:szCs w:val="28"/>
        </w:rPr>
        <w:t xml:space="preserve">2.1. Version 1</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Consulter le solde disponible.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Enregistrer une dépense : montant, catégorie, date, description facultative.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Enregistrer un revenu : montant, catégorie, date, description facultative.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Consulter l'historique complet des transactions.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Filtrer l'historique par date, par catégorie ou par type.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Modifier ou supprimer une transaction existante.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Activer ou désactiver des catégories.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Créer un objectif d'épargne.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Contribuer à un objectif d'épargne, ou en retirer de l'argent.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Consulter la progression d'un objectif : montant épargné, montant cible, pourcentage.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Supprimer un objectif d'épargne vide.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Consulter les statistiques : total dépensé par catégorie et par période.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Sauvegarder et charger automatiquement les données dans un fichier JSON.</w:t>
      </w:r>
    </w:p>
    <w:p>
      <w:pPr>
        <w:pStyle w:val="Heading2"/>
        <w:spacing w:after="140" w:before="240" w:line="360" w:lineRule="auto"/>
      </w:pPr>
      <w:r>
        <w:rPr>
          <w:rFonts w:ascii="Times New Roman" w:cs="Times New Roman" w:eastAsia="Times New Roman" w:hAnsi="Times New Roman"/>
          <w:b/>
          <w:bCs/>
          <w:color w:val="000000"/>
          <w:sz w:val="28"/>
          <w:szCs w:val="28"/>
        </w:rPr>
        <w:t xml:space="preserve">2.2. Évolutions envisagées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Budget mensuel par catégorie, avec alerte en cas de dépassement.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Comparaison des revenus et des dépenses sur une période choisie.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Interface graphique remplaçant la console.</w:t>
      </w:r>
    </w:p>
    <w:p>
      <w:pPr>
        <w:pStyle w:val="Heading1"/>
        <w:spacing w:after="200" w:before="320" w:line="360" w:lineRule="auto"/>
      </w:pPr>
      <w:r>
        <w:rPr>
          <w:rFonts w:ascii="Times New Roman" w:cs="Times New Roman" w:eastAsia="Times New Roman" w:hAnsi="Times New Roman"/>
          <w:b/>
          <w:bCs/>
          <w:color w:val="000000"/>
          <w:sz w:val="32"/>
          <w:szCs w:val="32"/>
        </w:rPr>
        <w:t xml:space="preserve">3. Règles de gestion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Ces règles conditionnent directement le comportement du programme et doivent être respectées à l'implémentation.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Règle</w:t>
            </w:r>
          </w:p>
        </w:tc>
        <w:tc>
          <w:tcPr>
            <w:tcW w:type="dxa" w:w="6426"/>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Comportement attendu</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Solde disponible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Total des revenus, diminué des dépenses et des sommes actuellement placées dans les objectifs d'épargne. Il n'est jamais stocké : il est recalculé.</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Dépense supérieure au solde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Autorisée. Le système avertit que le solde deviendra négatif, mais l'utilisateur peut confirmer : une dépense passée est un fait, la refuser conduirait à ne pas l'enregistrer.</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Contribution supérieure au solde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Refusée. Un objectif d'épargne fonctionne comme un coffre : il est impossible d'y placer une somme dont on ne dispose pas.</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Dépassement du montant cible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Autorisé. Le système signale que la cible sera dépassée, sans bloquer l'opération.</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Date d'une transaction</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Ne peut pas être postérieure à la date du jour. L'application enregistre ce qui a eu lieu, non ce qui est prévu.</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Montant d'une opération</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Toujours strictement positif. Le sens de l'opération est porté par son type, jamais par le signe du montant.</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Suppression d'un objectif</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Possible uniquement si l'objectif est vide. L'utilisateur doit d'abord retirer les sommes épargnées, ce qui l'oblige à décider de leur destination.</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Désactivation d'une catégorie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Sans effet sur les transactions déjà enregistrées. La catégorie disparaît seulement des choix proposés.</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Validation et sauvegarde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Chaque opération est confirmée par l'utilisateur, puis écrite en base. L'écriture précède la mise à jour des données en mémoire : si elle échoue, rien n'a été modifié nulle part.</w:t>
            </w:r>
          </w:p>
        </w:tc>
      </w:tr>
    </w:tbl>
    <w:p>
      <w:pPr>
        <w:pStyle w:val="Heading1"/>
        <w:spacing w:after="200" w:before="320" w:line="360" w:lineRule="auto"/>
      </w:pPr>
      <w:r>
        <w:rPr>
          <w:rFonts w:ascii="Times New Roman" w:cs="Times New Roman" w:eastAsia="Times New Roman" w:hAnsi="Times New Roman"/>
          <w:b/>
          <w:bCs/>
          <w:color w:val="000000"/>
          <w:sz w:val="32"/>
          <w:szCs w:val="32"/>
        </w:rPr>
        <w:t xml:space="preserve">4. Gestion des catégories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Les catégories sont prédéfinies dans le code : aucune saisie libre n'est possible, ce qui évite les doublons et les fautes de frappe. Le mécanisme fonctionne en deux temps.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Une liste complète de catégories disponibles existe en arrière-plan, sous forme d'énumération.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Au premier lancement, l'utilisateur sélectionne parmi cette liste celles qu'il souhaite utiliser : elles deviennent ses catégories actives.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Au quotidien, il ne choisit que parmi ses catégories actives, ce qui réduit le menu à l'essentiel.</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À tout moment, il peut activer une catégorie supplémentaire en la sélectionnant par son numéro dans la liste complète, ou en désactiver une.</w:t>
      </w:r>
    </w:p>
    <w:p>
      <w:pPr>
        <w:pStyle w:val="Heading2"/>
        <w:spacing w:after="140" w:before="240" w:line="360" w:lineRule="auto"/>
      </w:pPr>
      <w:r>
        <w:rPr>
          <w:rFonts w:ascii="Times New Roman" w:cs="Times New Roman" w:eastAsia="Times New Roman" w:hAnsi="Times New Roman"/>
          <w:b/>
          <w:bCs/>
          <w:color w:val="000000"/>
          <w:sz w:val="28"/>
          <w:szCs w:val="28"/>
        </w:rPr>
        <w:t xml:space="preserve">4.1. Liste complète des catégories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Type</w:t>
            </w:r>
          </w:p>
        </w:tc>
        <w:tc>
          <w:tcPr>
            <w:tcW w:type="dxa" w:w="7026"/>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Catégories</w:t>
            </w:r>
          </w:p>
        </w:tc>
      </w:tr>
      <w:tr>
        <w:tc>
          <w:tcPr>
            <w:tcW w:type="dxa" w:w="20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Dépenses</w:t>
            </w:r>
          </w:p>
        </w:tc>
        <w:tc>
          <w:tcPr>
            <w:tcW w:type="dxa" w:w="70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Alimentation, Transport, Logement, Loisirs, Santé, Abonnements, Autre</w:t>
            </w:r>
          </w:p>
        </w:tc>
      </w:tr>
      <w:tr>
        <w:tc>
          <w:tcPr>
            <w:tcW w:type="dxa" w:w="20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Revenus</w:t>
            </w:r>
          </w:p>
        </w:tc>
        <w:tc>
          <w:tcPr>
            <w:tcW w:type="dxa" w:w="70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Salaire, Cadeau, Autre</w:t>
            </w:r>
          </w:p>
        </w:tc>
      </w:tr>
    </w:tbl>
    <w:p>
      <w:pPr>
        <w:pStyle w:val="Heading1"/>
        <w:spacing w:after="200" w:before="320" w:line="360" w:lineRule="auto"/>
      </w:pPr>
      <w:r>
        <w:rPr>
          <w:rFonts w:ascii="Times New Roman" w:cs="Times New Roman" w:eastAsia="Times New Roman" w:hAnsi="Times New Roman"/>
          <w:b/>
          <w:bCs/>
          <w:color w:val="000000"/>
          <w:sz w:val="32"/>
          <w:szCs w:val="32"/>
        </w:rPr>
        <w:t xml:space="preserve">5. Modèle de données</w:t>
      </w:r>
    </w:p>
    <w:p>
      <w:pPr>
        <w:pStyle w:val="Heading2"/>
        <w:spacing w:after="140" w:before="240" w:line="360" w:lineRule="auto"/>
      </w:pPr>
      <w:r>
        <w:rPr>
          <w:rFonts w:ascii="Times New Roman" w:cs="Times New Roman" w:eastAsia="Times New Roman" w:hAnsi="Times New Roman"/>
          <w:b/>
          <w:bCs/>
          <w:color w:val="000000"/>
          <w:sz w:val="28"/>
          <w:szCs w:val="28"/>
        </w:rPr>
        <w:t xml:space="preserve">5.1. Transaction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526"/>
      </w:tblGrid>
      <w:tr>
        <w:tc>
          <w:tcPr>
            <w:tcW w:type="dxa" w:w="19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Champ</w:t>
            </w:r>
          </w:p>
        </w:tc>
        <w:tc>
          <w:tcPr>
            <w:tcW w:type="dxa" w:w="26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Type</w:t>
            </w:r>
          </w:p>
        </w:tc>
        <w:tc>
          <w:tcPr>
            <w:tcW w:type="dxa" w:w="4526"/>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Description</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id</w:t>
            </w:r>
          </w:p>
        </w:tc>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int</w:t>
            </w:r>
          </w:p>
        </w:tc>
        <w:tc>
          <w:tcPr>
            <w:tcW w:type="dxa" w:w="45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Identifiant unique de la transaction</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montant</w:t>
            </w:r>
          </w:p>
        </w:tc>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double</w:t>
            </w:r>
          </w:p>
        </w:tc>
        <w:tc>
          <w:tcPr>
            <w:tcW w:type="dxa" w:w="45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Montant de l'opération, toujours positif</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type</w:t>
            </w:r>
          </w:p>
        </w:tc>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TypeTransaction</w:t>
            </w:r>
          </w:p>
        </w:tc>
        <w:tc>
          <w:tcPr>
            <w:tcW w:type="dxa" w:w="45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DEPENSE ou REVENU</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categorie</w:t>
            </w:r>
          </w:p>
        </w:tc>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Categorie</w:t>
            </w:r>
          </w:p>
        </w:tc>
        <w:tc>
          <w:tcPr>
            <w:tcW w:type="dxa" w:w="45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Catégorie associée, choisie parmi les catégories actives</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date</w:t>
            </w:r>
          </w:p>
        </w:tc>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LocalDate</w:t>
            </w:r>
          </w:p>
        </w:tc>
        <w:tc>
          <w:tcPr>
            <w:tcW w:type="dxa" w:w="45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Date de l'opération</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description</w:t>
            </w:r>
          </w:p>
        </w:tc>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String</w:t>
            </w:r>
          </w:p>
        </w:tc>
        <w:tc>
          <w:tcPr>
            <w:tcW w:type="dxa" w:w="45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Note libre, facultative</w:t>
            </w:r>
          </w:p>
        </w:tc>
      </w:tr>
    </w:tbl>
    <w:p>
      <w:pPr>
        <w:pStyle w:val="Heading2"/>
        <w:spacing w:after="140" w:before="240" w:line="360" w:lineRule="auto"/>
      </w:pPr>
      <w:r>
        <w:rPr>
          <w:rFonts w:ascii="Times New Roman" w:cs="Times New Roman" w:eastAsia="Times New Roman" w:hAnsi="Times New Roman"/>
          <w:b/>
          <w:bCs/>
          <w:color w:val="000000"/>
          <w:sz w:val="28"/>
          <w:szCs w:val="28"/>
        </w:rPr>
        <w:t xml:space="preserve">5.2. Objectif d'épargne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526"/>
      </w:tblGrid>
      <w:tr>
        <w:tc>
          <w:tcPr>
            <w:tcW w:type="dxa" w:w="19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Champ</w:t>
            </w:r>
          </w:p>
        </w:tc>
        <w:tc>
          <w:tcPr>
            <w:tcW w:type="dxa" w:w="26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Type</w:t>
            </w:r>
          </w:p>
        </w:tc>
        <w:tc>
          <w:tcPr>
            <w:tcW w:type="dxa" w:w="4526"/>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Description</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id</w:t>
            </w:r>
          </w:p>
        </w:tc>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int</w:t>
            </w:r>
          </w:p>
        </w:tc>
        <w:tc>
          <w:tcPr>
            <w:tcW w:type="dxa" w:w="45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Identifiant unique de l'objectif</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nom</w:t>
            </w:r>
          </w:p>
        </w:tc>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String</w:t>
            </w:r>
          </w:p>
        </w:tc>
        <w:tc>
          <w:tcPr>
            <w:tcW w:type="dxa" w:w="45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Nom de l'objectif, par exemple Vacances</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montantCible</w:t>
            </w:r>
          </w:p>
        </w:tc>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double</w:t>
            </w:r>
          </w:p>
        </w:tc>
        <w:tc>
          <w:tcPr>
            <w:tcW w:type="dxa" w:w="45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Montant à atteindre</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dateLimite</w:t>
            </w:r>
          </w:p>
        </w:tc>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LocalDate</w:t>
            </w:r>
          </w:p>
        </w:tc>
        <w:tc>
          <w:tcPr>
            <w:tcW w:type="dxa" w:w="45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Date limite, facultative</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mouvements</w:t>
            </w:r>
          </w:p>
        </w:tc>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List&lt;MouvementEpargne&gt;</w:t>
            </w:r>
          </w:p>
        </w:tc>
        <w:tc>
          <w:tcPr>
            <w:tcW w:type="dxa" w:w="45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Historique des contributions et des retraits</w:t>
            </w:r>
          </w:p>
        </w:tc>
      </w:tr>
    </w:tbl>
    <w:p>
      <w:pPr>
        <w:spacing w:after="160" w:before="200" w:line="360" w:lineRule="auto"/>
        <w:jc w:val="both"/>
      </w:pPr>
      <w:r>
        <w:rPr>
          <w:rFonts w:ascii="Times New Roman" w:cs="Times New Roman" w:eastAsia="Times New Roman" w:hAnsi="Times New Roman"/>
          <w:b w:val="false"/>
          <w:bCs w:val="false"/>
          <w:i w:val="false"/>
          <w:iCs w:val="false"/>
          <w:sz w:val="24"/>
          <w:szCs w:val="24"/>
        </w:rPr>
        <w:t>Le montant actuellement épargné n'est pas un champ stocké : il est calculé à partir des mouvements, en soustrayant les retraits des contributions. Cette solution garantit qu'il ne peut jamais être en contradiction avec l'historique.</w:t>
      </w:r>
    </w:p>
    <w:p>
      <w:pPr>
        <w:pStyle w:val="Heading2"/>
        <w:spacing w:after="140" w:before="240" w:line="360" w:lineRule="auto"/>
      </w:pPr>
      <w:r>
        <w:rPr>
          <w:rFonts w:ascii="Times New Roman" w:cs="Times New Roman" w:eastAsia="Times New Roman" w:hAnsi="Times New Roman"/>
          <w:b/>
          <w:bCs/>
          <w:color w:val="000000"/>
          <w:sz w:val="28"/>
          <w:szCs w:val="28"/>
        </w:rPr>
        <w:t xml:space="preserve">5.3. Mouvement d'épargne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526"/>
      </w:tblGrid>
      <w:tr>
        <w:tc>
          <w:tcPr>
            <w:tcW w:type="dxa" w:w="19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Champ</w:t>
            </w:r>
          </w:p>
        </w:tc>
        <w:tc>
          <w:tcPr>
            <w:tcW w:type="dxa" w:w="26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Type</w:t>
            </w:r>
          </w:p>
        </w:tc>
        <w:tc>
          <w:tcPr>
            <w:tcW w:type="dxa" w:w="4526"/>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Description</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montant</w:t>
            </w:r>
          </w:p>
        </w:tc>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double</w:t>
            </w:r>
          </w:p>
        </w:tc>
        <w:tc>
          <w:tcPr>
            <w:tcW w:type="dxa" w:w="45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Montant du mouvement, toujours positif</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sens</w:t>
            </w:r>
          </w:p>
        </w:tc>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SensMouvement</w:t>
            </w:r>
          </w:p>
        </w:tc>
        <w:tc>
          <w:tcPr>
            <w:tcW w:type="dxa" w:w="45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CONTRIBUTION ou RETRAIT</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date</w:t>
            </w:r>
          </w:p>
        </w:tc>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LocalDate</w:t>
            </w:r>
          </w:p>
        </w:tc>
        <w:tc>
          <w:tcPr>
            <w:tcW w:type="dxa" w:w="45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Date du mouvement</w:t>
            </w:r>
          </w:p>
        </w:tc>
      </w:tr>
    </w:tbl>
    <w:p>
      <w:pPr>
        <w:spacing w:after="160" w:before="200" w:line="360" w:lineRule="auto"/>
        <w:jc w:val="both"/>
      </w:pPr>
      <w:r>
        <w:rPr>
          <w:rFonts w:ascii="Times New Roman" w:cs="Times New Roman" w:eastAsia="Times New Roman" w:hAnsi="Times New Roman"/>
          <w:b w:val="false"/>
          <w:bCs w:val="false"/>
          <w:i w:val="false"/>
          <w:iCs w:val="false"/>
          <w:sz w:val="24"/>
          <w:szCs w:val="24"/>
        </w:rPr>
        <w:t xml:space="preserve">Ces mouvements ne figurent pas dans l'historique des transactions : ils ne constituent ni une dépense ni un revenu, mais un déplacement d'argent entre le solde disponible et un objectif. Les inclure fausserait les statistiques de dépenses.</w:t>
      </w:r>
    </w:p>
    <w:p>
      <w:pPr>
        <w:pStyle w:val="Heading2"/>
        <w:spacing w:after="140" w:before="240" w:line="360" w:lineRule="auto"/>
      </w:pPr>
      <w:r>
        <w:rPr>
          <w:rFonts w:ascii="Times New Roman" w:cs="Times New Roman" w:eastAsia="Times New Roman" w:hAnsi="Times New Roman"/>
          <w:b/>
          <w:bCs/>
          <w:color w:val="000000"/>
          <w:sz w:val="28"/>
          <w:szCs w:val="28"/>
        </w:rPr>
        <w:t xml:space="preserve">5.4. Portefeuille</w:t>
      </w:r>
    </w:p>
    <w:p>
      <w:pPr>
        <w:spacing w:after="160" w:before="0" w:line="360" w:lineRule="auto"/>
        <w:jc w:val="both"/>
      </w:pPr>
      <w:r>
        <w:rPr>
          <w:rFonts w:ascii="Times New Roman" w:cs="Times New Roman" w:eastAsia="Times New Roman" w:hAnsi="Times New Roman"/>
          <w:b w:val="false"/>
          <w:bCs w:val="false"/>
          <w:i w:val="false"/>
          <w:iCs w:val="false"/>
          <w:sz w:val="24"/>
          <w:szCs w:val="24"/>
        </w:rPr>
        <w:t>Le portefeuille regroupe l'ensemble des données de l'utilisateur : la liste des transactions, la liste des catégories actives et la liste des objectifs d'épargne. Le solde disponible et le total épargné sont des valeurs calculées, jamais stockées. Les identifiants sont générés par la base de données au moment de l'insertion.</w:t>
      </w:r>
    </w:p>
    <w:p>
      <w:pPr>
        <w:pStyle w:val="Heading2"/>
        <w:spacing w:after="140" w:before="240" w:line="360" w:lineRule="auto"/>
      </w:pPr>
      <w:r>
        <w:rPr>
          <w:rFonts w:ascii="Times New Roman" w:cs="Times New Roman" w:eastAsia="Times New Roman" w:hAnsi="Times New Roman"/>
          <w:b/>
          <w:bCs/>
          <w:color w:val="000000"/>
          <w:sz w:val="28"/>
          <w:szCs w:val="28"/>
        </w:rPr>
        <w:t xml:space="preserve">5.5. Énumérations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Énumération</w:t>
            </w:r>
          </w:p>
        </w:tc>
        <w:tc>
          <w:tcPr>
            <w:tcW w:type="dxa" w:w="6626"/>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Valeurs</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TypeTransaction</w:t>
            </w:r>
          </w:p>
        </w:tc>
        <w:tc>
          <w:tcPr>
            <w:tcW w:type="dxa" w:w="6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DEPENSE, REVENU</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SensMouvement</w:t>
            </w:r>
          </w:p>
        </w:tc>
        <w:tc>
          <w:tcPr>
            <w:tcW w:type="dxa" w:w="6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CONTRIBUTION, RETRAIT</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Categorie</w:t>
            </w:r>
          </w:p>
        </w:tc>
        <w:tc>
          <w:tcPr>
            <w:tcW w:type="dxa" w:w="6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Une valeur par catégorie disponible, chacune portant son libellé et le type de transaction auquel elle s'applique</w:t>
            </w:r>
          </w:p>
        </w:tc>
      </w:tr>
    </w:tbl>
    <w:p>
      <w:pPr>
        <w:pStyle w:val="Heading1"/>
        <w:spacing w:after="200" w:before="320" w:line="360" w:lineRule="auto"/>
      </w:pPr>
      <w:r>
        <w:rPr>
          <w:rFonts w:ascii="Times New Roman" w:cs="Times New Roman" w:eastAsia="Times New Roman" w:hAnsi="Times New Roman"/>
          <w:b/>
          <w:bCs/>
          <w:color w:val="000000"/>
          <w:sz w:val="32"/>
          <w:szCs w:val="32"/>
        </w:rPr>
        <w:t>6. Schéma de la base de données</w:t>
      </w:r>
    </w:p>
    <w:p>
      <w:pPr>
        <w:spacing w:after="160" w:before="0" w:line="360" w:lineRule="auto"/>
        <w:jc w:val="both"/>
      </w:pPr>
      <w:r>
        <w:rPr>
          <w:rFonts w:ascii="Times New Roman" w:cs="Times New Roman" w:eastAsia="Times New Roman" w:hAnsi="Times New Roman"/>
          <w:b w:val="false"/>
          <w:bCs w:val="false"/>
          <w:i w:val="false"/>
          <w:iCs w:val="false"/>
          <w:sz w:val="24"/>
          <w:szCs w:val="24"/>
        </w:rPr>
        <w:t>Les données sont stockées dans une base PostgreSQL, accédée en JDBC. Chaque entité du diagramme de classes devient une table, et chaque composition une clé étrangère. Les identifiants sont générés par la base.</w:t>
      </w:r>
    </w:p>
    <w:p>
      <w:pPr>
        <w:spacing w:after="0" w:before="120" w:line="240" w:lineRule="auto"/>
        <w:ind w:left="400"/>
      </w:pPr>
      <w:r>
        <w:rPr>
          <w:rFonts w:ascii="Courier New" w:cs="Courier New" w:eastAsia="Courier New" w:hAnsi="Courier New"/>
          <w:sz w:val="18"/>
          <w:szCs w:val="18"/>
        </w:rPr>
        <w:t>CREATE TABLE transaction_financiere (</w:t>
      </w:r>
    </w:p>
    <w:p>
      <w:pPr>
        <w:spacing w:after="0" w:before="0" w:line="240" w:lineRule="auto"/>
        <w:ind w:left="400"/>
      </w:pPr>
      <w:r>
        <w:rPr>
          <w:rFonts w:ascii="Courier New" w:cs="Courier New" w:eastAsia="Courier New" w:hAnsi="Courier New"/>
          <w:sz w:val="18"/>
          <w:szCs w:val="18"/>
        </w:rPr>
        <w:t xml:space="preserve">    id           SERIAL PRIMARY KEY,</w:t>
      </w:r>
    </w:p>
    <w:p>
      <w:pPr>
        <w:spacing w:after="0" w:before="0" w:line="240" w:lineRule="auto"/>
        <w:ind w:left="400"/>
      </w:pPr>
      <w:r>
        <w:rPr>
          <w:rFonts w:ascii="Courier New" w:cs="Courier New" w:eastAsia="Courier New" w:hAnsi="Courier New"/>
          <w:sz w:val="18"/>
          <w:szCs w:val="18"/>
        </w:rPr>
        <w:t xml:space="preserve">    montant      NUMERIC(12,2) NOT NULL CHECK (montant &gt; 0),</w:t>
      </w:r>
    </w:p>
    <w:p>
      <w:pPr>
        <w:spacing w:after="0" w:before="0" w:line="240" w:lineRule="auto"/>
        <w:ind w:left="400"/>
      </w:pPr>
      <w:r>
        <w:rPr>
          <w:rFonts w:ascii="Courier New" w:cs="Courier New" w:eastAsia="Courier New" w:hAnsi="Courier New"/>
          <w:sz w:val="18"/>
          <w:szCs w:val="18"/>
        </w:rPr>
        <w:t xml:space="preserve">    type         VARCHAR(10) NOT NULL</w:t>
      </w:r>
    </w:p>
    <w:p>
      <w:pPr>
        <w:spacing w:after="0" w:before="0" w:line="240" w:lineRule="auto"/>
        <w:ind w:left="400"/>
      </w:pPr>
      <w:r>
        <w:rPr>
          <w:rFonts w:ascii="Courier New" w:cs="Courier New" w:eastAsia="Courier New" w:hAnsi="Courier New"/>
          <w:sz w:val="18"/>
          <w:szCs w:val="18"/>
        </w:rPr>
        <w:t xml:space="preserve">                 CHECK (type IN ('DEPENSE','REVENU')),</w:t>
      </w:r>
    </w:p>
    <w:p>
      <w:pPr>
        <w:spacing w:after="0" w:before="0" w:line="240" w:lineRule="auto"/>
        <w:ind w:left="400"/>
      </w:pPr>
      <w:r>
        <w:rPr>
          <w:rFonts w:ascii="Courier New" w:cs="Courier New" w:eastAsia="Courier New" w:hAnsi="Courier New"/>
          <w:sz w:val="18"/>
          <w:szCs w:val="18"/>
        </w:rPr>
        <w:t xml:space="preserve">    categorie    VARCHAR(30) NOT NULL,</w:t>
      </w:r>
    </w:p>
    <w:p>
      <w:pPr>
        <w:spacing w:after="0" w:before="0" w:line="240" w:lineRule="auto"/>
        <w:ind w:left="400"/>
      </w:pPr>
      <w:r>
        <w:rPr>
          <w:rFonts w:ascii="Courier New" w:cs="Courier New" w:eastAsia="Courier New" w:hAnsi="Courier New"/>
          <w:sz w:val="18"/>
          <w:szCs w:val="18"/>
        </w:rPr>
        <w:t xml:space="preserve">    date_op      DATE NOT NULL CHECK (date_op &lt;= CURRENT_DATE),</w:t>
      </w:r>
    </w:p>
    <w:p>
      <w:pPr>
        <w:spacing w:after="0" w:before="0" w:line="240" w:lineRule="auto"/>
        <w:ind w:left="400"/>
      </w:pPr>
      <w:r>
        <w:rPr>
          <w:rFonts w:ascii="Courier New" w:cs="Courier New" w:eastAsia="Courier New" w:hAnsi="Courier New"/>
          <w:sz w:val="18"/>
          <w:szCs w:val="18"/>
        </w:rPr>
        <w:t xml:space="preserve">    description  VARCHAR(255) NOT NULL DEFAULT ''</w:t>
      </w:r>
    </w:p>
    <w:p>
      <w:pPr>
        <w:spacing w:after="0" w:before="0" w:line="240" w:lineRule="auto"/>
        <w:ind w:left="400"/>
      </w:pPr>
      <w:r>
        <w:rPr>
          <w:rFonts w:ascii="Courier New" w:cs="Courier New" w:eastAsia="Courier New" w:hAnsi="Courier New"/>
          <w:sz w:val="18"/>
          <w:szCs w:val="18"/>
        </w:rPr>
        <w:t>);</w:t>
      </w:r>
    </w:p>
    <w:p>
      <w:pPr>
        <w:spacing w:after="0" w:before="0" w:line="240" w:lineRule="auto"/>
        <w:ind w:left="400"/>
      </w:pPr>
      <w:r>
        <w:rPr>
          <w:rFonts w:ascii="Courier New" w:cs="Courier New" w:eastAsia="Courier New" w:hAnsi="Courier New"/>
          <w:sz w:val="18"/>
          <w:szCs w:val="18"/>
        </w:rPr>
      </w:r>
    </w:p>
    <w:p>
      <w:pPr>
        <w:spacing w:after="0" w:before="0" w:line="240" w:lineRule="auto"/>
        <w:ind w:left="400"/>
      </w:pPr>
      <w:r>
        <w:rPr>
          <w:rFonts w:ascii="Courier New" w:cs="Courier New" w:eastAsia="Courier New" w:hAnsi="Courier New"/>
          <w:sz w:val="18"/>
          <w:szCs w:val="18"/>
        </w:rPr>
        <w:t>CREATE TABLE epargne (</w:t>
      </w:r>
    </w:p>
    <w:p>
      <w:pPr>
        <w:spacing w:after="0" w:before="0" w:line="240" w:lineRule="auto"/>
        <w:ind w:left="400"/>
      </w:pPr>
      <w:r>
        <w:rPr>
          <w:rFonts w:ascii="Courier New" w:cs="Courier New" w:eastAsia="Courier New" w:hAnsi="Courier New"/>
          <w:sz w:val="18"/>
          <w:szCs w:val="18"/>
        </w:rPr>
        <w:t xml:space="preserve">    id            SERIAL PRIMARY KEY,</w:t>
      </w:r>
    </w:p>
    <w:p>
      <w:pPr>
        <w:spacing w:after="0" w:before="0" w:line="240" w:lineRule="auto"/>
        <w:ind w:left="400"/>
      </w:pPr>
      <w:r>
        <w:rPr>
          <w:rFonts w:ascii="Courier New" w:cs="Courier New" w:eastAsia="Courier New" w:hAnsi="Courier New"/>
          <w:sz w:val="18"/>
          <w:szCs w:val="18"/>
        </w:rPr>
        <w:t xml:space="preserve">    nom           VARCHAR(100) NOT NULL CHECK (nom &lt;&gt; ''),</w:t>
      </w:r>
    </w:p>
    <w:p>
      <w:pPr>
        <w:spacing w:after="0" w:before="0" w:line="240" w:lineRule="auto"/>
        <w:ind w:left="400"/>
      </w:pPr>
      <w:r>
        <w:rPr>
          <w:rFonts w:ascii="Courier New" w:cs="Courier New" w:eastAsia="Courier New" w:hAnsi="Courier New"/>
          <w:sz w:val="18"/>
          <w:szCs w:val="18"/>
        </w:rPr>
        <w:t xml:space="preserve">    montant_cible NUMERIC(12,2) NOT NULL CHECK (montant_cible &gt; 0),</w:t>
      </w:r>
    </w:p>
    <w:p>
      <w:pPr>
        <w:spacing w:after="0" w:before="0" w:line="240" w:lineRule="auto"/>
        <w:ind w:left="400"/>
      </w:pPr>
      <w:r>
        <w:rPr>
          <w:rFonts w:ascii="Courier New" w:cs="Courier New" w:eastAsia="Courier New" w:hAnsi="Courier New"/>
          <w:sz w:val="18"/>
          <w:szCs w:val="18"/>
        </w:rPr>
        <w:t xml:space="preserve">    date_limite   DATE NULL</w:t>
      </w:r>
    </w:p>
    <w:p>
      <w:pPr>
        <w:spacing w:after="0" w:before="0" w:line="240" w:lineRule="auto"/>
        <w:ind w:left="400"/>
      </w:pPr>
      <w:r>
        <w:rPr>
          <w:rFonts w:ascii="Courier New" w:cs="Courier New" w:eastAsia="Courier New" w:hAnsi="Courier New"/>
          <w:sz w:val="18"/>
          <w:szCs w:val="18"/>
        </w:rPr>
        <w:t>);</w:t>
      </w:r>
    </w:p>
    <w:p>
      <w:pPr>
        <w:spacing w:after="0" w:before="0" w:line="240" w:lineRule="auto"/>
        <w:ind w:left="400"/>
      </w:pPr>
      <w:r>
        <w:rPr>
          <w:rFonts w:ascii="Courier New" w:cs="Courier New" w:eastAsia="Courier New" w:hAnsi="Courier New"/>
          <w:sz w:val="18"/>
          <w:szCs w:val="18"/>
        </w:rPr>
      </w:r>
    </w:p>
    <w:p>
      <w:pPr>
        <w:spacing w:after="0" w:before="0" w:line="240" w:lineRule="auto"/>
        <w:ind w:left="400"/>
      </w:pPr>
      <w:r>
        <w:rPr>
          <w:rFonts w:ascii="Courier New" w:cs="Courier New" w:eastAsia="Courier New" w:hAnsi="Courier New"/>
          <w:sz w:val="18"/>
          <w:szCs w:val="18"/>
        </w:rPr>
        <w:t>CREATE TABLE mouvement_epargne (</w:t>
      </w:r>
    </w:p>
    <w:p>
      <w:pPr>
        <w:spacing w:after="0" w:before="0" w:line="240" w:lineRule="auto"/>
        <w:ind w:left="400"/>
      </w:pPr>
      <w:r>
        <w:rPr>
          <w:rFonts w:ascii="Courier New" w:cs="Courier New" w:eastAsia="Courier New" w:hAnsi="Courier New"/>
          <w:sz w:val="18"/>
          <w:szCs w:val="18"/>
        </w:rPr>
        <w:t xml:space="preserve">    id           SERIAL PRIMARY KEY,</w:t>
      </w:r>
    </w:p>
    <w:p>
      <w:pPr>
        <w:spacing w:after="0" w:before="0" w:line="240" w:lineRule="auto"/>
        <w:ind w:left="400"/>
      </w:pPr>
      <w:r>
        <w:rPr>
          <w:rFonts w:ascii="Courier New" w:cs="Courier New" w:eastAsia="Courier New" w:hAnsi="Courier New"/>
          <w:sz w:val="18"/>
          <w:szCs w:val="18"/>
        </w:rPr>
        <w:t xml:space="preserve">    objectif_id  INTEGER NOT NULL</w:t>
      </w:r>
    </w:p>
    <w:p>
      <w:pPr>
        <w:spacing w:after="0" w:before="0" w:line="240" w:lineRule="auto"/>
        <w:ind w:left="400"/>
      </w:pPr>
      <w:r>
        <w:rPr>
          <w:rFonts w:ascii="Courier New" w:cs="Courier New" w:eastAsia="Courier New" w:hAnsi="Courier New"/>
          <w:sz w:val="18"/>
          <w:szCs w:val="18"/>
        </w:rPr>
        <w:t xml:space="preserve">                 REFERENCES epargne(id) ON DELETE CASCADE,</w:t>
      </w:r>
    </w:p>
    <w:p>
      <w:pPr>
        <w:spacing w:after="0" w:before="0" w:line="240" w:lineRule="auto"/>
        <w:ind w:left="400"/>
      </w:pPr>
      <w:r>
        <w:rPr>
          <w:rFonts w:ascii="Courier New" w:cs="Courier New" w:eastAsia="Courier New" w:hAnsi="Courier New"/>
          <w:sz w:val="18"/>
          <w:szCs w:val="18"/>
        </w:rPr>
        <w:t xml:space="preserve">    montant      NUMERIC(12,2) NOT NULL CHECK (montant &gt; 0),</w:t>
      </w:r>
    </w:p>
    <w:p>
      <w:pPr>
        <w:spacing w:after="0" w:before="0" w:line="240" w:lineRule="auto"/>
        <w:ind w:left="400"/>
      </w:pPr>
      <w:r>
        <w:rPr>
          <w:rFonts w:ascii="Courier New" w:cs="Courier New" w:eastAsia="Courier New" w:hAnsi="Courier New"/>
          <w:sz w:val="18"/>
          <w:szCs w:val="18"/>
        </w:rPr>
        <w:t xml:space="preserve">    sens         VARCHAR(15) NOT NULL</w:t>
      </w:r>
    </w:p>
    <w:p>
      <w:pPr>
        <w:spacing w:after="0" w:before="0" w:line="240" w:lineRule="auto"/>
        <w:ind w:left="400"/>
      </w:pPr>
      <w:r>
        <w:rPr>
          <w:rFonts w:ascii="Courier New" w:cs="Courier New" w:eastAsia="Courier New" w:hAnsi="Courier New"/>
          <w:sz w:val="18"/>
          <w:szCs w:val="18"/>
        </w:rPr>
        <w:t xml:space="preserve">                 CHECK (sens IN ('CONTRIBUTION','RETRAIT')),</w:t>
      </w:r>
    </w:p>
    <w:p>
      <w:pPr>
        <w:spacing w:after="0" w:before="0" w:line="240" w:lineRule="auto"/>
        <w:ind w:left="400"/>
      </w:pPr>
      <w:r>
        <w:rPr>
          <w:rFonts w:ascii="Courier New" w:cs="Courier New" w:eastAsia="Courier New" w:hAnsi="Courier New"/>
          <w:sz w:val="18"/>
          <w:szCs w:val="18"/>
        </w:rPr>
        <w:t xml:space="preserve">    date_mvt     DATE NOT NULL CHECK (date_mvt &lt;= CURRENT_DATE)</w:t>
      </w:r>
    </w:p>
    <w:p>
      <w:pPr>
        <w:spacing w:after="0" w:before="0" w:line="240" w:lineRule="auto"/>
        <w:ind w:left="400"/>
      </w:pPr>
      <w:r>
        <w:rPr>
          <w:rFonts w:ascii="Courier New" w:cs="Courier New" w:eastAsia="Courier New" w:hAnsi="Courier New"/>
          <w:sz w:val="18"/>
          <w:szCs w:val="18"/>
        </w:rPr>
        <w:t>);</w:t>
      </w:r>
    </w:p>
    <w:p>
      <w:pPr>
        <w:spacing w:after="200" w:before="200" w:line="240" w:lineRule="auto"/>
        <w:ind w:left="400"/>
      </w:pPr>
      <w:r>
        <w:rPr>
          <w:rFonts w:ascii="Courier New" w:cs="Courier New" w:eastAsia="Courier New" w:hAnsi="Courier New"/>
          <w:sz w:val="18"/>
          <w:szCs w:val="18"/>
        </w:rPr>
        <w:t>CREATE TABLE categorie_active (</w:t>
      </w:r>
    </w:p>
    <w:p>
      <w:pPr>
        <w:spacing w:after="0" w:before="0" w:line="240" w:lineRule="auto"/>
        <w:ind w:left="400"/>
      </w:pPr>
      <w:r>
        <w:rPr>
          <w:rFonts w:ascii="Courier New" w:cs="Courier New" w:eastAsia="Courier New" w:hAnsi="Courier New"/>
          <w:sz w:val="18"/>
          <w:szCs w:val="18"/>
        </w:rPr>
        <w:t xml:space="preserve">    categorie VARCHAR(30) PRIMARY KEY</w:t>
      </w:r>
    </w:p>
    <w:p>
      <w:pPr>
        <w:spacing w:after="200" w:before="0" w:line="240" w:lineRule="auto"/>
        <w:ind w:left="400"/>
      </w:pPr>
      <w:r>
        <w:rPr>
          <w:rFonts w:ascii="Courier New" w:cs="Courier New" w:eastAsia="Courier New" w:hAnsi="Courier New"/>
          <w:sz w:val="18"/>
          <w:szCs w:val="18"/>
        </w:rPr>
        <w:t>);</w:t>
      </w:r>
    </w:p>
    <w:p>
      <w:pPr>
        <w:spacing w:after="160" w:before="120" w:line="360" w:lineRule="auto"/>
        <w:ind/>
        <w:jc w:val="both"/>
      </w:pPr>
      <w:r>
        <w:rPr>
          <w:rFonts w:ascii="Times New Roman" w:cs="Courier New" w:eastAsia="Courier New" w:hAnsi="Times New Roman"/>
          <w:sz w:val="24"/>
          <w:szCs w:val="18"/>
        </w:rPr>
        <w:t>Trois choix méritent d'être justifiés.</w:t>
      </w:r>
    </w:p>
    <w:p>
      <w:pPr>
        <w:spacing w:after="160" w:before="120" w:line="360" w:lineRule="auto"/>
        <w:ind/>
        <w:jc w:val="both"/>
      </w:pPr>
      <w:r>
        <w:rPr>
          <w:rFonts w:ascii="Times New Roman" w:cs="Courier New" w:eastAsia="Courier New" w:hAnsi="Times New Roman"/>
          <w:sz w:val="24"/>
          <w:szCs w:val="18"/>
        </w:rPr>
        <w:t>Il n'existe pas de table portefeuille. L'application ne gère qu'un seul portefeuille : une table à une seule ligne, référencée à l'identique sur chaque opération, n'apporterait rien et imposerait une jointure inutile à chaque requête.</w:t>
      </w:r>
    </w:p>
    <w:p>
      <w:pPr>
        <w:spacing w:after="160" w:before="120" w:line="360" w:lineRule="auto"/>
        <w:ind/>
        <w:jc w:val="both"/>
      </w:pPr>
      <w:r>
        <w:rPr>
          <w:rFonts w:ascii="Times New Roman" w:cs="Courier New" w:eastAsia="Courier New" w:hAnsi="Times New Roman"/>
          <w:sz w:val="24"/>
          <w:szCs w:val="18"/>
        </w:rPr>
        <w:t>La colonne categorie de la table des opérations n'a pas de clé étrangère vers categorie_active. C'est délibéré : la règle de gestion veut qu'une désactivation reste sans effet sur les opérations déjà enregistrées. Une clé étrangère les invaliderait toutes dès la désactivation de leur catégorie. La table categorie_active exprime seulement quelles catégories sont actives en ce moment, la présence d'une ligne valant état actif.</w:t>
      </w:r>
    </w:p>
    <w:p>
      <w:pPr>
        <w:spacing w:after="160" w:before="120" w:line="360" w:lineRule="auto"/>
        <w:ind/>
        <w:jc w:val="both"/>
      </w:pPr>
      <w:r>
        <w:rPr>
          <w:rFonts w:ascii="Times New Roman" w:cs="Courier New" w:eastAsia="Courier New" w:hAnsi="Times New Roman"/>
          <w:sz w:val="24"/>
          <w:szCs w:val="18"/>
        </w:rPr>
        <w:t>Les contraintes CHECK ne couvrent que les invariants portant sur une seule ligne : montant positif, date jamais future. Les règles qui font intervenir plusieurs lignes ou plusieurs tables, comme le refus d'une contribution supérieure au solde, restent dans les services. Les contraintes de la base servent de filet de sécurité, notamment pour une modification faite à la main depuis pgAdmin.</w:t>
      </w:r>
    </w:p>
    <w:p>
      <w:pPr>
        <w:pStyle w:val="Heading1"/>
        <w:spacing w:after="200" w:before="320" w:line="360" w:lineRule="auto"/>
      </w:pPr>
      <w:r>
        <w:rPr>
          <w:rFonts w:ascii="Times New Roman" w:cs="Times New Roman" w:eastAsia="Times New Roman" w:hAnsi="Times New Roman"/>
          <w:b/>
          <w:bCs/>
          <w:color w:val="000000"/>
          <w:sz w:val="32"/>
          <w:szCs w:val="32"/>
        </w:rPr>
        <w:t xml:space="preserve">7. Architecture des classes</w:t>
      </w:r>
    </w:p>
    <w:p>
      <w:pPr>
        <w:spacing w:after="160" w:before="0" w:line="360" w:lineRule="auto"/>
        <w:jc w:val="both"/>
      </w:pPr>
      <w:r>
        <w:rPr>
          <w:rFonts w:ascii="Times New Roman" w:cs="Times New Roman" w:eastAsia="Times New Roman" w:hAnsi="Times New Roman"/>
          <w:b w:val="false"/>
          <w:bCs w:val="false"/>
          <w:i w:val="false"/>
          <w:iCs w:val="false"/>
          <w:sz w:val="24"/>
          <w:szCs w:val="24"/>
        </w:rPr>
        <w:t>L'application suit le modèle d'architecture MVC, organisé en couches. Le code est réparti en quatre paquets racines : presentation, application, domain et infrastructure, plus un paquet exception et la classe Main.</w:t>
      </w:r>
    </w:p>
    <w:p>
      <w:pPr>
        <w:spacing w:after="160" w:before="240" w:line="360" w:lineRule="auto"/>
        <w:jc w:val="both"/>
      </w:pPr>
      <w:r>
        <w:rPr>
          <w:rFonts w:ascii="Times New Roman" w:cs="Times New Roman" w:eastAsia="Times New Roman" w:hAnsi="Times New Roman"/>
          <w:b/>
          <w:bCs/>
          <w:i w:val="false"/>
          <w:iCs w:val="false"/>
          <w:sz w:val="24"/>
          <w:szCs w:val="24"/>
        </w:rPr>
        <w:t xml:space="preserve">Le modèle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Il regroupe tout ce qui ne dépend pas de la façon dont l'application est utilisée, et se découpe en quatre sous-paquets.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Classe</w:t>
            </w:r>
          </w:p>
        </w:tc>
        <w:tc>
          <w:tcPr>
            <w:tcW w:type="dxa" w:w="6426"/>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Rôle</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Portefeuille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Entité : transactions, catégories actives, objectifs, compteurs d'identifiants</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Transaction</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Entité : représente une dépense ou un revenu</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Epargne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Entité : représente un objectif d'épargne et sa liste de mouvements</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MouvementEpargne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Entité : représente une contribution ou un retrait, immuable</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TypeTransaction</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Énumération : DEPENSE, REVENU</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Categorie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Énumération des catégories disponibles, avec leur libellé et leur type</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SensMouvement</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Énumération : CONTRIBUTION, RETRAIT</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ServicePortefeuille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Détient le portefeuille en mémoire et relaie chaque opération vers le dépôt ; seul détenteur direct des données</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ServiceTransaction</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Ajout, modification, suppression et filtrage des transactions</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ServiceEpargne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Création, contribution, retrait, suppression et progression des objectifs</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ServiceCategorie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Activation, désactivation et listes de catégories</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ServiceStatistique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Totaux par catégorie et comparaison revenus / dépenses</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CalculEpargne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Classe utilitaire : calcul unique du montant actuel d'un objectif</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GestionnairePostgreSQL</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Implémentation de PortefeuilleRepository : lecture et écriture des quatre tables en JDBC, avec des requêtes préparées</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PortefeuilleRepository</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Interface de la persistance : le métier ignore comment les données sont stockées</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ConnexionBaseDeDonnees</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Ouvre la connexion JDBC à partir des paramètres lus dans un fichier non versionné</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ServiceSolde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Calcule le solde disponible et le total épargné</w:t>
            </w:r>
          </w:p>
        </w:tc>
      </w:tr>
    </w:tbl>
    <w:p>
      <w:pPr>
        <w:spacing w:after="160" w:before="240" w:line="360" w:lineRule="auto"/>
        <w:jc w:val="both"/>
      </w:pPr>
      <w:r>
        <w:rPr>
          <w:rFonts w:ascii="Times New Roman" w:cs="Times New Roman" w:eastAsia="Times New Roman" w:hAnsi="Times New Roman"/>
          <w:b w:val="false"/>
          <w:bCs w:val="false"/>
          <w:i w:val="false"/>
          <w:iCs w:val="false"/>
          <w:sz w:val="24"/>
          <w:szCs w:val="24"/>
        </w:rPr>
        <w:t xml:space="preserve">Les entités ne contiennent que leur structure : attributs, constructeurs, getters, setters, et les contrôles de validité portant sur leurs propres champs. Tous les traitements sont dans les services.</w:t>
      </w:r>
    </w:p>
    <w:p>
      <w:pPr>
        <w:spacing w:after="160" w:before="240" w:line="360" w:lineRule="auto"/>
        <w:jc w:val="both"/>
      </w:pPr>
      <w:r>
        <w:rPr>
          <w:rFonts w:ascii="Times New Roman" w:cs="Times New Roman" w:eastAsia="Times New Roman" w:hAnsi="Times New Roman"/>
          <w:b/>
          <w:bCs/>
          <w:i w:val="false"/>
          <w:iCs w:val="false"/>
          <w:sz w:val="24"/>
          <w:szCs w:val="24"/>
        </w:rPr>
        <w:t xml:space="preserve">La vue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Classe</w:t>
            </w:r>
          </w:p>
        </w:tc>
        <w:tc>
          <w:tcPr>
            <w:tcW w:type="dxa" w:w="6426"/>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Rôle</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VueConsole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Briques réutilisées partout : lecture d'une ligne, d'un entier, d'un montant, d'une date, confirmation, affichage d'un message ou d'une erreur</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VuePrincipale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Menu principal et affichage du solde</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VueTransaction</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Écrans de saisie, d'historique, de modification et de suppression</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VueEpargne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Écrans de gestion des objectifs d'épargne</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VueCategorie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Écrans d'activation et de désactivation des catégories</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VueStatistique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Affichage des statistiques</w:t>
            </w:r>
          </w:p>
        </w:tc>
      </w:tr>
    </w:tbl>
    <w:p>
      <w:pPr>
        <w:spacing w:after="160" w:before="240" w:line="360" w:lineRule="auto"/>
        <w:jc w:val="both"/>
      </w:pPr>
      <w:r>
        <w:rPr>
          <w:rFonts w:ascii="Times New Roman" w:cs="Times New Roman" w:eastAsia="Times New Roman" w:hAnsi="Times New Roman"/>
          <w:b w:val="false"/>
          <w:bCs w:val="false"/>
          <w:i w:val="false"/>
          <w:iCs w:val="false"/>
          <w:sz w:val="24"/>
          <w:szCs w:val="24"/>
        </w:rPr>
        <w:t xml:space="preserve">Une vue affiche et lit les saisies, rien de plus. Elle ne calcule rien, ne décide de rien, et n'appelle aucun service.</w:t>
      </w:r>
    </w:p>
    <w:p>
      <w:pPr>
        <w:spacing w:after="160" w:before="240" w:line="360" w:lineRule="auto"/>
        <w:jc w:val="both"/>
      </w:pPr>
      <w:r>
        <w:rPr>
          <w:rFonts w:ascii="Times New Roman" w:cs="Times New Roman" w:eastAsia="Times New Roman" w:hAnsi="Times New Roman"/>
          <w:b/>
          <w:bCs/>
          <w:i w:val="false"/>
          <w:iCs w:val="false"/>
          <w:sz w:val="24"/>
          <w:szCs w:val="24"/>
        </w:rPr>
        <w:t xml:space="preserve">Le contrôleur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Classe</w:t>
            </w:r>
          </w:p>
        </w:tc>
        <w:tc>
          <w:tcPr>
            <w:tcW w:type="dxa" w:w="6426"/>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Rôle</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ControleurPortefeuille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Affichage du solde disponible et du total épargné</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ControleurTransaction</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Enchaînement des écrans de dépense, de revenu et d'historique</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ControleurEpargne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Enchaînement des écrans d'objectifs d'épargne</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ControleurCategorie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Enchaînement des écrans de catégories</w:t>
            </w:r>
          </w:p>
        </w:tc>
      </w:tr>
      <w:tr>
        <w:tc>
          <w:tcPr>
            <w:tcW w:type="dxa" w:w="26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ControleurStatistique</w:t>
            </w:r>
          </w:p>
        </w:tc>
        <w:tc>
          <w:tcPr>
            <w:tcW w:type="dxa" w:w="64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Enchaînement de l'écran de statistiques</w:t>
            </w:r>
          </w:p>
        </w:tc>
      </w:tr>
    </w:tbl>
    <w:p>
      <w:pPr>
        <w:spacing w:after="160" w:before="240" w:line="360" w:lineRule="auto"/>
        <w:jc w:val="both"/>
      </w:pPr>
      <w:r>
        <w:rPr>
          <w:rFonts w:ascii="Times New Roman" w:cs="Times New Roman" w:eastAsia="Times New Roman" w:hAnsi="Times New Roman"/>
          <w:b w:val="false"/>
          <w:bCs w:val="false"/>
          <w:i w:val="false"/>
          <w:iCs w:val="false"/>
          <w:sz w:val="24"/>
          <w:szCs w:val="24"/>
        </w:rPr>
        <w:t xml:space="preserve">Un contrôleur demande une saisie à la vue, appelle le service concerné, récupère le résultat et le transmet à la vue. Il ne contient aucune règle métier, et aucune chaîne de caractères destinée à l'utilisateur.</w:t>
      </w:r>
    </w:p>
    <w:p>
      <w:pPr>
        <w:spacing w:after="160" w:before="240" w:line="360" w:lineRule="auto"/>
        <w:jc w:val="both"/>
      </w:pPr>
      <w:r>
        <w:rPr>
          <w:rFonts w:ascii="Times New Roman" w:cs="Times New Roman" w:eastAsia="Times New Roman" w:hAnsi="Times New Roman"/>
          <w:b/>
          <w:bCs/>
          <w:i w:val="false"/>
          <w:iCs w:val="false"/>
          <w:sz w:val="24"/>
          <w:szCs w:val="24"/>
        </w:rPr>
        <w:t xml:space="preserve">Les règles de séparation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Aucune classe de domain, application ou infrastructure ne contient d'affichage ni de saisie.</w:t>
      </w:r>
    </w:p>
    <w:p>
      <w:pPr>
        <w:pStyle w:val="ListParagraph"/>
        <w:numPr>
          <w:ilvl w:val="0"/>
          <w:numId w:val="2"/>
        </w:numPr>
        <w:spacing w:after="100" w:line="360" w:lineRule="auto"/>
        <w:jc w:val="both"/>
      </w:pPr>
      <w:r>
        <w:rPr>
          <w:rFonts w:ascii="Times New Roman" w:cs="Times New Roman" w:eastAsia="Times New Roman" w:hAnsi="Times New Roman"/>
          <w:sz w:val="24"/>
          <w:szCs w:val="24"/>
        </w:rPr>
        <w:t>Aucune classe du paquet presentation.view n'importe une implémentation de service.</w:t>
      </w:r>
    </w:p>
    <w:p>
      <w:pPr>
        <w:pStyle w:val="ListParagraph"/>
        <w:numPr>
          <w:ilvl w:val="0"/>
          <w:numId w:val="2"/>
        </w:numPr>
        <w:spacing w:after="100" w:line="360" w:lineRule="auto"/>
        <w:jc w:val="both"/>
      </w:pPr>
      <w:r>
        <w:rPr>
          <w:rFonts w:ascii="Times New Roman" w:cs="Times New Roman" w:eastAsia="Times New Roman" w:hAnsi="Times New Roman"/>
          <w:sz w:val="24"/>
          <w:szCs w:val="24"/>
        </w:rPr>
        <w:t>Aucune classe de domain, application ou infrastructure n'importe une vue ou un contrôleur.</w:t>
      </w:r>
    </w:p>
    <w:p>
      <w:pPr>
        <w:pStyle w:val="ListParagraph"/>
        <w:numPr>
          <w:ilvl w:val="0"/>
          <w:numId w:val="2"/>
        </w:numPr>
        <w:spacing w:after="100" w:line="360" w:lineRule="auto"/>
        <w:jc w:val="both"/>
      </w:pPr>
      <w:r>
        <w:rPr>
          <w:rFonts w:ascii="Times New Roman" w:cs="Times New Roman" w:eastAsia="Times New Roman" w:hAnsi="Times New Roman"/>
          <w:sz w:val="24"/>
          <w:szCs w:val="24"/>
        </w:rPr>
        <w:t>Le portefeuille n'est détenu que par ServicePortefeuille, qui l'expose aux autres services par une méthode à visibilité de paquet : les contrôleurs ne peuvent pas le manipuler.</w:t>
      </w:r>
    </w:p>
    <w:p>
      <w:pPr>
        <w:pStyle w:val="ListParagraph"/>
        <w:numPr>
          <w:ilvl w:val="0"/>
          <w:numId w:val="2"/>
        </w:numPr>
        <w:spacing w:after="100" w:line="360" w:lineRule="auto"/>
        <w:jc w:val="both"/>
      </w:pPr>
      <w:r>
        <w:rPr>
          <w:rFonts w:ascii="Times New Roman" w:cs="Times New Roman" w:eastAsia="Times New Roman" w:hAnsi="Times New Roman"/>
          <w:sz w:val="24"/>
          <w:szCs w:val="24"/>
        </w:rPr>
        <w:t>La persistance est déclenchée par les services après chaque opération validée, jamais par un contrôleur, et toujours à travers l'interface PortefeuilleRepository.</w:t>
      </w:r>
    </w:p>
    <w:p>
      <w:pPr>
        <w:pStyle w:val="ListParagraph"/>
        <w:numPr>
          <w:ilvl w:val="0"/>
          <w:numId w:val="2"/>
        </w:numPr>
        <w:spacing w:after="100" w:line="360" w:lineRule="auto"/>
        <w:jc w:val="both"/>
      </w:pPr>
      <w:r>
        <w:rPr>
          <w:rFonts w:ascii="Times New Roman" w:cs="Times New Roman" w:eastAsia="Times New Roman" w:hAnsi="Times New Roman"/>
          <w:sz w:val="24"/>
          <w:szCs w:val="24"/>
        </w:rPr>
        <w:t>Les contrôleurs n'enchaînent que des appels : aucun calcul, aucune boucle sur des données, aucune chaîne de caractères destinée à l'utilisateur.</w:t>
      </w:r>
    </w:p>
    <w:p>
      <w:pPr>
        <w:spacing w:after="160" w:before="240" w:line="360" w:lineRule="auto"/>
        <w:jc w:val="both"/>
      </w:pPr>
      <w:r>
        <w:rPr>
          <w:rFonts w:ascii="Times New Roman" w:cs="Times New Roman" w:eastAsia="Times New Roman" w:hAnsi="Times New Roman"/>
          <w:b w:val="false"/>
          <w:bCs w:val="false"/>
          <w:i w:val="false"/>
          <w:iCs w:val="false"/>
          <w:sz w:val="24"/>
          <w:szCs w:val="24"/>
        </w:rPr>
        <w:t>Ces contraintes permettent de remplacer la console par une interface graphique en réécrivant les vues et en adaptant les contrôleurs, sans modifier une seule règle métier. De la même manière, le passage du fichier JSON à PostgreSQL n'a touché que la couche infrastructure.</w:t>
      </w:r>
    </w:p>
    <w:p>
      <w:pPr>
        <w:pStyle w:val="Heading1"/>
        <w:spacing w:after="200" w:before="320" w:line="360" w:lineRule="auto"/>
      </w:pPr>
      <w:r>
        <w:rPr>
          <w:rFonts w:ascii="Times New Roman" w:cs="Times New Roman" w:eastAsia="Times New Roman" w:hAnsi="Times New Roman"/>
          <w:b/>
          <w:bCs/>
          <w:color w:val="000000"/>
          <w:sz w:val="32"/>
          <w:szCs w:val="32"/>
        </w:rPr>
        <w:t xml:space="preserve">8. Menu console</w:t>
      </w:r>
    </w:p>
    <w:p>
      <w:pPr>
        <w:spacing w:after="0" w:before="120" w:line="240" w:lineRule="auto"/>
        <w:ind w:left="400"/>
      </w:pPr>
      <w:r>
        <w:rPr>
          <w:rFonts w:ascii="Courier New" w:cs="Courier New" w:eastAsia="Courier New" w:hAnsi="Courier New"/>
          <w:sz w:val="18"/>
          <w:szCs w:val="18"/>
        </w:rPr>
        <w:t xml:space="preserve">=== GESTION DE PORTE-MONNAIE ===</w:t>
      </w:r>
    </w:p>
    <w:p>
      <w:pPr>
        <w:spacing w:after="0" w:before="0" w:line="240" w:lineRule="auto"/>
        <w:ind w:left="400"/>
      </w:pPr>
      <w:r>
        <w:rPr>
          <w:rFonts w:ascii="Courier New" w:cs="Courier New" w:eastAsia="Courier New" w:hAnsi="Courier New"/>
          <w:sz w:val="18"/>
          <w:szCs w:val="18"/>
        </w:rPr>
        <w:t xml:space="preserve">1. Voir le solde</w:t>
      </w:r>
    </w:p>
    <w:p>
      <w:pPr>
        <w:spacing w:after="0" w:before="0" w:line="240" w:lineRule="auto"/>
        <w:ind w:left="400"/>
      </w:pPr>
      <w:r>
        <w:rPr>
          <w:rFonts w:ascii="Courier New" w:cs="Courier New" w:eastAsia="Courier New" w:hAnsi="Courier New"/>
          <w:sz w:val="18"/>
          <w:szCs w:val="18"/>
        </w:rPr>
        <w:t xml:space="preserve">2. Ajouter une dépense</w:t>
      </w:r>
    </w:p>
    <w:p>
      <w:pPr>
        <w:spacing w:after="0" w:before="0" w:line="240" w:lineRule="auto"/>
        <w:ind w:left="400"/>
      </w:pPr>
      <w:r>
        <w:rPr>
          <w:rFonts w:ascii="Courier New" w:cs="Courier New" w:eastAsia="Courier New" w:hAnsi="Courier New"/>
          <w:sz w:val="18"/>
          <w:szCs w:val="18"/>
        </w:rPr>
        <w:t xml:space="preserve">3. Ajouter un revenu</w:t>
      </w:r>
    </w:p>
    <w:p>
      <w:pPr>
        <w:spacing w:after="0" w:before="0" w:line="240" w:lineRule="auto"/>
        <w:ind w:left="400"/>
      </w:pPr>
      <w:r>
        <w:rPr>
          <w:rFonts w:ascii="Courier New" w:cs="Courier New" w:eastAsia="Courier New" w:hAnsi="Courier New"/>
          <w:sz w:val="18"/>
          <w:szCs w:val="18"/>
        </w:rPr>
        <w:t xml:space="preserve">4. Voir l'historique des transactions</w:t>
      </w:r>
    </w:p>
    <w:p>
      <w:pPr>
        <w:spacing w:after="0" w:before="0" w:line="240" w:lineRule="auto"/>
        <w:ind w:left="400"/>
      </w:pPr>
      <w:r>
        <w:rPr>
          <w:rFonts w:ascii="Courier New" w:cs="Courier New" w:eastAsia="Courier New" w:hAnsi="Courier New"/>
          <w:sz w:val="18"/>
          <w:szCs w:val="18"/>
        </w:rPr>
        <w:t xml:space="preserve">5. Gérer mes objectifs d'épargne</w:t>
      </w:r>
    </w:p>
    <w:p>
      <w:pPr>
        <w:spacing w:after="0" w:before="0" w:line="240" w:lineRule="auto"/>
        <w:ind w:left="400"/>
      </w:pPr>
      <w:r>
        <w:rPr>
          <w:rFonts w:ascii="Courier New" w:cs="Courier New" w:eastAsia="Courier New" w:hAnsi="Courier New"/>
          <w:sz w:val="18"/>
          <w:szCs w:val="18"/>
        </w:rPr>
        <w:t xml:space="preserve">6. Gérer mes catégories</w:t>
      </w:r>
    </w:p>
    <w:p>
      <w:pPr>
        <w:spacing w:after="0" w:before="0" w:line="240" w:lineRule="auto"/>
        <w:ind w:left="400"/>
      </w:pPr>
      <w:r>
        <w:rPr>
          <w:rFonts w:ascii="Courier New" w:cs="Courier New" w:eastAsia="Courier New" w:hAnsi="Courier New"/>
          <w:sz w:val="18"/>
          <w:szCs w:val="18"/>
        </w:rPr>
        <w:t xml:space="preserve">7. Voir les statistiques</w:t>
      </w:r>
    </w:p>
    <w:p>
      <w:pPr>
        <w:spacing w:after="200" w:before="0" w:line="240" w:lineRule="auto"/>
        <w:ind w:left="400"/>
      </w:pPr>
      <w:r>
        <w:rPr>
          <w:rFonts w:ascii="Courier New" w:cs="Courier New" w:eastAsia="Courier New" w:hAnsi="Courier New"/>
          <w:sz w:val="18"/>
          <w:szCs w:val="18"/>
        </w:rPr>
        <w:t xml:space="preserve">8. Quitter</w:t>
      </w:r>
    </w:p>
    <w:p>
      <w:pPr>
        <w:pStyle w:val="Heading1"/>
        <w:spacing w:after="200" w:before="320" w:line="360" w:lineRule="auto"/>
      </w:pPr>
      <w:r>
        <w:rPr>
          <w:rFonts w:ascii="Times New Roman" w:cs="Times New Roman" w:eastAsia="Times New Roman" w:hAnsi="Times New Roman"/>
          <w:b/>
          <w:bCs/>
          <w:color w:val="000000"/>
          <w:sz w:val="32"/>
          <w:szCs w:val="32"/>
        </w:rPr>
        <w:t xml:space="preserve">9. Dépendances techniques</w:t>
      </w:r>
    </w:p>
    <w:p>
      <w:pPr>
        <w:pStyle w:val="ListParagraph"/>
        <w:numPr>
          <w:ilvl w:val="0"/>
          <w:numId w:val="2"/>
        </w:numPr>
        <w:spacing w:after="100" w:line="360" w:lineRule="auto"/>
        <w:jc w:val="both"/>
      </w:pPr>
      <w:r>
        <w:rPr>
          <w:rFonts w:ascii="Times New Roman" w:cs="Times New Roman" w:eastAsia="Times New Roman" w:hAnsi="Times New Roman"/>
          <w:sz w:val="24"/>
          <w:szCs w:val="24"/>
        </w:rPr>
        <w:t>Java, dernière version stable du JDK, et le pilote JDBC PostgreSQL, seule bibliothèque externe du projet. Aucun ORM : les requêtes SQL sont écrites à la main, avec des requêtes préparées.</w:t>
      </w:r>
    </w:p>
    <w:p>
      <w:pPr>
        <w:pStyle w:val="ListParagraph"/>
        <w:numPr>
          <w:ilvl w:val="0"/>
          <w:numId w:val="2"/>
        </w:numPr>
        <w:spacing w:after="100" w:line="360" w:lineRule="auto"/>
        <w:jc w:val="both"/>
      </w:pPr>
      <w:r>
        <w:rPr>
          <w:rFonts w:ascii="Times New Roman" w:cs="Times New Roman" w:eastAsia="Times New Roman" w:hAnsi="Times New Roman"/>
          <w:sz w:val="24"/>
          <w:szCs w:val="24"/>
        </w:rPr>
        <w:t>PostgreSQL, exécuté dans un conteneur Docker à partir de l'image officielle.</w:t>
      </w:r>
    </w:p>
    <w:p>
      <w:pPr>
        <w:pStyle w:val="ListParagraph"/>
        <w:numPr>
          <w:ilvl w:val="0"/>
          <w:numId w:val="2"/>
        </w:numPr>
        <w:spacing w:after="100" w:line="360" w:lineRule="auto"/>
        <w:jc w:val="both"/>
      </w:pPr>
      <w:r>
        <w:rPr>
          <w:rFonts w:ascii="Times New Roman" w:cs="Times New Roman" w:eastAsia="Times New Roman" w:hAnsi="Times New Roman"/>
          <w:sz w:val="24"/>
          <w:szCs w:val="24"/>
        </w:rPr>
        <w:t>Visual Studio Code comme environnement de développement ; l'application Java est lancée depuis la machine et se connecte à la base conteneurisée.</w:t>
      </w:r>
    </w:p>
    <w:p>
      <w:pPr>
        <w:pStyle w:val="ListParagraph"/>
        <w:numPr>
          <w:ilvl w:val="0"/>
          <w:numId w:val="2"/>
        </w:numPr>
        <w:spacing w:after="100" w:line="360" w:lineRule="auto"/>
        <w:jc w:val="both"/>
      </w:pPr>
      <w:r>
        <w:rPr>
          <w:rFonts w:ascii="Times New Roman" w:cs="Times New Roman" w:eastAsia="Times New Roman" w:hAnsi="Times New Roman"/>
          <w:sz w:val="24"/>
          <w:szCs w:val="24"/>
        </w:rPr>
        <w:t>Git pour la gestion de versions, Docker Compose pour l'orchestration des conteneurs.</w:t>
      </w:r>
    </w:p>
    <w:p>
      <w:pPr>
        <w:pStyle w:val="ListParagraph"/>
        <w:numPr>
          <w:ilvl w:val="0"/>
          <w:numId w:val="2"/>
        </w:numPr>
        <w:spacing w:after="100" w:line="360" w:lineRule="auto"/>
        <w:jc w:val="both"/>
      </w:pPr>
      <w:r>
        <w:rPr>
          <w:rFonts w:ascii="Times New Roman" w:cs="Times New Roman" w:eastAsia="Times New Roman" w:hAnsi="Times New Roman"/>
          <w:sz w:val="24"/>
          <w:szCs w:val="24"/>
        </w:rPr>
        <w:t>pgAdmin, également conteneurisé, pour consulter et administrer la base.</w:t>
      </w:r>
    </w:p>
    <w:p>
      <w:pPr>
        <w:pStyle w:val="Heading1"/>
        <w:spacing w:after="200" w:before="320" w:line="360" w:lineRule="auto"/>
      </w:pPr>
      <w:r>
        <w:rPr>
          <w:rFonts w:ascii="Times New Roman" w:cs="Times New Roman" w:eastAsia="Times New Roman" w:hAnsi="Times New Roman"/>
          <w:b/>
          <w:bCs/>
          <w:color w:val="000000"/>
          <w:sz w:val="32"/>
          <w:szCs w:val="32"/>
        </w:rPr>
        <w:t xml:space="preserve">10.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Étape</w:t>
            </w:r>
          </w:p>
        </w:tc>
        <w:tc>
          <w:tcPr>
            <w:tcW w:type="dxa" w:w="7626"/>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Contenu</w:t>
            </w:r>
          </w:p>
        </w:tc>
      </w:tr>
      <w:tr>
        <w:tc>
          <w:tcPr>
            <w:tcW w:type="dxa" w:w="1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1</w:t>
            </w:r>
          </w:p>
        </w:tc>
        <w:tc>
          <w:tcPr>
            <w:tcW w:type="dxa" w:w="7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Entités, énumérations et calcul du solde</w:t>
            </w:r>
          </w:p>
        </w:tc>
      </w:tr>
      <w:tr>
        <w:tc>
          <w:tcPr>
            <w:tcW w:type="dxa" w:w="1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2</w:t>
            </w:r>
          </w:p>
        </w:tc>
        <w:tc>
          <w:tcPr>
            <w:tcW w:type="dxa" w:w="7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Vues, contrôleurs, ajout et consultation des opérations</w:t>
            </w:r>
          </w:p>
        </w:tc>
      </w:tr>
      <w:tr>
        <w:tc>
          <w:tcPr>
            <w:tcW w:type="dxa" w:w="1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3</w:t>
            </w:r>
          </w:p>
        </w:tc>
        <w:tc>
          <w:tcPr>
            <w:tcW w:type="dxa" w:w="7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Catégories actives, filtres, modification et suppression</w:t>
            </w:r>
          </w:p>
        </w:tc>
      </w:tr>
      <w:tr>
        <w:tc>
          <w:tcPr>
            <w:tcW w:type="dxa" w:w="1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4</w:t>
            </w:r>
          </w:p>
        </w:tc>
        <w:tc>
          <w:tcPr>
            <w:tcW w:type="dxa" w:w="7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Objectifs d'épargne et mouvements associés</w:t>
            </w:r>
          </w:p>
        </w:tc>
      </w:tr>
      <w:tr>
        <w:tc>
          <w:tcPr>
            <w:tcW w:type="dxa" w:w="1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5</w:t>
            </w:r>
          </w:p>
        </w:tc>
        <w:tc>
          <w:tcPr>
            <w:tcW w:type="dxa" w:w="7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Statistiques</w:t>
            </w:r>
          </w:p>
        </w:tc>
      </w:tr>
      <w:tr>
        <w:tc>
          <w:tcPr>
            <w:tcW w:type="dxa" w:w="1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6</w:t>
            </w:r>
          </w:p>
        </w:tc>
        <w:tc>
          <w:tcPr>
            <w:tcW w:type="dxa" w:w="7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Passage à une architecture en couches : services, interfaces, DTO</w:t>
            </w:r>
          </w:p>
        </w:tc>
      </w:tr>
      <w:tr>
        <w:tc>
          <w:tcPr>
            <w:tcW w:type="dxa" w:w="1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7</w:t>
            </w:r>
          </w:p>
        </w:tc>
        <w:tc>
          <w:tcPr>
            <w:tcW w:type="dxa" w:w="7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Passage à PostgreSQL en JDBC et conteneurisation avec Docker</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2026-08-20T13:58:49.625Z</dcterms:created>
  <dcterms:modified xsi:type="dcterms:W3CDTF">2026-08-20T13:58:49.625Z</dcterms:modified>
</cp:coreProperties>
</file>

<file path=docProps/custom.xml><?xml version="1.0" encoding="utf-8"?>
<Properties xmlns="http://schemas.openxmlformats.org/officeDocument/2006/custom-properties" xmlns:vt="http://schemas.openxmlformats.org/officeDocument/2006/docPropsVTypes"/>
</file>