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line="360" w:lineRule="auto"/>
        <w:jc w:val="center"/>
      </w:pPr>
      <w:r>
        <w:rPr>
          <w:rFonts w:ascii="Times New Roman" w:cs="Times New Roman" w:eastAsia="Times New Roman" w:hAnsi="Times New Roman"/>
          <w:b/>
          <w:bCs/>
          <w:sz w:val="32"/>
          <w:szCs w:val="32"/>
        </w:rPr>
        <w:t xml:space="preserve">GESTIONNAIRE DE PORTE-MONNAIE</w:t>
      </w:r>
    </w:p>
    <w:p>
      <w:pPr>
        <w:spacing w:after="480" w:line="360" w:lineRule="auto"/>
        <w:jc w:val="center"/>
      </w:pPr>
      <w:r>
        <w:rPr>
          <w:rFonts w:ascii="Times New Roman" w:cs="Times New Roman" w:eastAsia="Times New Roman" w:hAnsi="Times New Roman"/>
          <w:sz w:val="24"/>
          <w:szCs w:val="24"/>
        </w:rPr>
        <w:t xml:space="preserve">Guide de développement</w:t>
      </w:r>
    </w:p>
    <w:p>
      <w:pPr>
        <w:pStyle w:val="Heading1"/>
        <w:spacing w:after="200" w:before="320" w:line="360" w:lineRule="auto"/>
      </w:pPr>
      <w:r>
        <w:rPr>
          <w:rFonts w:ascii="Times New Roman" w:cs="Times New Roman" w:eastAsia="Times New Roman" w:hAnsi="Times New Roman"/>
          <w:b/>
          <w:bCs/>
          <w:color w:val="000000"/>
          <w:sz w:val="32"/>
          <w:szCs w:val="32"/>
        </w:rPr>
        <w:t xml:space="preserve">1. Comment utiliser ce guide</w:t>
      </w:r>
    </w:p>
    <w:p>
      <w:pPr>
        <w:spacing w:after="160" w:before="0" w:line="360" w:lineRule="auto"/>
        <w:jc w:val="both"/>
      </w:pPr>
      <w:r>
        <w:rPr>
          <w:rFonts w:ascii="Times New Roman" w:cs="Times New Roman" w:eastAsia="Times New Roman" w:hAnsi="Times New Roman"/>
          <w:b w:val="false"/>
          <w:bCs w:val="false"/>
          <w:i w:val="false"/>
          <w:iCs w:val="false"/>
          <w:sz w:val="24"/>
          <w:szCs w:val="24"/>
        </w:rPr>
        <w:t xml:space="preserve">Ce guide décrit, classe par classe, ce que contient le code : les attributs, les méthodes, leur rôle et les règles qu'elles font respecter. Il sert de référence pendant le développement et de support de relecture.</w:t>
      </w:r>
    </w:p>
    <w:p>
      <w:pPr>
        <w:spacing w:after="160" w:before="0" w:line="360" w:lineRule="auto"/>
        <w:jc w:val="both"/>
      </w:pPr>
      <w:r>
        <w:rPr>
          <w:rFonts w:ascii="Times New Roman" w:cs="Times New Roman" w:eastAsia="Times New Roman" w:hAnsi="Times New Roman"/>
          <w:b w:val="false"/>
          <w:bCs w:val="false"/>
          <w:i w:val="false"/>
          <w:iCs w:val="false"/>
          <w:sz w:val="24"/>
          <w:szCs w:val="24"/>
        </w:rPr>
        <w:t>L'application suit une architecture en couches : presentation, application, domain et infrastructure. La règle qui gouverne tout le reste est la suivante : les entités ne contiennent que leur structure, les services portent les traitements et les règles, les vues affichent, les contrôleurs enchaînent les appels. Les services renvoient des DTO, jamais les entités du domaine.</w:t>
      </w:r>
    </w:p>
    <w:p>
      <w:pPr>
        <w:spacing w:after="160" w:before="0" w:line="360" w:lineRule="auto"/>
        <w:jc w:val="both"/>
      </w:pPr>
      <w:r>
        <w:rPr>
          <w:rFonts w:ascii="Times New Roman" w:cs="Times New Roman" w:eastAsia="Times New Roman" w:hAnsi="Times New Roman"/>
          <w:b w:val="false"/>
          <w:bCs w:val="false"/>
          <w:i w:val="false"/>
          <w:iCs w:val="false"/>
          <w:sz w:val="24"/>
          <w:szCs w:val="24"/>
        </w:rPr>
        <w:t xml:space="preserve">Le critère de répartition entre entité et service se résume à une question : la méthode a-t-elle besoin de quelque chose d'autre que les champs de l'objet lui-même ? Si non, c'est un contrôle de validité et sa place est dans l'entité. Si oui, c'est un traitement et sa place est dans un service.</w:t>
      </w:r>
    </w:p>
    <w:p>
      <w:pPr>
        <w:pStyle w:val="Heading1"/>
        <w:spacing w:after="200" w:before="320" w:line="360" w:lineRule="auto"/>
      </w:pPr>
      <w:r>
        <w:rPr>
          <w:rFonts w:ascii="Times New Roman" w:cs="Times New Roman" w:eastAsia="Times New Roman" w:hAnsi="Times New Roman"/>
          <w:b/>
          <w:bCs/>
          <w:color w:val="000000"/>
          <w:sz w:val="32"/>
          <w:szCs w:val="32"/>
        </w:rPr>
        <w:t xml:space="preserve">2. Structure du projet</w:t>
      </w:r>
    </w:p>
    <w:p>
      <w:pPr>
        <w:spacing w:after="0" w:before="120" w:line="240" w:lineRule="auto"/>
        <w:ind w:left="340"/>
      </w:pPr>
      <w:r>
        <w:rPr>
          <w:rFonts w:ascii="Courier New" w:cs="Courier New" w:eastAsia="Courier New" w:hAnsi="Courier New"/>
          <w:sz w:val="18"/>
          <w:szCs w:val="18"/>
        </w:rPr>
        <w:t>porte-monnaie/</w:t>
      </w:r>
    </w:p>
    <w:p>
      <w:pPr>
        <w:spacing w:after="0" w:before="0" w:line="240" w:lineRule="auto"/>
        <w:ind w:left="340"/>
      </w:pPr>
      <w:r>
        <w:rPr>
          <w:rFonts w:ascii="Courier New" w:cs="Courier New" w:eastAsia="Courier New" w:hAnsi="Courier New"/>
          <w:sz w:val="18"/>
          <w:szCs w:val="18"/>
        </w:rPr>
        <w:t xml:space="preserve">  src/</w:t>
      </w:r>
    </w:p>
    <w:p>
      <w:pPr>
        <w:spacing w:after="0" w:before="0" w:line="240" w:lineRule="auto"/>
        <w:ind w:left="340"/>
      </w:pPr>
      <w:r>
        <w:rPr>
          <w:rFonts w:ascii="Courier New" w:cs="Courier New" w:eastAsia="Courier New" w:hAnsi="Courier New"/>
          <w:sz w:val="18"/>
          <w:szCs w:val="18"/>
        </w:rPr>
        <w:t xml:space="preserve">    Main.java</w:t>
      </w:r>
    </w:p>
    <w:p>
      <w:pPr>
        <w:spacing w:after="0" w:before="0" w:line="240" w:lineRule="auto"/>
        <w:ind w:left="340"/>
      </w:pPr>
      <w:r>
        <w:rPr>
          <w:rFonts w:ascii="Courier New" w:cs="Courier New" w:eastAsia="Courier New" w:hAnsi="Courier New"/>
          <w:sz w:val="18"/>
          <w:szCs w:val="18"/>
        </w:rPr>
        <w:t xml:space="preserve">    presentation/</w:t>
      </w:r>
    </w:p>
    <w:p>
      <w:pPr>
        <w:spacing w:after="0" w:before="0" w:line="240" w:lineRule="auto"/>
        <w:ind w:left="340"/>
      </w:pPr>
      <w:r>
        <w:rPr>
          <w:rFonts w:ascii="Courier New" w:cs="Courier New" w:eastAsia="Courier New" w:hAnsi="Courier New"/>
          <w:sz w:val="18"/>
          <w:szCs w:val="18"/>
        </w:rPr>
        <w:t xml:space="preserve">      controller/       ControleurPortefeuille, ControleurTransaction,</w:t>
      </w:r>
    </w:p>
    <w:p>
      <w:pPr>
        <w:spacing w:after="0" w:before="0" w:line="240" w:lineRule="auto"/>
        <w:ind w:left="340"/>
      </w:pPr>
      <w:r>
        <w:rPr>
          <w:rFonts w:ascii="Courier New" w:cs="Courier New" w:eastAsia="Courier New" w:hAnsi="Courier New"/>
          <w:sz w:val="18"/>
          <w:szCs w:val="18"/>
        </w:rPr>
        <w:t xml:space="preserve">                        ControleurEpargne, ControleurCategorie,</w:t>
      </w:r>
    </w:p>
    <w:p>
      <w:pPr>
        <w:spacing w:after="0" w:before="0" w:line="240" w:lineRule="auto"/>
        <w:ind w:left="340"/>
      </w:pPr>
      <w:r>
        <w:rPr>
          <w:rFonts w:ascii="Courier New" w:cs="Courier New" w:eastAsia="Courier New" w:hAnsi="Courier New"/>
          <w:sz w:val="18"/>
          <w:szCs w:val="18"/>
        </w:rPr>
        <w:t xml:space="preserve">                        ControleurStatistique</w:t>
      </w:r>
    </w:p>
    <w:p>
      <w:pPr>
        <w:spacing w:after="0" w:before="0" w:line="240" w:lineRule="auto"/>
        <w:ind w:left="340"/>
      </w:pPr>
      <w:r>
        <w:rPr>
          <w:rFonts w:ascii="Courier New" w:cs="Courier New" w:eastAsia="Courier New" w:hAnsi="Courier New"/>
          <w:sz w:val="18"/>
          <w:szCs w:val="18"/>
        </w:rPr>
        <w:t xml:space="preserve">      view/             VueConsole, VuePrincipale, VueTransaction,</w:t>
      </w:r>
    </w:p>
    <w:p>
      <w:pPr>
        <w:spacing w:after="0" w:before="0" w:line="240" w:lineRule="auto"/>
        <w:ind w:left="340"/>
      </w:pPr>
      <w:r>
        <w:rPr>
          <w:rFonts w:ascii="Courier New" w:cs="Courier New" w:eastAsia="Courier New" w:hAnsi="Courier New"/>
          <w:sz w:val="18"/>
          <w:szCs w:val="18"/>
        </w:rPr>
        <w:t xml:space="preserve">                        VueEpargne, VueCategorie, VueStatistique</w:t>
      </w:r>
    </w:p>
    <w:p>
      <w:pPr>
        <w:spacing w:after="0" w:before="0" w:line="240" w:lineRule="auto"/>
        <w:ind w:left="340"/>
      </w:pPr>
      <w:r>
        <w:rPr>
          <w:rFonts w:ascii="Courier New" w:cs="Courier New" w:eastAsia="Courier New" w:hAnsi="Courier New"/>
          <w:sz w:val="18"/>
          <w:szCs w:val="18"/>
        </w:rPr>
        <w:t xml:space="preserve">    application/</w:t>
      </w:r>
    </w:p>
    <w:p>
      <w:pPr>
        <w:spacing w:after="0" w:before="0" w:line="240" w:lineRule="auto"/>
        <w:ind w:left="340"/>
      </w:pPr>
      <w:r>
        <w:rPr>
          <w:rFonts w:ascii="Courier New" w:cs="Courier New" w:eastAsia="Courier New" w:hAnsi="Courier New"/>
          <w:sz w:val="18"/>
          <w:szCs w:val="18"/>
        </w:rPr>
        <w:t xml:space="preserve">      service/</w:t>
      </w:r>
    </w:p>
    <w:p>
      <w:pPr>
        <w:spacing w:after="0" w:before="0" w:line="240" w:lineRule="auto"/>
        <w:ind w:left="340"/>
      </w:pPr>
      <w:r>
        <w:rPr>
          <w:rFonts w:ascii="Courier New" w:cs="Courier New" w:eastAsia="Courier New" w:hAnsi="Courier New"/>
          <w:sz w:val="18"/>
          <w:szCs w:val="18"/>
        </w:rPr>
        <w:t xml:space="preserve">        interfaces/     IServiceTransaction, IServiceEpargne,</w:t>
      </w:r>
    </w:p>
    <w:p>
      <w:pPr>
        <w:spacing w:after="0" w:before="0" w:line="240" w:lineRule="auto"/>
        <w:ind w:left="340"/>
      </w:pPr>
      <w:r>
        <w:rPr>
          <w:rFonts w:ascii="Courier New" w:cs="Courier New" w:eastAsia="Courier New" w:hAnsi="Courier New"/>
          <w:sz w:val="18"/>
          <w:szCs w:val="18"/>
        </w:rPr>
        <w:t xml:space="preserve">                        IServiceCategorie, IServiceStatistique, IServiceSolde</w:t>
      </w:r>
    </w:p>
    <w:p>
      <w:pPr>
        <w:spacing w:after="0" w:before="0" w:line="240" w:lineRule="auto"/>
        <w:ind w:left="340"/>
      </w:pPr>
      <w:r>
        <w:rPr>
          <w:rFonts w:ascii="Courier New" w:cs="Courier New" w:eastAsia="Courier New" w:hAnsi="Courier New"/>
          <w:sz w:val="18"/>
          <w:szCs w:val="18"/>
        </w:rPr>
        <w:t xml:space="preserve">        implementation/ ServicePortefeuille, ServiceTransaction,</w:t>
      </w:r>
    </w:p>
    <w:p>
      <w:pPr>
        <w:spacing w:after="0" w:before="0" w:line="240" w:lineRule="auto"/>
        <w:ind w:left="340"/>
      </w:pPr>
      <w:r>
        <w:rPr>
          <w:rFonts w:ascii="Courier New" w:cs="Courier New" w:eastAsia="Courier New" w:hAnsi="Courier New"/>
          <w:sz w:val="18"/>
          <w:szCs w:val="18"/>
        </w:rPr>
        <w:t xml:space="preserve">                        ServiceEpargne, ServiceCategorie,</w:t>
      </w:r>
    </w:p>
    <w:p>
      <w:pPr>
        <w:spacing w:after="0" w:before="0" w:line="240" w:lineRule="auto"/>
        <w:ind w:left="340"/>
      </w:pPr>
      <w:r>
        <w:rPr>
          <w:rFonts w:ascii="Courier New" w:cs="Courier New" w:eastAsia="Courier New" w:hAnsi="Courier New"/>
          <w:sz w:val="18"/>
          <w:szCs w:val="18"/>
        </w:rPr>
        <w:t xml:space="preserve">                        ServiceStatistique, ServiceSolde, CalculEpargne</w:t>
      </w:r>
    </w:p>
    <w:p>
      <w:pPr>
        <w:spacing w:after="0" w:before="0" w:line="240" w:lineRule="auto"/>
        <w:ind w:left="340"/>
      </w:pPr>
      <w:r>
        <w:rPr>
          <w:rFonts w:ascii="Courier New" w:cs="Courier New" w:eastAsia="Courier New" w:hAnsi="Courier New"/>
          <w:sz w:val="18"/>
          <w:szCs w:val="18"/>
        </w:rPr>
        <w:t xml:space="preserve">      dto/              TransactionDTO, ObjectifDTO, MouvementDTO,</w:t>
      </w:r>
    </w:p>
    <w:p>
      <w:pPr>
        <w:spacing w:after="0" w:before="0" w:line="240" w:lineRule="auto"/>
        <w:ind w:left="340"/>
      </w:pPr>
      <w:r>
        <w:rPr>
          <w:rFonts w:ascii="Courier New" w:cs="Courier New" w:eastAsia="Courier New" w:hAnsi="Courier New"/>
          <w:sz w:val="18"/>
          <w:szCs w:val="18"/>
        </w:rPr>
        <w:t xml:space="preserve">                        StatistiqueDTO</w:t>
      </w:r>
    </w:p>
    <w:p>
      <w:pPr>
        <w:spacing w:after="0" w:before="0" w:line="240" w:lineRule="auto"/>
        <w:ind w:left="340"/>
      </w:pPr>
      <w:r>
        <w:rPr>
          <w:rFonts w:ascii="Courier New" w:cs="Courier New" w:eastAsia="Courier New" w:hAnsi="Courier New"/>
          <w:sz w:val="18"/>
          <w:szCs w:val="18"/>
        </w:rPr>
        <w:t xml:space="preserve">    domain/</w:t>
      </w:r>
    </w:p>
    <w:p>
      <w:pPr>
        <w:spacing w:after="0" w:before="0" w:line="240" w:lineRule="auto"/>
        <w:ind w:left="340"/>
      </w:pPr>
      <w:r>
        <w:rPr>
          <w:rFonts w:ascii="Courier New" w:cs="Courier New" w:eastAsia="Courier New" w:hAnsi="Courier New"/>
          <w:sz w:val="18"/>
          <w:szCs w:val="18"/>
        </w:rPr>
        <w:t xml:space="preserve">      entity/           Portefeuille, Transaction, Epargne, MouvementEpargne</w:t>
      </w:r>
    </w:p>
    <w:p>
      <w:pPr>
        <w:spacing w:after="0" w:before="0" w:line="240" w:lineRule="auto"/>
        <w:ind w:left="340"/>
      </w:pPr>
      <w:r>
        <w:rPr>
          <w:rFonts w:ascii="Courier New" w:cs="Courier New" w:eastAsia="Courier New" w:hAnsi="Courier New"/>
          <w:sz w:val="18"/>
          <w:szCs w:val="18"/>
        </w:rPr>
        <w:t xml:space="preserve">      enumeration/      TypeTransaction, Categorie, SensMouvement</w:t>
      </w:r>
    </w:p>
    <w:p>
      <w:pPr>
        <w:spacing w:after="0" w:before="0" w:line="240" w:lineRule="auto"/>
        <w:ind w:left="340"/>
      </w:pPr>
      <w:r>
        <w:rPr>
          <w:rFonts w:ascii="Courier New" w:cs="Courier New" w:eastAsia="Courier New" w:hAnsi="Courier New"/>
          <w:sz w:val="18"/>
          <w:szCs w:val="18"/>
        </w:rPr>
        <w:t xml:space="preserve">    infrastructure/</w:t>
      </w:r>
    </w:p>
    <w:p>
      <w:pPr>
        <w:spacing w:after="0" w:before="0" w:line="240" w:lineRule="auto"/>
        <w:ind w:left="340"/>
      </w:pPr>
      <w:r>
        <w:rPr>
          <w:rFonts w:ascii="Courier New" w:cs="Courier New" w:eastAsia="Courier New" w:hAnsi="Courier New"/>
          <w:sz w:val="18"/>
          <w:szCs w:val="18"/>
        </w:rPr>
        <w:t xml:space="preserve">      persistence/      PortefeuilleRepository, GestionnairePostgreSQL,</w:t>
      </w:r>
    </w:p>
    <w:p>
      <w:pPr>
        <w:spacing w:after="0" w:before="0" w:line="240" w:lineRule="auto"/>
        <w:ind w:left="340"/>
      </w:pPr>
      <w:r>
        <w:rPr>
          <w:rFonts w:ascii="Courier New" w:cs="Courier New" w:eastAsia="Courier New" w:hAnsi="Courier New"/>
          <w:sz w:val="18"/>
          <w:szCs w:val="18"/>
        </w:rPr>
        <w:t xml:space="preserve">                        ConnexionBaseDeDonnees</w:t>
      </w:r>
    </w:p>
    <w:p>
      <w:pPr>
        <w:spacing w:after="0" w:before="0" w:line="240" w:lineRule="auto"/>
        <w:ind w:left="340"/>
      </w:pPr>
      <w:r>
        <w:rPr>
          <w:rFonts w:ascii="Courier New" w:cs="Courier New" w:eastAsia="Courier New" w:hAnsi="Courier New"/>
          <w:sz w:val="18"/>
          <w:szCs w:val="18"/>
        </w:rPr>
        <w:t xml:space="preserve">    exception/          ErreurSauvegardeException, ErreurChargementException</w:t>
      </w:r>
    </w:p>
    <w:p>
      <w:pPr>
        <w:spacing w:after="0" w:before="0" w:line="240" w:lineRule="auto"/>
        <w:ind w:left="340"/>
      </w:pPr>
      <w:r>
        <w:rPr>
          <w:rFonts w:ascii="Courier New" w:cs="Courier New" w:eastAsia="Courier New" w:hAnsi="Courier New"/>
          <w:sz w:val="18"/>
          <w:szCs w:val="18"/>
        </w:rPr>
        <w:t xml:space="preserve">  lib/                  postgresql-x.y.z.jar</w:t>
      </w:r>
    </w:p>
    <w:p>
      <w:pPr>
        <w:spacing w:after="0" w:before="0" w:line="240" w:lineRule="auto"/>
        <w:ind w:left="340"/>
      </w:pPr>
      <w:r>
        <w:rPr>
          <w:rFonts w:ascii="Courier New" w:cs="Courier New" w:eastAsia="Courier New" w:hAnsi="Courier New"/>
          <w:sz w:val="18"/>
          <w:szCs w:val="18"/>
        </w:rPr>
        <w:t xml:space="preserve">  sql/                  schema.sql</w:t>
      </w:r>
    </w:p>
    <w:p>
      <w:pPr>
        <w:spacing w:after="0" w:before="0" w:line="240" w:lineRule="auto"/>
        <w:ind w:left="340"/>
      </w:pPr>
      <w:r>
        <w:rPr>
          <w:rFonts w:ascii="Courier New" w:cs="Courier New" w:eastAsia="Courier New" w:hAnsi="Courier New"/>
          <w:sz w:val="18"/>
          <w:szCs w:val="18"/>
        </w:rPr>
        <w:t xml:space="preserve">  docs/                 journal-developpement.md</w:t>
      </w:r>
    </w:p>
    <w:p>
      <w:pPr>
        <w:spacing w:after="0" w:before="0" w:line="240" w:lineRule="auto"/>
        <w:ind w:left="340"/>
      </w:pPr>
      <w:r>
        <w:rPr>
          <w:rFonts w:ascii="Courier New" w:cs="Courier New" w:eastAsia="Courier New" w:hAnsi="Courier New"/>
          <w:sz w:val="18"/>
          <w:szCs w:val="18"/>
        </w:rPr>
        <w:t xml:space="preserve">  docker-compose.yml</w:t>
      </w:r>
    </w:p>
    <w:p>
      <w:pPr>
        <w:spacing w:after="200" w:before="0" w:line="240" w:lineRule="auto"/>
        <w:ind w:left="340"/>
      </w:pPr>
      <w:r>
        <w:rPr>
          <w:rFonts w:ascii="Courier New" w:cs="Courier New" w:eastAsia="Courier New" w:hAnsi="Courier New"/>
          <w:sz w:val="18"/>
          <w:szCs w:val="18"/>
        </w:rPr>
        <w:t xml:space="preserve">  db.properties         (non versionné)</w:t>
      </w:r>
    </w:p>
    <w:p>
      <w:pPr>
        <w:spacing w:after="160" w:before="0" w:line="360" w:lineRule="auto"/>
        <w:jc w:val="both"/>
      </w:pPr>
      <w:r>
        <w:rPr>
          <w:rFonts w:ascii="Times New Roman" w:cs="Times New Roman" w:eastAsia="Times New Roman" w:hAnsi="Times New Roman"/>
          <w:b w:val="false"/>
          <w:bCs w:val="false"/>
          <w:i w:val="false"/>
          <w:iCs w:val="false"/>
          <w:sz w:val="24"/>
          <w:szCs w:val="24"/>
        </w:rPr>
        <w:t xml:space="preserve">Le découpage en paquets n'est pas décoratif : il rend visible toute violation d'architecture, puisqu'un import de vue dans modele saute aux yeux.</w:t>
      </w:r>
    </w:p>
    <w:p>
      <w:pPr>
        <w:pStyle w:val="Heading1"/>
        <w:spacing w:after="200" w:before="320" w:line="360" w:lineRule="auto"/>
      </w:pPr>
      <w:r>
        <w:rPr>
          <w:rFonts w:ascii="Times New Roman" w:cs="Times New Roman" w:eastAsia="Times New Roman" w:hAnsi="Times New Roman"/>
          <w:b/>
          <w:bCs/>
          <w:color w:val="000000"/>
          <w:sz w:val="32"/>
          <w:szCs w:val="32"/>
        </w:rPr>
        <w:t xml:space="preserve">3. Les énumérations</w:t>
      </w:r>
    </w:p>
    <w:p>
      <w:pPr>
        <w:spacing w:after="160" w:before="0" w:line="360" w:lineRule="auto"/>
        <w:jc w:val="both"/>
      </w:pPr>
      <w:r>
        <w:rPr>
          <w:rFonts w:ascii="Times New Roman" w:cs="Times New Roman" w:eastAsia="Times New Roman" w:hAnsi="Times New Roman"/>
          <w:b w:val="false"/>
          <w:bCs w:val="false"/>
          <w:i w:val="false"/>
          <w:iCs w:val="false"/>
          <w:sz w:val="24"/>
          <w:szCs w:val="24"/>
        </w:rPr>
        <w:t xml:space="preserve">Une énumération représente un ensemble fermé de valeurs connues à l'avance. C'est le cas du type d'une transaction, du sens d'un mouvement et des catégories.</w:t>
      </w:r>
    </w:p>
    <w:p>
      <w:pPr>
        <w:pStyle w:val="Heading2"/>
        <w:spacing w:after="140" w:before="240" w:line="360" w:lineRule="auto"/>
      </w:pPr>
      <w:r>
        <w:rPr>
          <w:rFonts w:ascii="Times New Roman" w:cs="Times New Roman" w:eastAsia="Times New Roman" w:hAnsi="Times New Roman"/>
          <w:b/>
          <w:bCs/>
          <w:color w:val="000000"/>
          <w:sz w:val="28"/>
          <w:szCs w:val="28"/>
        </w:rPr>
        <w:t xml:space="preserve">3.1. TypeTransaction et SensMouvement</w:t>
      </w:r>
    </w:p>
    <w:p>
      <w:pPr>
        <w:spacing w:after="160" w:before="0" w:line="360" w:lineRule="auto"/>
        <w:jc w:val="both"/>
      </w:pPr>
      <w:r>
        <w:rPr>
          <w:rFonts w:ascii="Times New Roman" w:cs="Times New Roman" w:eastAsia="Times New Roman" w:hAnsi="Times New Roman"/>
          <w:b w:val="false"/>
          <w:bCs w:val="false"/>
          <w:i w:val="false"/>
          <w:iCs w:val="false"/>
          <w:sz w:val="24"/>
          <w:szCs w:val="24"/>
        </w:rPr>
        <w:t xml:space="preserve">Deux valeurs chacune, portant leur libellé d'affichage : DEPENSE et REVENU pour la première, CONTRIBUTION et RETRAIT pour la seconde. Chacune expose un getLibelle().</w:t>
      </w:r>
    </w:p>
    <w:p>
      <w:pPr>
        <w:pStyle w:val="Heading2"/>
        <w:spacing w:after="140" w:before="240" w:line="360" w:lineRule="auto"/>
      </w:pPr>
      <w:r>
        <w:rPr>
          <w:rFonts w:ascii="Times New Roman" w:cs="Times New Roman" w:eastAsia="Times New Roman" w:hAnsi="Times New Roman"/>
          <w:b/>
          <w:bCs/>
          <w:color w:val="000000"/>
          <w:sz w:val="28"/>
          <w:szCs w:val="28"/>
        </w:rPr>
        <w:t xml:space="preserve">3.2. Categorie</w:t>
      </w:r>
    </w:p>
    <w:p>
      <w:pPr>
        <w:spacing w:after="160" w:before="0" w:line="360" w:lineRule="auto"/>
        <w:jc w:val="both"/>
      </w:pPr>
      <w:r>
        <w:rPr>
          <w:rFonts w:ascii="Times New Roman" w:cs="Times New Roman" w:eastAsia="Times New Roman" w:hAnsi="Times New Roman"/>
          <w:b w:val="false"/>
          <w:bCs w:val="false"/>
          <w:i w:val="false"/>
          <w:iCs w:val="false"/>
          <w:sz w:val="24"/>
          <w:szCs w:val="24"/>
        </w:rPr>
        <w:t xml:space="preserve">Chaque catégorie porte deux informations : son libellé affiché et le type de transaction auquel elle s'applique. C'est ce qui permet de ne proposer que les catégories de dépense lors de la saisie d'une dépense.</w:t>
      </w:r>
    </w:p>
    <w:p>
      <w:pPr>
        <w:spacing w:after="0" w:before="120" w:line="240" w:lineRule="auto"/>
        <w:ind w:left="340"/>
      </w:pPr>
      <w:r>
        <w:rPr>
          <w:rFonts w:ascii="Courier New" w:cs="Courier New" w:eastAsia="Courier New" w:hAnsi="Courier New"/>
          <w:sz w:val="18"/>
          <w:szCs w:val="18"/>
        </w:rPr>
        <w:t xml:space="preserve">public enum Categorie {</w:t>
      </w:r>
    </w:p>
    <w:p>
      <w:pPr>
        <w:spacing w:after="0" w:before="0" w:line="240" w:lineRule="auto"/>
        <w:ind w:left="340"/>
      </w:pPr>
      <w:r>
        <w:rPr>
          <w:rFonts w:ascii="Courier New" w:cs="Courier New" w:eastAsia="Courier New" w:hAnsi="Courier New"/>
          <w:sz w:val="18"/>
          <w:szCs w:val="18"/>
        </w:rPr>
        <w:t xml:space="preserve">    ALIMENTATION("Alimentation", TypeTransaction.DEPENSE),</w:t>
      </w:r>
    </w:p>
    <w:p>
      <w:pPr>
        <w:spacing w:after="0" w:before="0" w:line="240" w:lineRule="auto"/>
        <w:ind w:left="340"/>
      </w:pPr>
      <w:r>
        <w:rPr>
          <w:rFonts w:ascii="Courier New" w:cs="Courier New" w:eastAsia="Courier New" w:hAnsi="Courier New"/>
          <w:sz w:val="18"/>
          <w:szCs w:val="18"/>
        </w:rPr>
        <w:t xml:space="preserve">    TRANSPORT("Transport", TypeTransaction.DEPENSE),</w:t>
      </w:r>
    </w:p>
    <w:p>
      <w:pPr>
        <w:spacing w:after="0" w:before="0" w:line="240" w:lineRule="auto"/>
        <w:ind w:left="340"/>
      </w:pPr>
      <w:r>
        <w:rPr>
          <w:rFonts w:ascii="Courier New" w:cs="Courier New" w:eastAsia="Courier New" w:hAnsi="Courier New"/>
          <w:sz w:val="18"/>
          <w:szCs w:val="18"/>
        </w:rPr>
        <w:t xml:space="preserve">    LOGEMENT("Logement", TypeTransaction.DEPENSE),</w:t>
      </w:r>
    </w:p>
    <w:p>
      <w:pPr>
        <w:spacing w:after="0" w:before="0" w:line="240" w:lineRule="auto"/>
        <w:ind w:left="340"/>
      </w:pPr>
      <w:r>
        <w:rPr>
          <w:rFonts w:ascii="Courier New" w:cs="Courier New" w:eastAsia="Courier New" w:hAnsi="Courier New"/>
          <w:sz w:val="18"/>
          <w:szCs w:val="18"/>
        </w:rPr>
        <w:t xml:space="preserve">    LOISIRS("Loisirs", TypeTransaction.DEPENSE),</w:t>
      </w:r>
    </w:p>
    <w:p>
      <w:pPr>
        <w:spacing w:after="0" w:before="0" w:line="240" w:lineRule="auto"/>
        <w:ind w:left="340"/>
      </w:pPr>
      <w:r>
        <w:rPr>
          <w:rFonts w:ascii="Courier New" w:cs="Courier New" w:eastAsia="Courier New" w:hAnsi="Courier New"/>
          <w:sz w:val="18"/>
          <w:szCs w:val="18"/>
        </w:rPr>
        <w:t xml:space="preserve">    SANTE("Sante", TypeTransaction.DEPENSE),</w:t>
      </w:r>
    </w:p>
    <w:p>
      <w:pPr>
        <w:spacing w:after="0" w:before="0" w:line="240" w:lineRule="auto"/>
        <w:ind w:left="340"/>
      </w:pPr>
      <w:r>
        <w:rPr>
          <w:rFonts w:ascii="Courier New" w:cs="Courier New" w:eastAsia="Courier New" w:hAnsi="Courier New"/>
          <w:sz w:val="18"/>
          <w:szCs w:val="18"/>
        </w:rPr>
        <w:t xml:space="preserve">    ABONNEMENTS("Abonnements", TypeTransaction.DEPENSE),</w:t>
      </w:r>
    </w:p>
    <w:p>
      <w:pPr>
        <w:spacing w:after="0" w:before="0" w:line="240" w:lineRule="auto"/>
        <w:ind w:left="340"/>
      </w:pPr>
      <w:r>
        <w:rPr>
          <w:rFonts w:ascii="Courier New" w:cs="Courier New" w:eastAsia="Courier New" w:hAnsi="Courier New"/>
          <w:sz w:val="18"/>
          <w:szCs w:val="18"/>
        </w:rPr>
        <w:t xml:space="preserve">    AUTRE_DEPENSE("Autre", TypeTransaction.DEPENSE),</w:t>
      </w:r>
    </w:p>
    <w:p>
      <w:pPr>
        <w:spacing w:after="0" w:before="0" w:line="240" w:lineRule="auto"/>
        <w:ind w:left="340"/>
      </w:pPr>
      <w:r>
        <w:rPr>
          <w:rFonts w:ascii="Courier New" w:cs="Courier New" w:eastAsia="Courier New" w:hAnsi="Courier New"/>
          <w:sz w:val="18"/>
          <w:szCs w:val="18"/>
        </w:rPr>
        <w:t xml:space="preserve">    SALAIRE("Salaire", TypeTransaction.REVENU),</w:t>
      </w:r>
    </w:p>
    <w:p>
      <w:pPr>
        <w:spacing w:after="0" w:before="0" w:line="240" w:lineRule="auto"/>
        <w:ind w:left="340"/>
      </w:pPr>
      <w:r>
        <w:rPr>
          <w:rFonts w:ascii="Courier New" w:cs="Courier New" w:eastAsia="Courier New" w:hAnsi="Courier New"/>
          <w:sz w:val="18"/>
          <w:szCs w:val="18"/>
        </w:rPr>
        <w:t xml:space="preserve">    CADEAU("Cadeau", TypeTransaction.REVENU),</w:t>
      </w:r>
    </w:p>
    <w:p>
      <w:pPr>
        <w:spacing w:after="0" w:before="0" w:line="240" w:lineRule="auto"/>
        <w:ind w:left="340"/>
      </w:pPr>
      <w:r>
        <w:rPr>
          <w:rFonts w:ascii="Courier New" w:cs="Courier New" w:eastAsia="Courier New" w:hAnsi="Courier New"/>
          <w:sz w:val="18"/>
          <w:szCs w:val="18"/>
        </w:rPr>
        <w:t xml:space="preserve">    AUTRE_REVENU("Autre", TypeTransaction.REVENU);</w:t>
      </w:r>
    </w:p>
    <w:p>
      <w:pPr>
        <w:spacing w:after="200" w:before="0" w:line="240" w:lineRule="auto"/>
        <w:ind w:left="340"/>
      </w:pPr>
      <w:r>
        <w:rPr>
          <w:rFonts w:ascii="Courier New" w:cs="Courier New" w:eastAsia="Courier New" w:hAnsi="Courier New"/>
          <w:sz w:val="18"/>
          <w:szCs w:val="18"/>
        </w:rPr>
        <w:t xml:space="preserve">}</w:t>
      </w:r>
    </w:p>
    <w:p>
      <w:pPr>
        <w:spacing w:after="160" w:before="0" w:line="360" w:lineRule="auto"/>
        <w:jc w:val="both"/>
      </w:pPr>
      <w:r>
        <w:rPr>
          <w:rFonts w:ascii="Times New Roman" w:cs="Times New Roman" w:eastAsia="Times New Roman" w:hAnsi="Times New Roman"/>
          <w:b w:val="false"/>
          <w:bCs w:val="false"/>
          <w:i w:val="false"/>
          <w:iCs w:val="false"/>
          <w:sz w:val="24"/>
          <w:szCs w:val="24"/>
        </w:rPr>
        <w:t xml:space="preserve">La catégorie « Autre » existe des deux côtés. Deux constantes ne pouvant pas porter le même nom, on distingue AUTRE_DEPENSE et AUTRE_REVENU, qui affichent pourtant le même libellé.</w:t>
      </w:r>
    </w:p>
    <w:p>
      <w:pPr>
        <w:spacing w:after="160" w:before="0" w:line="360" w:lineRule="auto"/>
        <w:jc w:val="both"/>
      </w:pPr>
      <w:r>
        <w:rPr>
          <w:rFonts w:ascii="Times New Roman" w:cs="Times New Roman" w:eastAsia="Times New Roman" w:hAnsi="Times New Roman"/>
          <w:b w:val="false"/>
          <w:bCs w:val="false"/>
          <w:i w:val="false"/>
          <w:iCs w:val="false"/>
          <w:sz w:val="24"/>
          <w:szCs w:val="24"/>
        </w:rPr>
        <w:t xml:space="preserve">L'énumération n'expose que getLibelle() et getType(). Établir la liste des catégories d'un type donné est un traitement : cette responsabilité appartient à ServiceCategorie.</w:t>
      </w:r>
    </w:p>
    <w:p>
      <w:pPr>
        <w:pStyle w:val="Heading1"/>
        <w:spacing w:after="200" w:before="320" w:line="360" w:lineRule="auto"/>
      </w:pPr>
      <w:r>
        <w:rPr>
          <w:rFonts w:ascii="Times New Roman" w:cs="Times New Roman" w:eastAsia="Times New Roman" w:hAnsi="Times New Roman"/>
          <w:b/>
          <w:bCs/>
          <w:color w:val="000000"/>
          <w:sz w:val="32"/>
          <w:szCs w:val="32"/>
        </w:rPr>
        <w:t xml:space="preserve">4. Les entités</w:t>
      </w:r>
    </w:p>
    <w:p>
      <w:pPr>
        <w:spacing w:after="160" w:before="0" w:line="360" w:lineRule="auto"/>
        <w:jc w:val="both"/>
      </w:pPr>
      <w:r>
        <w:rPr>
          <w:rFonts w:ascii="Times New Roman" w:cs="Times New Roman" w:eastAsia="Times New Roman" w:hAnsi="Times New Roman"/>
          <w:b w:val="false"/>
          <w:bCs w:val="false"/>
          <w:i w:val="false"/>
          <w:iCs w:val="false"/>
          <w:sz w:val="24"/>
          <w:szCs w:val="24"/>
        </w:rPr>
        <w:t>Les entités ne contiennent que des attributs privés, un constructeur, des getters et des setters. Aucune validation, aucun calcul, aucun parcours de liste : tout est porté par les services. Une entité ne se protège donc plus elle-même contre un état invalide, et la garantie devient conventionnelle — on ne construit jamais une entité ailleurs que dans son service. C'est le compromis assumé du modèle de domaine anémique.</w:t>
      </w:r>
    </w:p>
    <w:p>
      <w:pPr>
        <w:pStyle w:val="Heading2"/>
        <w:spacing w:after="140" w:before="240" w:line="360" w:lineRule="auto"/>
      </w:pPr>
      <w:r>
        <w:rPr>
          <w:rFonts w:ascii="Times New Roman" w:cs="Times New Roman" w:eastAsia="Times New Roman" w:hAnsi="Times New Roman"/>
          <w:b/>
          <w:bCs/>
          <w:color w:val="000000"/>
          <w:sz w:val="28"/>
          <w:szCs w:val="28"/>
        </w:rPr>
        <w:t xml:space="preserve">4.1. Transaction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726"/>
      </w:tblGrid>
      <w:tr>
        <w:tc>
          <w:tcPr>
            <w:tcW w:type="dxa" w:w="1900"/>
            <w:shd w:fill="D9D9D9" w:color="auto" w:val="clear"/>
            <w:tcMar>
              <w:top w:type="dxa" w:w="100"/>
              <w:left w:type="dxa" w:w="120"/>
              <w:bottom w:type="dxa" w:w="100"/>
              <w:right w:type="dxa" w:w="120"/>
            </w:tcMar>
          </w:tcPr>
          <w:p>
            <w:pPr>
              <w:spacing w:after="0" w:line="240" w:lineRule="auto"/>
            </w:pPr>
            <w:r>
              <w:rPr>
                <w:rFonts w:ascii="Times New Roman" w:cs="Times New Roman" w:eastAsia="Times New Roman" w:hAnsi="Times New Roman"/>
                <w:b/>
                <w:bCs/>
                <w:sz w:val="24"/>
                <w:szCs w:val="24"/>
              </w:rPr>
              <w:t xml:space="preserve">Attribut</w:t>
            </w:r>
          </w:p>
        </w:tc>
        <w:tc>
          <w:tcPr>
            <w:tcW w:type="dxa" w:w="2400"/>
            <w:shd w:fill="D9D9D9" w:color="auto" w:val="clear"/>
            <w:tcMar>
              <w:top w:type="dxa" w:w="100"/>
              <w:left w:type="dxa" w:w="120"/>
              <w:bottom w:type="dxa" w:w="100"/>
              <w:right w:type="dxa" w:w="120"/>
            </w:tcMar>
          </w:tcPr>
          <w:p>
            <w:pPr>
              <w:spacing w:after="0" w:line="240" w:lineRule="auto"/>
            </w:pPr>
            <w:r>
              <w:rPr>
                <w:rFonts w:ascii="Times New Roman" w:cs="Times New Roman" w:eastAsia="Times New Roman" w:hAnsi="Times New Roman"/>
                <w:b/>
                <w:bCs/>
                <w:sz w:val="24"/>
                <w:szCs w:val="24"/>
              </w:rPr>
              <w:t xml:space="preserve">Type</w:t>
            </w:r>
          </w:p>
        </w:tc>
        <w:tc>
          <w:tcPr>
            <w:tcW w:type="dxa" w:w="4726"/>
            <w:shd w:fill="D9D9D9" w:color="auto" w:val="clear"/>
            <w:tcMar>
              <w:top w:type="dxa" w:w="100"/>
              <w:left w:type="dxa" w:w="120"/>
              <w:bottom w:type="dxa" w:w="100"/>
              <w:right w:type="dxa" w:w="120"/>
            </w:tcMar>
          </w:tcPr>
          <w:p>
            <w:pPr>
              <w:spacing w:after="0" w:line="240" w:lineRule="auto"/>
            </w:pPr>
            <w:r>
              <w:rPr>
                <w:rFonts w:ascii="Times New Roman" w:cs="Times New Roman" w:eastAsia="Times New Roman" w:hAnsi="Times New Roman"/>
                <w:b/>
                <w:bCs/>
                <w:sz w:val="24"/>
                <w:szCs w:val="24"/>
              </w:rPr>
              <w:t xml:space="preserve">Remarque</w:t>
            </w:r>
          </w:p>
        </w:tc>
      </w:tr>
      <w:tr>
        <w:tc>
          <w:tcPr>
            <w:tcW w:type="dxa" w:w="1900"/>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id</w:t>
            </w:r>
          </w:p>
        </w:tc>
        <w:tc>
          <w:tcPr>
            <w:tcW w:type="dxa" w:w="2400"/>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int</w:t>
            </w:r>
          </w:p>
        </w:tc>
        <w:tc>
          <w:tcPr>
            <w:tcW w:type="dxa" w:w="4726"/>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Identifiant unique, attribué par le portefeuille</w:t>
            </w:r>
          </w:p>
        </w:tc>
      </w:tr>
      <w:tr>
        <w:tc>
          <w:tcPr>
            <w:tcW w:type="dxa" w:w="1900"/>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montant</w:t>
            </w:r>
          </w:p>
        </w:tc>
        <w:tc>
          <w:tcPr>
            <w:tcW w:type="dxa" w:w="2400"/>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double</w:t>
            </w:r>
          </w:p>
        </w:tc>
        <w:tc>
          <w:tcPr>
            <w:tcW w:type="dxa" w:w="4726"/>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Toujours strictement positif</w:t>
            </w:r>
          </w:p>
        </w:tc>
      </w:tr>
      <w:tr>
        <w:tc>
          <w:tcPr>
            <w:tcW w:type="dxa" w:w="1900"/>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type</w:t>
            </w:r>
          </w:p>
        </w:tc>
        <w:tc>
          <w:tcPr>
            <w:tcW w:type="dxa" w:w="2400"/>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TypeTransaction</w:t>
            </w:r>
          </w:p>
        </w:tc>
        <w:tc>
          <w:tcPr>
            <w:tcW w:type="dxa" w:w="4726"/>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DEPENSE ou REVENU</w:t>
            </w:r>
          </w:p>
        </w:tc>
      </w:tr>
      <w:tr>
        <w:tc>
          <w:tcPr>
            <w:tcW w:type="dxa" w:w="1900"/>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categorie</w:t>
            </w:r>
          </w:p>
        </w:tc>
        <w:tc>
          <w:tcPr>
            <w:tcW w:type="dxa" w:w="2400"/>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Categorie</w:t>
            </w:r>
          </w:p>
        </w:tc>
        <w:tc>
          <w:tcPr>
            <w:tcW w:type="dxa" w:w="4726"/>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Doit correspondre au type de la transaction</w:t>
            </w:r>
          </w:p>
        </w:tc>
      </w:tr>
      <w:tr>
        <w:tc>
          <w:tcPr>
            <w:tcW w:type="dxa" w:w="1900"/>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date</w:t>
            </w:r>
          </w:p>
        </w:tc>
        <w:tc>
          <w:tcPr>
            <w:tcW w:type="dxa" w:w="2400"/>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LocalDate</w:t>
            </w:r>
          </w:p>
        </w:tc>
        <w:tc>
          <w:tcPr>
            <w:tcW w:type="dxa" w:w="4726"/>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Jamais postérieure à la date du jour</w:t>
            </w:r>
          </w:p>
        </w:tc>
      </w:tr>
      <w:tr>
        <w:tc>
          <w:tcPr>
            <w:tcW w:type="dxa" w:w="1900"/>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description</w:t>
            </w:r>
          </w:p>
        </w:tc>
        <w:tc>
          <w:tcPr>
            <w:tcW w:type="dxa" w:w="2400"/>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String</w:t>
            </w:r>
          </w:p>
        </w:tc>
        <w:tc>
          <w:tcPr>
            <w:tcW w:type="dxa" w:w="4726"/>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Facultative, peut être vide mais jamais null</w:t>
            </w:r>
          </w:p>
        </w:tc>
      </w:tr>
    </w:tbl>
    <w:p>
      <w:pPr>
        <w:spacing w:after="160" w:before="200" w:line="360" w:lineRule="auto"/>
        <w:jc w:val="both"/>
      </w:pPr>
      <w:r>
        <w:rPr>
          <w:rFonts w:ascii="Times New Roman" w:cs="Times New Roman" w:eastAsia="Times New Roman" w:hAnsi="Times New Roman"/>
          <w:b w:val="false"/>
          <w:bCs w:val="false"/>
          <w:i w:val="false"/>
          <w:iCs w:val="false"/>
          <w:sz w:val="24"/>
          <w:szCs w:val="24"/>
        </w:rPr>
        <w:t>Les contrôles de validité sont dans ServiceTransaction, au moment où il construit ou modifie l'entité : montant strictement positif, date jamais postérieure au jour, catégorie du même type que la transaction, description jamais nulle. L'entité, elle, se contente d'assigner ses champs.</w:t>
      </w:r>
    </w:p>
    <w:p>
      <w:pPr>
        <w:spacing w:after="160" w:before="0" w:line="360" w:lineRule="auto"/>
        <w:jc w:val="both"/>
      </w:pPr>
      <w:r>
        <w:rPr>
          <w:rFonts w:ascii="Times New Roman" w:cs="Times New Roman" w:eastAsia="Times New Roman" w:hAnsi="Times New Roman"/>
          <w:b w:val="false"/>
          <w:bCs w:val="false"/>
          <w:i w:val="false"/>
          <w:iCs w:val="false"/>
          <w:sz w:val="24"/>
          <w:szCs w:val="24"/>
        </w:rPr>
        <w:t xml:space="preserve">Getters pour les six attributs, setters pour montant, categorie, date et description, puisque la modification d'une transaction fait partie des fonctionnalités. L'identifiant n'est jamais modifiable.</w:t>
      </w:r>
    </w:p>
    <w:p>
      <w:pPr>
        <w:pStyle w:val="Heading2"/>
        <w:spacing w:after="140" w:before="240" w:line="360" w:lineRule="auto"/>
      </w:pPr>
      <w:r>
        <w:rPr>
          <w:rFonts w:ascii="Times New Roman" w:cs="Times New Roman" w:eastAsia="Times New Roman" w:hAnsi="Times New Roman"/>
          <w:b/>
          <w:bCs/>
          <w:color w:val="000000"/>
          <w:sz w:val="28"/>
          <w:szCs w:val="28"/>
        </w:rPr>
        <w:t xml:space="preserve">4.2. MouvementEpargne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726"/>
      </w:tblGrid>
      <w:tr>
        <w:tc>
          <w:tcPr>
            <w:tcW w:type="dxa" w:w="1900"/>
            <w:shd w:fill="D9D9D9" w:color="auto" w:val="clear"/>
            <w:tcMar>
              <w:top w:type="dxa" w:w="100"/>
              <w:left w:type="dxa" w:w="120"/>
              <w:bottom w:type="dxa" w:w="100"/>
              <w:right w:type="dxa" w:w="120"/>
            </w:tcMar>
          </w:tcPr>
          <w:p>
            <w:pPr>
              <w:spacing w:after="0" w:line="240" w:lineRule="auto"/>
            </w:pPr>
            <w:r>
              <w:rPr>
                <w:rFonts w:ascii="Times New Roman" w:cs="Times New Roman" w:eastAsia="Times New Roman" w:hAnsi="Times New Roman"/>
                <w:b/>
                <w:bCs/>
                <w:sz w:val="24"/>
                <w:szCs w:val="24"/>
              </w:rPr>
              <w:t xml:space="preserve">Attribut</w:t>
            </w:r>
          </w:p>
        </w:tc>
        <w:tc>
          <w:tcPr>
            <w:tcW w:type="dxa" w:w="2400"/>
            <w:shd w:fill="D9D9D9" w:color="auto" w:val="clear"/>
            <w:tcMar>
              <w:top w:type="dxa" w:w="100"/>
              <w:left w:type="dxa" w:w="120"/>
              <w:bottom w:type="dxa" w:w="100"/>
              <w:right w:type="dxa" w:w="120"/>
            </w:tcMar>
          </w:tcPr>
          <w:p>
            <w:pPr>
              <w:spacing w:after="0" w:line="240" w:lineRule="auto"/>
            </w:pPr>
            <w:r>
              <w:rPr>
                <w:rFonts w:ascii="Times New Roman" w:cs="Times New Roman" w:eastAsia="Times New Roman" w:hAnsi="Times New Roman"/>
                <w:b/>
                <w:bCs/>
                <w:sz w:val="24"/>
                <w:szCs w:val="24"/>
              </w:rPr>
              <w:t xml:space="preserve">Type</w:t>
            </w:r>
          </w:p>
        </w:tc>
        <w:tc>
          <w:tcPr>
            <w:tcW w:type="dxa" w:w="4726"/>
            <w:shd w:fill="D9D9D9" w:color="auto" w:val="clear"/>
            <w:tcMar>
              <w:top w:type="dxa" w:w="100"/>
              <w:left w:type="dxa" w:w="120"/>
              <w:bottom w:type="dxa" w:w="100"/>
              <w:right w:type="dxa" w:w="120"/>
            </w:tcMar>
          </w:tcPr>
          <w:p>
            <w:pPr>
              <w:spacing w:after="0" w:line="240" w:lineRule="auto"/>
            </w:pPr>
            <w:r>
              <w:rPr>
                <w:rFonts w:ascii="Times New Roman" w:cs="Times New Roman" w:eastAsia="Times New Roman" w:hAnsi="Times New Roman"/>
                <w:b/>
                <w:bCs/>
                <w:sz w:val="24"/>
                <w:szCs w:val="24"/>
              </w:rPr>
              <w:t xml:space="preserve">Remarque</w:t>
            </w:r>
          </w:p>
        </w:tc>
      </w:tr>
      <w:tr>
        <w:tc>
          <w:tcPr>
            <w:tcW w:type="dxa" w:w="1900"/>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montant</w:t>
            </w:r>
          </w:p>
        </w:tc>
        <w:tc>
          <w:tcPr>
            <w:tcW w:type="dxa" w:w="2400"/>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double</w:t>
            </w:r>
          </w:p>
        </w:tc>
        <w:tc>
          <w:tcPr>
            <w:tcW w:type="dxa" w:w="4726"/>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Toujours strictement positif</w:t>
            </w:r>
          </w:p>
        </w:tc>
      </w:tr>
      <w:tr>
        <w:tc>
          <w:tcPr>
            <w:tcW w:type="dxa" w:w="1900"/>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sens</w:t>
            </w:r>
          </w:p>
        </w:tc>
        <w:tc>
          <w:tcPr>
            <w:tcW w:type="dxa" w:w="2400"/>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SensMouvement</w:t>
            </w:r>
          </w:p>
        </w:tc>
        <w:tc>
          <w:tcPr>
            <w:tcW w:type="dxa" w:w="4726"/>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CONTRIBUTION ou RETRAIT</w:t>
            </w:r>
          </w:p>
        </w:tc>
      </w:tr>
      <w:tr>
        <w:tc>
          <w:tcPr>
            <w:tcW w:type="dxa" w:w="1900"/>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date</w:t>
            </w:r>
          </w:p>
        </w:tc>
        <w:tc>
          <w:tcPr>
            <w:tcW w:type="dxa" w:w="2400"/>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LocalDate</w:t>
            </w:r>
          </w:p>
        </w:tc>
        <w:tc>
          <w:tcPr>
            <w:tcW w:type="dxa" w:w="4726"/>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Date du mouvement</w:t>
            </w:r>
          </w:p>
        </w:tc>
      </w:tr>
    </w:tbl>
    <w:p>
      <w:pPr>
        <w:spacing w:after="160" w:before="200" w:line="360" w:lineRule="auto"/>
        <w:jc w:val="both"/>
      </w:pPr>
      <w:r>
        <w:rPr>
          <w:rFonts w:ascii="Times New Roman" w:cs="Times New Roman" w:eastAsia="Times New Roman" w:hAnsi="Times New Roman"/>
          <w:b w:val="false"/>
          <w:bCs w:val="false"/>
          <w:i w:val="false"/>
          <w:iCs w:val="false"/>
          <w:sz w:val="24"/>
          <w:szCs w:val="24"/>
        </w:rPr>
        <w:t xml:space="preserve">Classe immuable : les trois attributs sont final et affectés dans le constructeur, aucun setter. Le montant reste positif dans les deux cas, c'est le sens qui indique la direction.</w:t>
      </w:r>
    </w:p>
    <w:p>
      <w:pPr>
        <w:pStyle w:val="Heading2"/>
        <w:spacing w:after="140" w:before="240" w:line="360" w:lineRule="auto"/>
      </w:pPr>
      <w:r>
        <w:rPr>
          <w:rFonts w:ascii="Times New Roman" w:cs="Times New Roman" w:eastAsia="Times New Roman" w:hAnsi="Times New Roman"/>
          <w:b/>
          <w:bCs/>
          <w:color w:val="000000"/>
          <w:sz w:val="28"/>
          <w:szCs w:val="28"/>
        </w:rPr>
        <w:t xml:space="preserve">4.3. Epargne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4226"/>
      </w:tblGrid>
      <w:tr>
        <w:tc>
          <w:tcPr>
            <w:tcW w:type="dxa" w:w="1900"/>
            <w:shd w:fill="D9D9D9" w:color="auto" w:val="clear"/>
            <w:tcMar>
              <w:top w:type="dxa" w:w="100"/>
              <w:left w:type="dxa" w:w="120"/>
              <w:bottom w:type="dxa" w:w="100"/>
              <w:right w:type="dxa" w:w="120"/>
            </w:tcMar>
          </w:tcPr>
          <w:p>
            <w:pPr>
              <w:spacing w:after="0" w:line="240" w:lineRule="auto"/>
            </w:pPr>
            <w:r>
              <w:rPr>
                <w:rFonts w:ascii="Times New Roman" w:cs="Times New Roman" w:eastAsia="Times New Roman" w:hAnsi="Times New Roman"/>
                <w:b/>
                <w:bCs/>
                <w:sz w:val="24"/>
                <w:szCs w:val="24"/>
              </w:rPr>
              <w:t xml:space="preserve">Attribut</w:t>
            </w:r>
          </w:p>
        </w:tc>
        <w:tc>
          <w:tcPr>
            <w:tcW w:type="dxa" w:w="2900"/>
            <w:shd w:fill="D9D9D9" w:color="auto" w:val="clear"/>
            <w:tcMar>
              <w:top w:type="dxa" w:w="100"/>
              <w:left w:type="dxa" w:w="120"/>
              <w:bottom w:type="dxa" w:w="100"/>
              <w:right w:type="dxa" w:w="120"/>
            </w:tcMar>
          </w:tcPr>
          <w:p>
            <w:pPr>
              <w:spacing w:after="0" w:line="240" w:lineRule="auto"/>
            </w:pPr>
            <w:r>
              <w:rPr>
                <w:rFonts w:ascii="Times New Roman" w:cs="Times New Roman" w:eastAsia="Times New Roman" w:hAnsi="Times New Roman"/>
                <w:b/>
                <w:bCs/>
                <w:sz w:val="24"/>
                <w:szCs w:val="24"/>
              </w:rPr>
              <w:t xml:space="preserve">Type</w:t>
            </w:r>
          </w:p>
        </w:tc>
        <w:tc>
          <w:tcPr>
            <w:tcW w:type="dxa" w:w="4226"/>
            <w:shd w:fill="D9D9D9" w:color="auto" w:val="clear"/>
            <w:tcMar>
              <w:top w:type="dxa" w:w="100"/>
              <w:left w:type="dxa" w:w="120"/>
              <w:bottom w:type="dxa" w:w="100"/>
              <w:right w:type="dxa" w:w="120"/>
            </w:tcMar>
          </w:tcPr>
          <w:p>
            <w:pPr>
              <w:spacing w:after="0" w:line="240" w:lineRule="auto"/>
            </w:pPr>
            <w:r>
              <w:rPr>
                <w:rFonts w:ascii="Times New Roman" w:cs="Times New Roman" w:eastAsia="Times New Roman" w:hAnsi="Times New Roman"/>
                <w:b/>
                <w:bCs/>
                <w:sz w:val="24"/>
                <w:szCs w:val="24"/>
              </w:rPr>
              <w:t xml:space="preserve">Remarque</w:t>
            </w:r>
          </w:p>
        </w:tc>
      </w:tr>
      <w:tr>
        <w:tc>
          <w:tcPr>
            <w:tcW w:type="dxa" w:w="1900"/>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id</w:t>
            </w:r>
          </w:p>
        </w:tc>
        <w:tc>
          <w:tcPr>
            <w:tcW w:type="dxa" w:w="2900"/>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int</w:t>
            </w:r>
          </w:p>
        </w:tc>
        <w:tc>
          <w:tcPr>
            <w:tcW w:type="dxa" w:w="4226"/>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Identifiant unique, attribué par le portefeuille</w:t>
            </w:r>
          </w:p>
        </w:tc>
      </w:tr>
      <w:tr>
        <w:tc>
          <w:tcPr>
            <w:tcW w:type="dxa" w:w="1900"/>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nom</w:t>
            </w:r>
          </w:p>
        </w:tc>
        <w:tc>
          <w:tcPr>
            <w:tcW w:type="dxa" w:w="2900"/>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String</w:t>
            </w:r>
          </w:p>
        </w:tc>
        <w:tc>
          <w:tcPr>
            <w:tcW w:type="dxa" w:w="4226"/>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Non vide</w:t>
            </w:r>
          </w:p>
        </w:tc>
      </w:tr>
      <w:tr>
        <w:tc>
          <w:tcPr>
            <w:tcW w:type="dxa" w:w="1900"/>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montantCible</w:t>
            </w:r>
          </w:p>
        </w:tc>
        <w:tc>
          <w:tcPr>
            <w:tcW w:type="dxa" w:w="2900"/>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double</w:t>
            </w:r>
          </w:p>
        </w:tc>
        <w:tc>
          <w:tcPr>
            <w:tcW w:type="dxa" w:w="4226"/>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Strictement positif</w:t>
            </w:r>
          </w:p>
        </w:tc>
      </w:tr>
      <w:tr>
        <w:tc>
          <w:tcPr>
            <w:tcW w:type="dxa" w:w="1900"/>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dateLimite</w:t>
            </w:r>
          </w:p>
        </w:tc>
        <w:tc>
          <w:tcPr>
            <w:tcW w:type="dxa" w:w="2900"/>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LocalDate</w:t>
            </w:r>
          </w:p>
        </w:tc>
        <w:tc>
          <w:tcPr>
            <w:tcW w:type="dxa" w:w="4226"/>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Facultative, peut être null</w:t>
            </w:r>
          </w:p>
        </w:tc>
      </w:tr>
      <w:tr>
        <w:tc>
          <w:tcPr>
            <w:tcW w:type="dxa" w:w="1900"/>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mouvements</w:t>
            </w:r>
          </w:p>
        </w:tc>
        <w:tc>
          <w:tcPr>
            <w:tcW w:type="dxa" w:w="2900"/>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List&lt;MouvementEpargne&gt;</w:t>
            </w:r>
          </w:p>
        </w:tc>
        <w:tc>
          <w:tcPr>
            <w:tcW w:type="dxa" w:w="4226"/>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Initialisée à une liste vide dans le constructeur</w:t>
            </w:r>
          </w:p>
        </w:tc>
      </w:tr>
    </w:tbl>
    <w:p>
      <w:pPr>
        <w:spacing w:after="160" w:before="200" w:line="360" w:lineRule="auto"/>
        <w:jc w:val="both"/>
      </w:pPr>
      <w:r>
        <w:rPr>
          <w:rFonts w:ascii="Times New Roman" w:cs="Times New Roman" w:eastAsia="Times New Roman" w:hAnsi="Times New Roman"/>
          <w:b w:val="false"/>
          <w:bCs w:val="false"/>
          <w:i w:val="false"/>
          <w:iCs w:val="false"/>
          <w:sz w:val="24"/>
          <w:szCs w:val="24"/>
        </w:rPr>
        <w:t xml:space="preserve">Le constructeur vérifie que le nom n'est pas vide et que le montant cible est strictement positif.</w:t>
      </w:r>
    </w:p>
    <w:p>
      <w:pPr>
        <w:spacing w:after="160" w:before="0" w:line="360" w:lineRule="auto"/>
        <w:jc w:val="both"/>
      </w:pPr>
      <w:r>
        <w:rPr>
          <w:rFonts w:ascii="Times New Roman" w:cs="Times New Roman" w:eastAsia="Times New Roman" w:hAnsi="Times New Roman"/>
          <w:b w:val="false"/>
          <w:bCs w:val="false"/>
          <w:i w:val="false"/>
          <w:iCs w:val="false"/>
          <w:sz w:val="24"/>
          <w:szCs w:val="24"/>
        </w:rPr>
        <w:t xml:space="preserve">Une seule méthode de mutation : ajouterMouvement(MouvementEpargne), qui ajoute un mouvement déjà construit. C'est le service qui construit le mouvement et qui applique les règles, l'entité se contente de l'accueillir.</w:t>
      </w:r>
    </w:p>
    <w:p>
      <w:pPr>
        <w:spacing w:after="160" w:before="0" w:line="360" w:lineRule="auto"/>
        <w:jc w:val="both"/>
      </w:pPr>
      <w:r>
        <w:rPr>
          <w:rFonts w:ascii="Times New Roman" w:cs="Times New Roman" w:eastAsia="Times New Roman" w:hAnsi="Times New Roman"/>
          <w:b w:val="false"/>
          <w:bCs w:val="false"/>
          <w:i w:val="false"/>
          <w:iCs w:val="false"/>
          <w:sz w:val="24"/>
          <w:szCs w:val="24"/>
        </w:rPr>
        <w:t xml:space="preserve">Le montant actuellement épargné n'est pas un attribut et ne se calcule pas ici : ce calcul parcourt la liste des mouvements, c'est donc un traitement. Il est isolé dans la classe utilitaire CalculEpargne.</w:t>
      </w:r>
    </w:p>
    <w:p>
      <w:pPr>
        <w:spacing w:after="160" w:before="0" w:line="360" w:lineRule="auto"/>
        <w:jc w:val="both"/>
      </w:pPr>
      <w:r>
        <w:rPr>
          <w:rFonts w:ascii="Times New Roman" w:cs="Times New Roman" w:eastAsia="Times New Roman" w:hAnsi="Times New Roman"/>
          <w:b w:val="false"/>
          <w:bCs w:val="false"/>
          <w:i w:val="false"/>
          <w:iCs w:val="false"/>
          <w:sz w:val="24"/>
          <w:szCs w:val="24"/>
        </w:rPr>
        <w:t xml:space="preserve">getMouvements() renvoie une vue non modifiable de la liste, afin que personne ne puisse ajouter un mouvement en contournant ajouterMouvement.</w:t>
      </w:r>
    </w:p>
    <w:p>
      <w:pPr>
        <w:pStyle w:val="Heading2"/>
        <w:spacing w:after="140" w:before="240" w:line="360" w:lineRule="auto"/>
      </w:pPr>
      <w:r>
        <w:rPr>
          <w:rFonts w:ascii="Times New Roman" w:cs="Times New Roman" w:eastAsia="Times New Roman" w:hAnsi="Times New Roman"/>
          <w:b/>
          <w:bCs/>
          <w:color w:val="000000"/>
          <w:sz w:val="28"/>
          <w:szCs w:val="28"/>
        </w:rPr>
        <w:t xml:space="preserve">4.4. Portefeuille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900"/>
        <w:gridCol w:w="3626"/>
      </w:tblGrid>
      <w:tr>
        <w:tc>
          <w:tcPr>
            <w:tcW w:type="dxa" w:w="2500"/>
            <w:shd w:fill="D9D9D9" w:color="auto" w:val="clear"/>
            <w:tcMar>
              <w:top w:type="dxa" w:w="100"/>
              <w:left w:type="dxa" w:w="120"/>
              <w:bottom w:type="dxa" w:w="100"/>
              <w:right w:type="dxa" w:w="120"/>
            </w:tcMar>
          </w:tcPr>
          <w:p>
            <w:pPr>
              <w:spacing w:after="0" w:line="240" w:lineRule="auto"/>
            </w:pPr>
            <w:r>
              <w:rPr>
                <w:rFonts w:ascii="Times New Roman" w:cs="Times New Roman" w:eastAsia="Times New Roman" w:hAnsi="Times New Roman"/>
                <w:b/>
                <w:bCs/>
                <w:sz w:val="24"/>
                <w:szCs w:val="24"/>
              </w:rPr>
              <w:t xml:space="preserve">Attribut</w:t>
            </w:r>
          </w:p>
        </w:tc>
        <w:tc>
          <w:tcPr>
            <w:tcW w:type="dxa" w:w="2900"/>
            <w:shd w:fill="D9D9D9" w:color="auto" w:val="clear"/>
            <w:tcMar>
              <w:top w:type="dxa" w:w="100"/>
              <w:left w:type="dxa" w:w="120"/>
              <w:bottom w:type="dxa" w:w="100"/>
              <w:right w:type="dxa" w:w="120"/>
            </w:tcMar>
          </w:tcPr>
          <w:p>
            <w:pPr>
              <w:spacing w:after="0" w:line="240" w:lineRule="auto"/>
            </w:pPr>
            <w:r>
              <w:rPr>
                <w:rFonts w:ascii="Times New Roman" w:cs="Times New Roman" w:eastAsia="Times New Roman" w:hAnsi="Times New Roman"/>
                <w:b/>
                <w:bCs/>
                <w:sz w:val="24"/>
                <w:szCs w:val="24"/>
              </w:rPr>
              <w:t xml:space="preserve">Type</w:t>
            </w:r>
          </w:p>
        </w:tc>
        <w:tc>
          <w:tcPr>
            <w:tcW w:type="dxa" w:w="3626"/>
            <w:shd w:fill="D9D9D9" w:color="auto" w:val="clear"/>
            <w:tcMar>
              <w:top w:type="dxa" w:w="100"/>
              <w:left w:type="dxa" w:w="120"/>
              <w:bottom w:type="dxa" w:w="100"/>
              <w:right w:type="dxa" w:w="120"/>
            </w:tcMar>
          </w:tcPr>
          <w:p>
            <w:pPr>
              <w:spacing w:after="0" w:line="240" w:lineRule="auto"/>
            </w:pPr>
            <w:r>
              <w:rPr>
                <w:rFonts w:ascii="Times New Roman" w:cs="Times New Roman" w:eastAsia="Times New Roman" w:hAnsi="Times New Roman"/>
                <w:b/>
                <w:bCs/>
                <w:sz w:val="24"/>
                <w:szCs w:val="24"/>
              </w:rPr>
              <w:t xml:space="preserve">Remarque</w:t>
            </w:r>
          </w:p>
        </w:tc>
      </w:tr>
      <w:tr>
        <w:tc>
          <w:tcPr>
            <w:tcW w:type="dxa" w:w="2500"/>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transactions</w:t>
            </w:r>
          </w:p>
        </w:tc>
        <w:tc>
          <w:tcPr>
            <w:tcW w:type="dxa" w:w="2900"/>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List&lt;Transaction&gt;</w:t>
            </w:r>
          </w:p>
        </w:tc>
        <w:tc>
          <w:tcPr>
            <w:tcW w:type="dxa" w:w="3626"/>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Historique complet</w:t>
            </w:r>
          </w:p>
        </w:tc>
      </w:tr>
      <w:tr>
        <w:tc>
          <w:tcPr>
            <w:tcW w:type="dxa" w:w="2500"/>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categoriesActives</w:t>
            </w:r>
          </w:p>
        </w:tc>
        <w:tc>
          <w:tcPr>
            <w:tcW w:type="dxa" w:w="2900"/>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Set&lt;Categorie&gt;</w:t>
            </w:r>
          </w:p>
        </w:tc>
        <w:tc>
          <w:tcPr>
            <w:tcW w:type="dxa" w:w="3626"/>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Sous-ensemble choisi par l'utilisateur</w:t>
            </w:r>
          </w:p>
        </w:tc>
      </w:tr>
      <w:tr>
        <w:tc>
          <w:tcPr>
            <w:tcW w:type="dxa" w:w="2500"/>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objectifs</w:t>
            </w:r>
          </w:p>
        </w:tc>
        <w:tc>
          <w:tcPr>
            <w:tcW w:type="dxa" w:w="2900"/>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List&lt;Epargne&gt;</w:t>
            </w:r>
          </w:p>
        </w:tc>
        <w:tc>
          <w:tcPr>
            <w:tcW w:type="dxa" w:w="3626"/>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Objectifs d'épargne en cours</w:t>
            </w:r>
          </w:p>
        </w:tc>
      </w:tr>
      <w:tr>
        <w:tc>
          <w:tcPr>
            <w:tcW w:type="dxa" w:w="2500"/>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prochainIdTransaction</w:t>
            </w:r>
          </w:p>
        </w:tc>
        <w:tc>
          <w:tcPr>
            <w:tcW w:type="dxa" w:w="2900"/>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int</w:t>
            </w:r>
          </w:p>
        </w:tc>
        <w:tc>
          <w:tcPr>
            <w:tcW w:type="dxa" w:w="3626"/>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Compteur, sauvegardé avec le reste</w:t>
            </w:r>
          </w:p>
        </w:tc>
      </w:tr>
      <w:tr>
        <w:tc>
          <w:tcPr>
            <w:tcW w:type="dxa" w:w="2500"/>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prochainIdObjectif</w:t>
            </w:r>
          </w:p>
        </w:tc>
        <w:tc>
          <w:tcPr>
            <w:tcW w:type="dxa" w:w="2900"/>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int</w:t>
            </w:r>
          </w:p>
        </w:tc>
        <w:tc>
          <w:tcPr>
            <w:tcW w:type="dxa" w:w="3626"/>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Compteur, sauvegardé avec le reste</w:t>
            </w:r>
          </w:p>
        </w:tc>
      </w:tr>
    </w:tbl>
    <w:p>
      <w:pPr>
        <w:spacing w:after="160" w:before="200" w:line="360" w:lineRule="auto"/>
        <w:jc w:val="both"/>
      </w:pPr>
      <w:r>
        <w:rPr>
          <w:rFonts w:ascii="Times New Roman" w:cs="Times New Roman" w:eastAsia="Times New Roman" w:hAnsi="Times New Roman"/>
          <w:b w:val="false"/>
          <w:bCs w:val="false"/>
          <w:i w:val="false"/>
          <w:iCs w:val="false"/>
          <w:sz w:val="24"/>
          <w:szCs w:val="24"/>
        </w:rPr>
        <w:t xml:space="preserve">Conteneur pur : aucun contrôle de validité, il n'y a pas d'invariant à protéger sur une simple collection de listes.</w:t>
      </w:r>
    </w:p>
    <w:p>
      <w:pPr>
        <w:spacing w:after="160" w:before="0" w:line="360" w:lineRule="auto"/>
        <w:jc w:val="both"/>
      </w:pPr>
      <w:r>
        <w:rPr>
          <w:rFonts w:ascii="Times New Roman" w:cs="Times New Roman" w:eastAsia="Times New Roman" w:hAnsi="Times New Roman"/>
          <w:b w:val="false"/>
          <w:bCs w:val="false"/>
          <w:i w:val="false"/>
          <w:iCs w:val="false"/>
          <w:sz w:val="24"/>
          <w:szCs w:val="24"/>
        </w:rPr>
        <w:t xml:space="preserve">Les getters de liste renvoient des vues non modifiables. L'ajout et le retrait passent par des méthodes dédiées, qui remplacent les setters sans appliquer aucune règle :</w:t>
      </w:r>
    </w:p>
    <w:p>
      <w:pPr>
        <w:spacing w:after="0" w:before="120" w:line="240" w:lineRule="auto"/>
        <w:ind w:left="340"/>
      </w:pPr>
      <w:r>
        <w:rPr>
          <w:rFonts w:ascii="Courier New" w:cs="Courier New" w:eastAsia="Courier New" w:hAnsi="Courier New"/>
          <w:sz w:val="18"/>
          <w:szCs w:val="18"/>
        </w:rPr>
        <w:t xml:space="preserve">public List&lt;Transaction&gt; getTransactions()   // vue non modifiable</w:t>
      </w:r>
    </w:p>
    <w:p>
      <w:pPr>
        <w:spacing w:after="0" w:before="0" w:line="240" w:lineRule="auto"/>
        <w:ind w:left="340"/>
      </w:pPr>
      <w:r>
        <w:rPr>
          <w:rFonts w:ascii="Courier New" w:cs="Courier New" w:eastAsia="Courier New" w:hAnsi="Courier New"/>
          <w:sz w:val="18"/>
          <w:szCs w:val="18"/>
        </w:rPr>
        <w:t xml:space="preserve">public List&lt;Epargne&gt;     getObjectifs()      // vue non modifiable</w:t>
      </w:r>
    </w:p>
    <w:p>
      <w:pPr>
        <w:spacing w:after="0" w:before="0" w:line="240" w:lineRule="auto"/>
        <w:ind w:left="340"/>
      </w:pPr>
      <w:r>
        <w:rPr>
          <w:rFonts w:ascii="Courier New" w:cs="Courier New" w:eastAsia="Courier New" w:hAnsi="Courier New"/>
          <w:sz w:val="18"/>
          <w:szCs w:val="18"/>
        </w:rPr>
        <w:t xml:space="preserve">public Epargne           getObjectif(int id) // acces par cle</w:t>
      </w:r>
    </w:p>
    <w:p>
      <w:pPr>
        <w:spacing w:after="0" w:before="0" w:line="240" w:lineRule="auto"/>
        <w:ind w:left="340"/>
      </w:pPr>
      <w:r>
        <w:rPr>
          <w:rFonts w:ascii="Courier New" w:cs="Courier New" w:eastAsia="Courier New" w:hAnsi="Courier New"/>
          <w:sz w:val="18"/>
          <w:szCs w:val="18"/>
        </w:rPr>
        <w:t xml:space="preserve">public void ajouterTransaction(Transaction t)</w:t>
      </w:r>
    </w:p>
    <w:p>
      <w:pPr>
        <w:spacing w:after="0" w:before="0" w:line="240" w:lineRule="auto"/>
        <w:ind w:left="340"/>
      </w:pPr>
      <w:r>
        <w:rPr>
          <w:rFonts w:ascii="Courier New" w:cs="Courier New" w:eastAsia="Courier New" w:hAnsi="Courier New"/>
          <w:sz w:val="18"/>
          <w:szCs w:val="18"/>
        </w:rPr>
        <w:t xml:space="preserve">public void retirerTransaction(Transaction t)</w:t>
      </w:r>
    </w:p>
    <w:p>
      <w:pPr>
        <w:spacing w:after="0" w:before="0" w:line="240" w:lineRule="auto"/>
        <w:ind w:left="340"/>
      </w:pPr>
      <w:r>
        <w:rPr>
          <w:rFonts w:ascii="Courier New" w:cs="Courier New" w:eastAsia="Courier New" w:hAnsi="Courier New"/>
          <w:sz w:val="18"/>
          <w:szCs w:val="18"/>
        </w:rPr>
        <w:t xml:space="preserve">public void ajouterObjectif(Epargne e)</w:t>
      </w:r>
    </w:p>
    <w:p>
      <w:pPr>
        <w:spacing w:after="0" w:before="0" w:line="240" w:lineRule="auto"/>
        <w:ind w:left="340"/>
      </w:pPr>
      <w:r>
        <w:rPr>
          <w:rFonts w:ascii="Courier New" w:cs="Courier New" w:eastAsia="Courier New" w:hAnsi="Courier New"/>
          <w:sz w:val="18"/>
          <w:szCs w:val="18"/>
        </w:rPr>
        <w:t xml:space="preserve">public void retirerObjectif(Epargne e)</w:t>
      </w:r>
    </w:p>
    <w:p>
      <w:pPr>
        <w:spacing w:after="0" w:before="0" w:line="240" w:lineRule="auto"/>
        <w:ind w:left="340"/>
      </w:pPr>
      <w:r>
        <w:rPr>
          <w:rFonts w:ascii="Courier New" w:cs="Courier New" w:eastAsia="Courier New" w:hAnsi="Courier New"/>
          <w:sz w:val="18"/>
          <w:szCs w:val="18"/>
        </w:rPr>
        <w:t xml:space="preserve">public int  genererIdTransaction()</w:t>
      </w:r>
    </w:p>
    <w:p>
      <w:pPr>
        <w:spacing w:after="200" w:before="0" w:line="240" w:lineRule="auto"/>
        <w:ind w:left="340"/>
      </w:pPr>
      <w:r>
        <w:rPr>
          <w:rFonts w:ascii="Courier New" w:cs="Courier New" w:eastAsia="Courier New" w:hAnsi="Courier New"/>
          <w:sz w:val="18"/>
          <w:szCs w:val="18"/>
        </w:rPr>
        <w:t xml:space="preserve">public int  genererIdObjectif()</w:t>
      </w:r>
    </w:p>
    <w:p>
      <w:pPr>
        <w:spacing w:after="160" w:before="200" w:line="360" w:lineRule="auto"/>
        <w:jc w:val="both"/>
      </w:pPr>
      <w:r>
        <w:rPr>
          <w:rFonts w:ascii="Times New Roman" w:cs="Times New Roman" w:eastAsia="Times New Roman" w:hAnsi="Times New Roman"/>
          <w:b w:val="false"/>
          <w:bCs w:val="false"/>
          <w:i w:val="false"/>
          <w:iCs w:val="false"/>
          <w:sz w:val="24"/>
          <w:szCs w:val="24"/>
        </w:rPr>
        <w:t xml:space="preserve">getObjectif(int) mérite une justification, car c'est le seul point discutable. C'est un accès à un élément par sa clé, pas un calcul métier : le fait qu'il soit implémenté par une boucle est un détail. Le déplacer dans un service obligerait chaque service à réécrire la même recherche. Le critère qui tranche : une méthode qui répond « lequel ? » reste dans l'entité, une méthode qui répond « combien ? » ou « est-ce que je peux ? » part dans le service.</w:t>
      </w:r>
    </w:p>
    <w:p>
      <w:pPr>
        <w:spacing w:after="160" w:before="0" w:line="360" w:lineRule="auto"/>
        <w:jc w:val="both"/>
      </w:pPr>
      <w:r>
        <w:rPr>
          <w:rFonts w:ascii="Times New Roman" w:cs="Times New Roman" w:eastAsia="Times New Roman" w:hAnsi="Times New Roman"/>
          <w:b w:val="false"/>
          <w:bCs w:val="false"/>
          <w:i w:val="false"/>
          <w:iCs w:val="false"/>
          <w:sz w:val="24"/>
          <w:szCs w:val="24"/>
        </w:rPr>
        <w:t xml:space="preserve">Les compteurs d'identifiants sont des attributs de l'entité, donc sauvegardés. S'ils repartaient de zéro au redémarrage, l'application créerait des doublons d'identifiants.</w:t>
      </w:r>
    </w:p>
    <w:p>
      <w:pPr>
        <w:pStyle w:val="Heading1"/>
        <w:spacing w:after="200" w:before="320" w:line="360" w:lineRule="auto"/>
      </w:pPr>
      <w:r>
        <w:rPr>
          <w:rFonts w:ascii="Times New Roman" w:cs="Times New Roman" w:eastAsia="Times New Roman" w:hAnsi="Times New Roman"/>
          <w:b/>
          <w:bCs/>
          <w:color w:val="000000"/>
          <w:sz w:val="32"/>
          <w:szCs w:val="32"/>
        </w:rPr>
        <w:t xml:space="preserve">5. Les services</w:t>
      </w:r>
    </w:p>
    <w:p>
      <w:pPr>
        <w:spacing w:after="160" w:before="0" w:line="360" w:lineRule="auto"/>
        <w:jc w:val="both"/>
      </w:pPr>
      <w:r>
        <w:rPr>
          <w:rFonts w:ascii="Times New Roman" w:cs="Times New Roman" w:eastAsia="Times New Roman" w:hAnsi="Times New Roman"/>
          <w:b w:val="false"/>
          <w:bCs w:val="false"/>
          <w:i w:val="false"/>
          <w:iCs w:val="false"/>
          <w:sz w:val="24"/>
          <w:szCs w:val="24"/>
        </w:rPr>
        <w:t xml:space="preserve">Un service travaille sur les entités au lieu de vivre dedans. Les dépendances entre services passent par le constructeur, et Main les relie au lancement.</w:t>
      </w:r>
    </w:p>
    <w:p>
      <w:pPr>
        <w:pStyle w:val="Heading2"/>
        <w:spacing w:after="140" w:before="240" w:line="360" w:lineRule="auto"/>
      </w:pPr>
      <w:r>
        <w:rPr>
          <w:rFonts w:ascii="Times New Roman" w:cs="Times New Roman" w:eastAsia="Times New Roman" w:hAnsi="Times New Roman"/>
          <w:b/>
          <w:bCs/>
          <w:color w:val="000000"/>
          <w:sz w:val="28"/>
          <w:szCs w:val="28"/>
        </w:rPr>
        <w:t xml:space="preserve">5.1. ServicePortefeuille</w:t>
      </w:r>
    </w:p>
    <w:p>
      <w:pPr>
        <w:spacing w:after="160" w:before="0" w:line="360" w:lineRule="auto"/>
        <w:jc w:val="both"/>
      </w:pPr>
      <w:r>
        <w:rPr>
          <w:rFonts w:ascii="Times New Roman" w:cs="Times New Roman" w:eastAsia="Times New Roman" w:hAnsi="Times New Roman"/>
          <w:b w:val="false"/>
          <w:bCs w:val="false"/>
          <w:i w:val="false"/>
          <w:iCs w:val="false"/>
          <w:sz w:val="24"/>
          <w:szCs w:val="24"/>
        </w:rPr>
        <w:t>C'est le pivot de l'accès aux données. Il détient l'objet Portefeuille en mémoire et le dépôt de persistance, et il a deux responsabilités : détenir, et relayer chaque écriture vers la base. Le calcul du solde a été extrait dans ServiceSolde, afin que les contrôleurs qui n'ont besoin que d'une valeur ne dépendent pas de la classe qui écrit en base.</w:t>
      </w:r>
    </w:p>
    <w:p>
      <w:pPr>
        <w:spacing w:after="110" w:before="240" w:line="240" w:lineRule="auto"/>
      </w:pPr>
      <w:r>
        <w:rPr>
          <w:rFonts w:ascii="Courier New" w:cs="Courier New" w:eastAsia="Courier New" w:hAnsi="Courier New"/>
          <w:b/>
          <w:bCs/>
          <w:sz w:val="19"/>
          <w:szCs w:val="19"/>
        </w:rPr>
        <w:t xml:space="preserve">public double getSoldeDisponible()</w:t>
      </w:r>
    </w:p>
    <w:p>
      <w:pPr>
        <w:spacing w:after="160" w:before="0" w:line="360" w:lineRule="auto"/>
        <w:jc w:val="both"/>
      </w:pPr>
      <w:r>
        <w:rPr>
          <w:rFonts w:ascii="Times New Roman" w:cs="Times New Roman" w:eastAsia="Times New Roman" w:hAnsi="Times New Roman"/>
          <w:b w:val="false"/>
          <w:bCs w:val="false"/>
          <w:i w:val="false"/>
          <w:iCs w:val="false"/>
          <w:sz w:val="24"/>
          <w:szCs w:val="24"/>
        </w:rPr>
        <w:t xml:space="preserve">Total des revenus, diminué des dépenses et du total épargné. C'est la méthode la plus importante de l'application : tout le reste en dépend. Elle ne stocke rien et recalcule à chaque appel.</w:t>
      </w:r>
    </w:p>
    <w:p>
      <w:pPr>
        <w:spacing w:after="110" w:before="240" w:line="240" w:lineRule="auto"/>
      </w:pPr>
      <w:r>
        <w:rPr>
          <w:rFonts w:ascii="Courier New" w:cs="Courier New" w:eastAsia="Courier New" w:hAnsi="Courier New"/>
          <w:b/>
          <w:bCs/>
          <w:sz w:val="19"/>
          <w:szCs w:val="19"/>
        </w:rPr>
        <w:t xml:space="preserve">public double getTotalEpargne()</w:t>
      </w:r>
    </w:p>
    <w:p>
      <w:pPr>
        <w:spacing w:after="160" w:before="0" w:line="360" w:lineRule="auto"/>
        <w:jc w:val="both"/>
      </w:pPr>
      <w:r>
        <w:rPr>
          <w:rFonts w:ascii="Times New Roman" w:cs="Times New Roman" w:eastAsia="Times New Roman" w:hAnsi="Times New Roman"/>
          <w:b w:val="false"/>
          <w:bCs w:val="false"/>
          <w:i w:val="false"/>
          <w:iCs w:val="false"/>
          <w:sz w:val="24"/>
          <w:szCs w:val="24"/>
        </w:rPr>
        <w:t xml:space="preserve">Somme des montants actuels de tous les objectifs, obtenue par CalculEpargne.</w:t>
      </w:r>
    </w:p>
    <w:p>
      <w:pPr>
        <w:spacing w:after="110" w:before="240" w:line="240" w:lineRule="auto"/>
      </w:pPr>
      <w:r>
        <w:rPr>
          <w:rFonts w:ascii="Courier New" w:cs="Courier New" w:eastAsia="Courier New" w:hAnsi="Courier New"/>
          <w:b/>
          <w:bCs/>
          <w:sz w:val="19"/>
          <w:szCs w:val="19"/>
        </w:rPr>
        <w:t xml:space="preserve">public void sauvegarder()</w:t>
      </w:r>
    </w:p>
    <w:p>
      <w:pPr>
        <w:spacing w:after="160" w:before="0" w:line="360" w:lineRule="auto"/>
        <w:jc w:val="both"/>
      </w:pPr>
      <w:r>
        <w:rPr>
          <w:rFonts w:ascii="Times New Roman" w:cs="Times New Roman" w:eastAsia="Times New Roman" w:hAnsi="Times New Roman"/>
          <w:b w:val="false"/>
          <w:bCs w:val="false"/>
          <w:i w:val="false"/>
          <w:iCs w:val="false"/>
          <w:sz w:val="24"/>
          <w:szCs w:val="24"/>
        </w:rPr>
        <w:t>Huit méthodes enregistrerXxx() relaient chaque opération vers PortefeuilleRepository : ajout, modification et suppression d'une opération, création et suppression d'un objectif, ajout d'un mouvement, activation et désactivation d'une catégorie. Un seul point de passage vers la persistance, donc un seul endroit à modifier si le stockage change.</w:t>
      </w:r>
    </w:p>
    <w:p>
      <w:pPr>
        <w:spacing w:after="110" w:before="240" w:line="240" w:lineRule="auto"/>
      </w:pPr>
      <w:r>
        <w:rPr>
          <w:rFonts w:ascii="Courier New" w:cs="Courier New" w:eastAsia="Courier New" w:hAnsi="Courier New"/>
          <w:b/>
          <w:bCs/>
          <w:sz w:val="19"/>
          <w:szCs w:val="19"/>
        </w:rPr>
        <w:t xml:space="preserve">Portefeuille getDonnees()   // sans modificateur : visibilite de paquet</w:t>
      </w:r>
    </w:p>
    <w:p>
      <w:pPr>
        <w:spacing w:after="160" w:before="0" w:line="360" w:lineRule="auto"/>
        <w:jc w:val="both"/>
      </w:pPr>
      <w:r>
        <w:rPr>
          <w:rFonts w:ascii="Times New Roman" w:cs="Times New Roman" w:eastAsia="Times New Roman" w:hAnsi="Times New Roman"/>
          <w:b w:val="false"/>
          <w:bCs w:val="false"/>
          <w:i w:val="false"/>
          <w:iCs w:val="false"/>
          <w:sz w:val="24"/>
          <w:szCs w:val="24"/>
        </w:rPr>
        <w:t xml:space="preserve">C'est par cette méthode que les autres services accèdent aux listes. Elle est déclarée sans modificateur de visibilité, ce qui la rend accessible aux classes du paquet modele.service et invisible depuis les contrôleurs et les vues. L'interdiction est donc appliquée par le compilateur, et non par une convention.</w:t>
      </w:r>
    </w:p>
    <w:p>
      <w:pPr>
        <w:spacing w:after="160" w:before="0" w:line="360" w:lineRule="auto"/>
        <w:jc w:val="both"/>
      </w:pPr>
      <w:r>
        <w:rPr>
          <w:rFonts w:ascii="Times New Roman" w:cs="Times New Roman" w:eastAsia="Times New Roman" w:hAnsi="Times New Roman"/>
          <w:b w:val="false"/>
          <w:bCs w:val="false"/>
          <w:i w:val="false"/>
          <w:iCs w:val="false"/>
          <w:sz w:val="24"/>
          <w:szCs w:val="24"/>
        </w:rPr>
        <w:t xml:space="preserve">Il n'existe volontairement aucun getPortefeuille() public. Sans cette précaution, un contrôleur pourrait ajouter une transaction sans passer par aucun service, donc sans validation et sans sauvegarde.</w:t>
      </w:r>
    </w:p>
    <w:p>
      <w:pPr>
        <w:pStyle w:val="Heading2"/>
        <w:spacing w:after="140" w:before="240" w:line="360" w:lineRule="auto"/>
      </w:pPr>
      <w:r>
        <w:rPr>
          <w:rFonts w:ascii="Times New Roman" w:cs="Times New Roman" w:eastAsia="Times New Roman" w:hAnsi="Times New Roman"/>
          <w:b/>
          <w:bCs/>
          <w:color w:val="000000"/>
          <w:sz w:val="28"/>
          <w:szCs w:val="28"/>
        </w:rPr>
        <w:t xml:space="preserve">5.2. ServiceTransaction</w:t>
      </w:r>
    </w:p>
    <w:p>
      <w:pPr>
        <w:spacing w:after="110" w:before="240" w:line="240" w:lineRule="auto"/>
      </w:pPr>
      <w:r>
        <w:rPr>
          <w:rFonts w:ascii="Courier New" w:cs="Courier New" w:eastAsia="Courier New" w:hAnsi="Courier New"/>
          <w:b/>
          <w:bCs/>
          <w:sz w:val="19"/>
          <w:szCs w:val="19"/>
        </w:rPr>
        <w:t xml:space="preserve">public void ajouterTransaction(double montant, TypeTransaction type,</w:t>
      </w:r>
    </w:p>
    <w:p>
      <w:pPr>
        <w:spacing w:after="110" w:before="240" w:line="240" w:lineRule="auto"/>
      </w:pPr>
      <w:r>
        <w:rPr>
          <w:rFonts w:ascii="Courier New" w:cs="Courier New" w:eastAsia="Courier New" w:hAnsi="Courier New"/>
          <w:b/>
          <w:bCs/>
          <w:sz w:val="19"/>
          <w:szCs w:val="19"/>
        </w:rPr>
        <w:t xml:space="preserve">                               Categorie categorie, LocalDate date, String description)</w:t>
      </w:r>
    </w:p>
    <w:p>
      <w:pPr>
        <w:spacing w:after="160" w:before="0" w:line="360" w:lineRule="auto"/>
        <w:jc w:val="both"/>
      </w:pPr>
      <w:r>
        <w:rPr>
          <w:rFonts w:ascii="Times New Roman" w:cs="Times New Roman" w:eastAsia="Times New Roman" w:hAnsi="Times New Roman"/>
          <w:b w:val="false"/>
          <w:bCs w:val="false"/>
          <w:i w:val="false"/>
          <w:iCs w:val="false"/>
          <w:sz w:val="24"/>
          <w:szCs w:val="24"/>
        </w:rPr>
        <w:t xml:space="preserve">Vérifie que la catégorie fait partie des catégories actives, construit la transaction avec l'identifiant suivant, l'ajoute au portefeuille, puis déclenche la sauvegarde.</w:t>
      </w:r>
    </w:p>
    <w:p>
      <w:pPr>
        <w:spacing w:after="160" w:before="0" w:line="360" w:lineRule="auto"/>
        <w:jc w:val="both"/>
      </w:pPr>
      <w:r>
        <w:rPr>
          <w:rFonts w:ascii="Times New Roman" w:cs="Times New Roman" w:eastAsia="Times New Roman" w:hAnsi="Times New Roman"/>
          <w:b w:val="false"/>
          <w:bCs w:val="false"/>
          <w:i w:val="false"/>
          <w:iCs w:val="false"/>
          <w:sz w:val="24"/>
          <w:szCs w:val="24"/>
        </w:rPr>
        <w:t xml:space="preserve">Cette méthode n'interdit pas une dépense supérieure au solde : cette situation est autorisée. C'est au contrôleur d'avertir l'utilisateur avant confirmation, en interrogeant le solde au préalable.</w:t>
      </w:r>
    </w:p>
    <w:p>
      <w:pPr>
        <w:spacing w:after="110" w:before="240" w:line="240" w:lineRule="auto"/>
      </w:pPr>
      <w:r>
        <w:rPr>
          <w:rFonts w:ascii="Courier New" w:cs="Courier New" w:eastAsia="Courier New" w:hAnsi="Courier New"/>
          <w:b/>
          <w:bCs/>
          <w:sz w:val="19"/>
          <w:szCs w:val="19"/>
        </w:rPr>
        <w:t xml:space="preserve">public void modifierTransaction(int id, double montant, Categorie categorie,</w:t>
      </w:r>
    </w:p>
    <w:p>
      <w:pPr>
        <w:spacing w:after="110" w:before="240" w:line="240" w:lineRule="auto"/>
      </w:pPr>
      <w:r>
        <w:rPr>
          <w:rFonts w:ascii="Courier New" w:cs="Courier New" w:eastAsia="Courier New" w:hAnsi="Courier New"/>
          <w:b/>
          <w:bCs/>
          <w:sz w:val="19"/>
          <w:szCs w:val="19"/>
        </w:rPr>
        <w:t xml:space="preserve">                                LocalDate date, String description)</w:t>
      </w:r>
    </w:p>
    <w:p>
      <w:pPr>
        <w:spacing w:after="110" w:before="240" w:line="240" w:lineRule="auto"/>
      </w:pPr>
      <w:r>
        <w:rPr>
          <w:rFonts w:ascii="Courier New" w:cs="Courier New" w:eastAsia="Courier New" w:hAnsi="Courier New"/>
          <w:b/>
          <w:bCs/>
          <w:sz w:val="19"/>
          <w:szCs w:val="19"/>
        </w:rPr>
        <w:t xml:space="preserve">public void supprimerTransaction(int id)</w:t>
      </w:r>
    </w:p>
    <w:p>
      <w:pPr>
        <w:spacing w:after="110" w:before="240" w:line="240" w:lineRule="auto"/>
      </w:pPr>
      <w:r>
        <w:rPr>
          <w:rFonts w:ascii="Courier New" w:cs="Courier New" w:eastAsia="Courier New" w:hAnsi="Courier New"/>
          <w:b/>
          <w:bCs/>
          <w:sz w:val="19"/>
          <w:szCs w:val="19"/>
        </w:rPr>
        <w:t xml:space="preserve">public Transaction getTransaction(int id)</w:t>
      </w:r>
    </w:p>
    <w:p>
      <w:pPr>
        <w:spacing w:after="110" w:before="240" w:line="240" w:lineRule="auto"/>
      </w:pPr>
      <w:r>
        <w:rPr>
          <w:rFonts w:ascii="Courier New" w:cs="Courier New" w:eastAsia="Courier New" w:hAnsi="Courier New"/>
          <w:b/>
          <w:bCs/>
          <w:sz w:val="19"/>
          <w:szCs w:val="19"/>
        </w:rPr>
        <w:t xml:space="preserve">public List&lt;Transaction&gt; filtrer(TypeTransaction type, Categorie categorie,</w:t>
      </w:r>
    </w:p>
    <w:p>
      <w:pPr>
        <w:spacing w:after="110" w:before="240" w:line="240" w:lineRule="auto"/>
      </w:pPr>
      <w:r>
        <w:rPr>
          <w:rFonts w:ascii="Courier New" w:cs="Courier New" w:eastAsia="Courier New" w:hAnsi="Courier New"/>
          <w:b/>
          <w:bCs/>
          <w:sz w:val="19"/>
          <w:szCs w:val="19"/>
        </w:rPr>
        <w:t xml:space="preserve">                                 LocalDate debut, LocalDate fin)</w:t>
      </w:r>
    </w:p>
    <w:p>
      <w:pPr>
        <w:spacing w:after="160" w:before="0" w:line="360" w:lineRule="auto"/>
        <w:jc w:val="both"/>
      </w:pPr>
      <w:r>
        <w:rPr>
          <w:rFonts w:ascii="Times New Roman" w:cs="Times New Roman" w:eastAsia="Times New Roman" w:hAnsi="Times New Roman"/>
          <w:b w:val="false"/>
          <w:bCs w:val="false"/>
          <w:i w:val="false"/>
          <w:iCs w:val="false"/>
          <w:sz w:val="24"/>
          <w:szCs w:val="24"/>
        </w:rPr>
        <w:t xml:space="preserve">Dans filtrer, chaque paramètre valant null signifie « pas de filtre sur ce critère », ce qui évite d'écrire une méthode par combinaison.</w:t>
      </w:r>
    </w:p>
    <w:p>
      <w:pPr>
        <w:pStyle w:val="Heading2"/>
        <w:spacing w:after="140" w:before="240" w:line="360" w:lineRule="auto"/>
      </w:pPr>
      <w:r>
        <w:rPr>
          <w:rFonts w:ascii="Times New Roman" w:cs="Times New Roman" w:eastAsia="Times New Roman" w:hAnsi="Times New Roman"/>
          <w:b/>
          <w:bCs/>
          <w:color w:val="000000"/>
          <w:sz w:val="28"/>
          <w:szCs w:val="28"/>
        </w:rPr>
        <w:t xml:space="preserve">5.3. ServiceEpargne</w:t>
      </w:r>
    </w:p>
    <w:p>
      <w:pPr>
        <w:spacing w:after="110" w:before="240" w:line="240" w:lineRule="auto"/>
      </w:pPr>
      <w:r>
        <w:rPr>
          <w:rFonts w:ascii="Courier New" w:cs="Courier New" w:eastAsia="Courier New" w:hAnsi="Courier New"/>
          <w:b/>
          <w:bCs/>
          <w:sz w:val="19"/>
          <w:szCs w:val="19"/>
        </w:rPr>
        <w:t xml:space="preserve">public void creerObjectif(String nom, double montantCible, LocalDate dateLimite)</w:t>
      </w:r>
    </w:p>
    <w:p>
      <w:pPr>
        <w:spacing w:after="110" w:before="240" w:line="240" w:lineRule="auto"/>
      </w:pPr>
      <w:r>
        <w:rPr>
          <w:rFonts w:ascii="Courier New" w:cs="Courier New" w:eastAsia="Courier New" w:hAnsi="Courier New"/>
          <w:b/>
          <w:bCs/>
          <w:sz w:val="19"/>
          <w:szCs w:val="19"/>
        </w:rPr>
        <w:t xml:space="preserve">public void contribuerObjectif(int idObjectif, double montant)</w:t>
      </w:r>
    </w:p>
    <w:p>
      <w:pPr>
        <w:spacing w:after="160" w:before="0" w:line="360" w:lineRule="auto"/>
        <w:jc w:val="both"/>
      </w:pPr>
      <w:r>
        <w:rPr>
          <w:rFonts w:ascii="Times New Roman" w:cs="Times New Roman" w:eastAsia="Times New Roman" w:hAnsi="Times New Roman"/>
          <w:b w:val="false"/>
          <w:bCs w:val="false"/>
          <w:i w:val="false"/>
          <w:iCs w:val="false"/>
          <w:sz w:val="24"/>
          <w:szCs w:val="24"/>
        </w:rPr>
        <w:t xml:space="preserve">Vérifie que le montant ne dépasse pas le solde disponible, construit le mouvement, puis le confie à l'objectif. C'est ici, et nulle part ailleurs, que la règle du coffre est appliquée : seul un service ayant accès au solde peut la faire respecter.</w:t>
      </w:r>
    </w:p>
    <w:p>
      <w:pPr>
        <w:spacing w:after="110" w:before="240" w:line="240" w:lineRule="auto"/>
      </w:pPr>
      <w:r>
        <w:rPr>
          <w:rFonts w:ascii="Courier New" w:cs="Courier New" w:eastAsia="Courier New" w:hAnsi="Courier New"/>
          <w:b/>
          <w:bCs/>
          <w:sz w:val="19"/>
          <w:szCs w:val="19"/>
        </w:rPr>
        <w:t xml:space="preserve">public void retirerObjectif(int idObjectif, double montant)</w:t>
      </w:r>
    </w:p>
    <w:p>
      <w:pPr>
        <w:spacing w:after="160" w:before="0" w:line="360" w:lineRule="auto"/>
        <w:jc w:val="both"/>
      </w:pPr>
      <w:r>
        <w:rPr>
          <w:rFonts w:ascii="Times New Roman" w:cs="Times New Roman" w:eastAsia="Times New Roman" w:hAnsi="Times New Roman"/>
          <w:b w:val="false"/>
          <w:bCs w:val="false"/>
          <w:i w:val="false"/>
          <w:iCs w:val="false"/>
          <w:sz w:val="24"/>
          <w:szCs w:val="24"/>
        </w:rPr>
        <w:t xml:space="preserve">Vérifie que le montant n'excède pas ce que contient l'objectif. L'argent revient mécaniquement au solde disponible, puisque celui-ci est recalculé.</w:t>
      </w:r>
    </w:p>
    <w:p>
      <w:pPr>
        <w:spacing w:after="110" w:before="240" w:line="240" w:lineRule="auto"/>
      </w:pPr>
      <w:r>
        <w:rPr>
          <w:rFonts w:ascii="Courier New" w:cs="Courier New" w:eastAsia="Courier New" w:hAnsi="Courier New"/>
          <w:b/>
          <w:bCs/>
          <w:sz w:val="19"/>
          <w:szCs w:val="19"/>
        </w:rPr>
        <w:t xml:space="preserve">public void supprimerObjectif(int id)</w:t>
      </w:r>
    </w:p>
    <w:p>
      <w:pPr>
        <w:spacing w:after="160" w:before="0" w:line="360" w:lineRule="auto"/>
        <w:jc w:val="both"/>
      </w:pPr>
      <w:r>
        <w:rPr>
          <w:rFonts w:ascii="Times New Roman" w:cs="Times New Roman" w:eastAsia="Times New Roman" w:hAnsi="Times New Roman"/>
          <w:b w:val="false"/>
          <w:bCs w:val="false"/>
          <w:i w:val="false"/>
          <w:iCs w:val="false"/>
          <w:sz w:val="24"/>
          <w:szCs w:val="24"/>
        </w:rPr>
        <w:t xml:space="preserve">Lève une IllegalStateException si l'objectif n'est pas vide, avec le montant restant dans le message pour que le contrôleur puisse le faire afficher.</w:t>
      </w:r>
    </w:p>
    <w:p>
      <w:pPr>
        <w:spacing w:after="110" w:before="240" w:line="240" w:lineRule="auto"/>
      </w:pPr>
      <w:r>
        <w:rPr>
          <w:rFonts w:ascii="Courier New" w:cs="Courier New" w:eastAsia="Courier New" w:hAnsi="Courier New"/>
          <w:b/>
          <w:bCs/>
          <w:sz w:val="19"/>
          <w:szCs w:val="19"/>
        </w:rPr>
        <w:t xml:space="preserve">public double getMontantActuel(Epargne objectif)</w:t>
      </w:r>
    </w:p>
    <w:p>
      <w:pPr>
        <w:spacing w:after="110" w:before="240" w:line="240" w:lineRule="auto"/>
      </w:pPr>
      <w:r>
        <w:rPr>
          <w:rFonts w:ascii="Courier New" w:cs="Courier New" w:eastAsia="Courier New" w:hAnsi="Courier New"/>
          <w:b/>
          <w:bCs/>
          <w:sz w:val="19"/>
          <w:szCs w:val="19"/>
        </w:rPr>
        <w:t xml:space="preserve">public double getPourcentageAtteint(Epargne objectif)</w:t>
      </w:r>
    </w:p>
    <w:p>
      <w:pPr>
        <w:spacing w:after="110" w:before="240" w:line="240" w:lineRule="auto"/>
      </w:pPr>
      <w:r>
        <w:rPr>
          <w:rFonts w:ascii="Courier New" w:cs="Courier New" w:eastAsia="Courier New" w:hAnsi="Courier New"/>
          <w:b/>
          <w:bCs/>
          <w:sz w:val="19"/>
          <w:szCs w:val="19"/>
        </w:rPr>
        <w:t xml:space="preserve">public boolean depasseraCible(Epargne objectif, double montant)</w:t>
      </w:r>
    </w:p>
    <w:p>
      <w:pPr>
        <w:spacing w:after="160" w:before="0" w:line="360" w:lineRule="auto"/>
        <w:jc w:val="both"/>
      </w:pPr>
      <w:r>
        <w:rPr>
          <w:rFonts w:ascii="Times New Roman" w:cs="Times New Roman" w:eastAsia="Times New Roman" w:hAnsi="Times New Roman"/>
          <w:b w:val="false"/>
          <w:bCs w:val="false"/>
          <w:i w:val="false"/>
          <w:iCs w:val="false"/>
          <w:sz w:val="24"/>
          <w:szCs w:val="24"/>
        </w:rPr>
        <w:t xml:space="preserve">Ces trois méthodes calculent, elles ne décident pas. Le contrôleur interroge depasseraCible puis décide d'avertir et de laisser confirmer : le calcul est du métier, la décision est de l'enchaînement.</w:t>
      </w:r>
    </w:p>
    <w:p>
      <w:pPr>
        <w:pStyle w:val="Heading2"/>
        <w:spacing w:after="140" w:before="240" w:line="360" w:lineRule="auto"/>
      </w:pPr>
      <w:r>
        <w:rPr>
          <w:rFonts w:ascii="Times New Roman" w:cs="Times New Roman" w:eastAsia="Times New Roman" w:hAnsi="Times New Roman"/>
          <w:b/>
          <w:bCs/>
          <w:color w:val="000000"/>
          <w:sz w:val="28"/>
          <w:szCs w:val="28"/>
        </w:rPr>
        <w:t xml:space="preserve">5.4. ServiceCategorie, ServiceStatistique et CalculEpargne</w:t>
      </w:r>
    </w:p>
    <w:p>
      <w:pPr>
        <w:spacing w:after="110" w:before="240" w:line="240" w:lineRule="auto"/>
      </w:pPr>
      <w:r>
        <w:rPr>
          <w:rFonts w:ascii="Courier New" w:cs="Courier New" w:eastAsia="Courier New" w:hAnsi="Courier New"/>
          <w:b/>
          <w:bCs/>
          <w:sz w:val="19"/>
          <w:szCs w:val="19"/>
        </w:rPr>
        <w:t xml:space="preserve">public void activerCategorie(Categorie c)</w:t>
      </w:r>
    </w:p>
    <w:p>
      <w:pPr>
        <w:spacing w:after="110" w:before="240" w:line="240" w:lineRule="auto"/>
      </w:pPr>
      <w:r>
        <w:rPr>
          <w:rFonts w:ascii="Courier New" w:cs="Courier New" w:eastAsia="Courier New" w:hAnsi="Courier New"/>
          <w:b/>
          <w:bCs/>
          <w:sz w:val="19"/>
          <w:szCs w:val="19"/>
        </w:rPr>
        <w:t xml:space="preserve">public void desactiverCategorie(Categorie c)</w:t>
      </w:r>
    </w:p>
    <w:p>
      <w:pPr>
        <w:spacing w:after="110" w:before="240" w:line="240" w:lineRule="auto"/>
      </w:pPr>
      <w:r>
        <w:rPr>
          <w:rFonts w:ascii="Courier New" w:cs="Courier New" w:eastAsia="Courier New" w:hAnsi="Courier New"/>
          <w:b/>
          <w:bCs/>
          <w:sz w:val="19"/>
          <w:szCs w:val="19"/>
        </w:rPr>
        <w:t xml:space="preserve">public List&lt;Categorie&gt; getCategoriesActivesDeType(TypeTransaction type)</w:t>
      </w:r>
    </w:p>
    <w:p>
      <w:pPr>
        <w:spacing w:after="110" w:before="240" w:line="240" w:lineRule="auto"/>
      </w:pPr>
      <w:r>
        <w:rPr>
          <w:rFonts w:ascii="Courier New" w:cs="Courier New" w:eastAsia="Courier New" w:hAnsi="Courier New"/>
          <w:b/>
          <w:bCs/>
          <w:sz w:val="19"/>
          <w:szCs w:val="19"/>
        </w:rPr>
        <w:t xml:space="preserve">public List&lt;Categorie&gt; getCategoriesDisponibles()</w:t>
      </w:r>
    </w:p>
    <w:p>
      <w:pPr>
        <w:spacing w:after="160" w:before="0" w:line="360" w:lineRule="auto"/>
        <w:jc w:val="both"/>
      </w:pPr>
      <w:r>
        <w:rPr>
          <w:rFonts w:ascii="Times New Roman" w:cs="Times New Roman" w:eastAsia="Times New Roman" w:hAnsi="Times New Roman"/>
          <w:b w:val="false"/>
          <w:bCs w:val="false"/>
          <w:i w:val="false"/>
          <w:iCs w:val="false"/>
          <w:sz w:val="24"/>
          <w:szCs w:val="24"/>
        </w:rPr>
        <w:t xml:space="preserve">La désactivation ne touche pas aux transactions déjà enregistrées : la catégorie disparaît seulement des choix futurs. Ces deux opérations modifient des données, elles déclenchent donc la sauvegarde.</w:t>
      </w:r>
    </w:p>
    <w:p>
      <w:pPr>
        <w:spacing w:after="110" w:before="240" w:line="240" w:lineRule="auto"/>
      </w:pPr>
      <w:r>
        <w:rPr>
          <w:rFonts w:ascii="Courier New" w:cs="Courier New" w:eastAsia="Courier New" w:hAnsi="Courier New"/>
          <w:b/>
          <w:bCs/>
          <w:sz w:val="19"/>
          <w:szCs w:val="19"/>
        </w:rPr>
        <w:t xml:space="preserve">public Map&lt;Categorie, Double&gt; getTotalParCategorie(LocalDate debut, LocalDate fin)</w:t>
      </w:r>
    </w:p>
    <w:p>
      <w:pPr>
        <w:spacing w:after="110" w:before="240" w:line="240" w:lineRule="auto"/>
      </w:pPr>
      <w:r>
        <w:rPr>
          <w:rFonts w:ascii="Courier New" w:cs="Courier New" w:eastAsia="Courier New" w:hAnsi="Courier New"/>
          <w:b/>
          <w:bCs/>
          <w:sz w:val="19"/>
          <w:szCs w:val="19"/>
        </w:rPr>
        <w:t xml:space="preserve">public double[] getTotalRevenusEtDepenses(LocalDate debut, LocalDate fin)</w:t>
      </w:r>
    </w:p>
    <w:p>
      <w:pPr>
        <w:spacing w:after="160" w:before="0" w:line="360" w:lineRule="auto"/>
        <w:jc w:val="both"/>
      </w:pPr>
      <w:r>
        <w:rPr>
          <w:rFonts w:ascii="Times New Roman" w:cs="Times New Roman" w:eastAsia="Times New Roman" w:hAnsi="Times New Roman"/>
          <w:b w:val="false"/>
          <w:bCs w:val="false"/>
          <w:i w:val="false"/>
          <w:iCs w:val="false"/>
          <w:sz w:val="24"/>
          <w:szCs w:val="24"/>
        </w:rPr>
        <w:t xml:space="preserve">Les statistiques ne portent que sur les transactions. Les mouvements d'épargne en sont exclus : déplacer de l'argent vers un objectif n'est pas une dépense, et les compter fausserait le résultat.</w:t>
      </w:r>
    </w:p>
    <w:p>
      <w:pPr>
        <w:spacing w:after="110" w:before="240" w:line="240" w:lineRule="auto"/>
      </w:pPr>
      <w:r>
        <w:rPr>
          <w:rFonts w:ascii="Courier New" w:cs="Courier New" w:eastAsia="Courier New" w:hAnsi="Courier New"/>
          <w:b/>
          <w:bCs/>
          <w:sz w:val="19"/>
          <w:szCs w:val="19"/>
        </w:rPr>
        <w:t xml:space="preserve">static double calculerMontantActuel(Epargne objectif)   // CalculEpargne</w:t>
      </w:r>
    </w:p>
    <w:p>
      <w:pPr>
        <w:spacing w:after="160" w:before="0" w:line="360" w:lineRule="auto"/>
        <w:jc w:val="both"/>
      </w:pPr>
      <w:r>
        <w:rPr>
          <w:rFonts w:ascii="Times New Roman" w:cs="Times New Roman" w:eastAsia="Times New Roman" w:hAnsi="Times New Roman"/>
          <w:b w:val="false"/>
          <w:bCs w:val="false"/>
          <w:i w:val="false"/>
          <w:iCs w:val="false"/>
          <w:sz w:val="24"/>
          <w:szCs w:val="24"/>
        </w:rPr>
        <w:t xml:space="preserve">Classe utilitaire sans état, méthode statique, constructeur privé. Elle existe pour que le calcul du montant épargné n'ait qu'un seul emplacement : ServiceEpargne et ServicePortefeuille en ont tous deux besoin, et le dupliquer produirait tôt ou tard un écart entre le montant affiché d'un objectif et le total épargné.</w:t>
      </w:r>
    </w:p>
    <w:p>
      <w:pPr>
        <w:pStyle w:val="Heading1"/>
        <w:spacing w:after="200" w:before="320" w:line="360" w:lineRule="auto"/>
      </w:pPr>
      <w:r>
        <w:rPr>
          <w:rFonts w:ascii="Times New Roman" w:cs="Times New Roman" w:eastAsia="Times New Roman" w:hAnsi="Times New Roman"/>
          <w:b/>
          <w:bCs/>
          <w:color w:val="000000"/>
          <w:sz w:val="32"/>
          <w:szCs w:val="32"/>
        </w:rPr>
        <w:t>6. La persistance PostgreSQL</w:t>
      </w:r>
    </w:p>
    <w:p>
      <w:pPr>
        <w:spacing w:after="160" w:before="0" w:line="360" w:lineRule="auto"/>
        <w:jc w:val="both"/>
      </w:pPr>
      <w:r>
        <w:rPr>
          <w:rFonts w:ascii="Times New Roman" w:cs="Times New Roman" w:eastAsia="Times New Roman" w:hAnsi="Times New Roman"/>
          <w:b w:val="false"/>
          <w:bCs w:val="false"/>
          <w:i w:val="false"/>
          <w:iCs w:val="false"/>
          <w:sz w:val="24"/>
          <w:szCs w:val="24"/>
        </w:rPr>
        <w:t>Trois classes composent la couche de persistance. PortefeuilleRepository est l'interface que le métier connaît. GestionnairePostgreSQL l'implémente en JDBC. ConnexionBaseDeDonnees ouvre la connexion à partir de paramètres lus dans un fichier non versionné, jamais écrits en dur dans le code.</w:t>
      </w:r>
    </w:p>
    <w:p>
      <w:pPr>
        <w:spacing w:after="110" w:before="240" w:line="240" w:lineRule="auto"/>
      </w:pPr>
      <w:r>
        <w:rPr>
          <w:rFonts w:ascii="Courier New" w:cs="Courier New" w:eastAsia="Courier New" w:hAnsi="Courier New"/>
          <w:b/>
          <w:bCs/>
          <w:sz w:val="19"/>
          <w:szCs w:val="19"/>
        </w:rPr>
        <w:t>Portefeuille charger()</w:t>
      </w:r>
    </w:p>
    <w:p>
      <w:pPr>
        <w:spacing w:after="160" w:before="0" w:line="360" w:lineRule="auto"/>
        <w:jc w:val="both"/>
      </w:pPr>
      <w:r>
        <w:rPr>
          <w:rFonts w:ascii="Times New Roman" w:cs="Times New Roman" w:eastAsia="Times New Roman" w:hAnsi="Times New Roman"/>
          <w:b w:val="false"/>
          <w:bCs w:val="false"/>
          <w:i w:val="false"/>
          <w:iCs w:val="false"/>
          <w:sz w:val="24"/>
          <w:szCs w:val="24"/>
        </w:rPr>
        <w:t>Lit les quatre tables au démarrage et reconstruit le portefeuille en mémoire. C'est la seule lecture globale de l'application : tout le reste passe par des écritures ciblées.</w:t>
      </w:r>
    </w:p>
    <w:p>
      <w:pPr>
        <w:spacing w:after="110" w:before="240" w:line="240" w:lineRule="auto"/>
      </w:pPr>
      <w:r>
        <w:rPr>
          <w:rFonts w:ascii="Courier New" w:cs="Courier New" w:eastAsia="Courier New" w:hAnsi="Courier New"/>
          <w:b/>
          <w:bCs/>
          <w:sz w:val="19"/>
          <w:szCs w:val="19"/>
        </w:rPr>
        <w:t>int ajouterTransaction(...)   void supprimerTransaction(int id)</w:t>
      </w:r>
    </w:p>
    <w:p>
      <w:pPr>
        <w:spacing w:after="160" w:before="0" w:line="360" w:lineRule="auto"/>
        <w:jc w:val="both"/>
      </w:pPr>
      <w:r>
        <w:rPr>
          <w:rFonts w:ascii="Times New Roman" w:cs="Times New Roman" w:eastAsia="Times New Roman" w:hAnsi="Times New Roman"/>
          <w:b w:val="false"/>
          <w:bCs w:val="false"/>
          <w:i w:val="false"/>
          <w:iCs w:val="false"/>
          <w:sz w:val="24"/>
          <w:szCs w:val="24"/>
        </w:rPr>
        <w:t>Chaque mutation a sa méthode, au lieu d'une sauvegarde globale. Réécrire toutes les tables à chaque ajout d'une opération ferait grossir chaque écriture avec la taille de l'historique. Les méthodes d'ajout renvoient l'identifiant généré par la base, obtenu par la clause RETURNING id.</w:t>
      </w:r>
    </w:p>
    <w:p>
      <w:pPr>
        <w:spacing w:after="160" w:before="0" w:line="360" w:lineRule="auto"/>
        <w:jc w:val="both"/>
      </w:pPr>
      <w:r>
        <w:rPr>
          <w:rFonts w:ascii="Times New Roman" w:cs="Times New Roman" w:eastAsia="Times New Roman" w:hAnsi="Times New Roman"/>
          <w:b w:val="false"/>
          <w:bCs w:val="false"/>
          <w:i w:val="false"/>
          <w:iCs w:val="false"/>
          <w:sz w:val="24"/>
          <w:szCs w:val="24"/>
        </w:rPr>
        <w:t>L'ordre d'écriture a été inversé par rapport au stockage en fichier : on persiste d'abord, on met à jour la mémoire ensuite. Si l'écriture échoue, rien n'a été modifié nulle part — il n'y a plus d'écart possible entre la mémoire et la base, donc plus besoin de proposer une nouvelle tentative.</w:t>
      </w:r>
    </w:p>
    <w:p>
      <w:pPr>
        <w:spacing w:after="160" w:before="0" w:line="360" w:lineRule="auto"/>
        <w:jc w:val="both"/>
      </w:pPr>
      <w:r>
        <w:rPr>
          <w:rFonts w:ascii="Times New Roman" w:cs="Times New Roman" w:eastAsia="Times New Roman" w:hAnsi="Times New Roman"/>
          <w:b w:val="false"/>
          <w:bCs w:val="false"/>
          <w:i w:val="false"/>
          <w:iCs w:val="false"/>
          <w:sz w:val="24"/>
          <w:szCs w:val="24"/>
        </w:rPr>
        <w:t>Quatre règles techniques ne sont jamais négociables dans cette couche.</w:t>
      </w:r>
    </w:p>
    <w:p>
      <w:pPr>
        <w:spacing w:after="0" w:before="160" w:line="240" w:lineRule="auto"/>
        <w:ind w:left="340"/>
      </w:pPr>
      <w:r>
        <w:rPr>
          <w:rFonts w:ascii="Courier New" w:cs="Courier New" w:eastAsia="Courier New" w:hAnsi="Courier New"/>
          <w:sz w:val="18"/>
          <w:szCs w:val="18"/>
        </w:rPr>
        <w:t>PreparedStatement pstmt = connexion.prepareStatement(</w:t>
      </w:r>
    </w:p>
    <w:p>
      <w:pPr>
        <w:spacing w:after="0" w:before="0" w:line="240" w:lineRule="auto"/>
        <w:ind w:left="340"/>
      </w:pPr>
      <w:r>
        <w:rPr>
          <w:rFonts w:ascii="Courier New" w:cs="Courier New" w:eastAsia="Courier New" w:hAnsi="Courier New"/>
          <w:sz w:val="18"/>
          <w:szCs w:val="18"/>
        </w:rPr>
        <w:t xml:space="preserve">        "INSERT INTO transaction_financiere (montant, type, categorie, "</w:t>
      </w:r>
    </w:p>
    <w:p>
      <w:pPr>
        <w:spacing w:after="0" w:before="0" w:line="240" w:lineRule="auto"/>
        <w:ind w:left="340"/>
      </w:pPr>
      <w:r>
        <w:rPr>
          <w:rFonts w:ascii="Courier New" w:cs="Courier New" w:eastAsia="Courier New" w:hAnsi="Courier New"/>
          <w:sz w:val="18"/>
          <w:szCs w:val="18"/>
        </w:rPr>
        <w:t xml:space="preserve">      + "date_op, description) VALUES (?, ?, ?, ?, ?) RETURNING id");</w:t>
      </w:r>
    </w:p>
    <w:p>
      <w:pPr>
        <w:spacing w:after="0" w:before="0" w:line="240" w:lineRule="auto"/>
        <w:ind w:left="340"/>
      </w:pPr>
      <w:r>
        <w:rPr>
          <w:rFonts w:ascii="Courier New" w:cs="Courier New" w:eastAsia="Courier New" w:hAnsi="Courier New"/>
          <w:sz w:val="18"/>
          <w:szCs w:val="18"/>
        </w:rPr>
        <w:t>pstmt.setDouble(1, montant);</w:t>
      </w:r>
    </w:p>
    <w:p>
      <w:pPr>
        <w:spacing w:after="200" w:before="0" w:line="240" w:lineRule="auto"/>
        <w:ind w:left="340"/>
      </w:pPr>
      <w:r>
        <w:rPr>
          <w:rFonts w:ascii="Courier New" w:cs="Courier New" w:eastAsia="Courier New" w:hAnsi="Courier New"/>
          <w:sz w:val="18"/>
          <w:szCs w:val="18"/>
        </w:rPr>
        <w:t>pstmt.setString(2, type.name());</w:t>
      </w:r>
    </w:p>
    <w:p>
      <w:pPr>
        <w:spacing w:after="160" w:before="0" w:line="360" w:lineRule="auto"/>
        <w:jc w:val="both"/>
      </w:pPr>
      <w:r>
        <w:rPr>
          <w:rFonts w:ascii="Times New Roman" w:cs="Times New Roman" w:eastAsia="Times New Roman" w:hAnsi="Times New Roman"/>
          <w:b w:val="false"/>
          <w:bCs w:val="false"/>
          <w:i w:val="false"/>
          <w:iCs w:val="false"/>
          <w:sz w:val="24"/>
          <w:szCs w:val="24"/>
        </w:rPr>
        <w:t>Toujours des requêtes préparées, jamais de SQL construit par concaténation de chaînes : c'est ce qui protège de l'injection SQL. Toujours un try-with-resources, pour que connexions et résultats soient refermés même en cas d'erreur. Toujours java.sql.Date.valueOf pour convertir une LocalDate, jamais une chaîne formatée à la main. Et toute SQLException est traduite en ErreurChargementException ou ErreurSauvegardeException : aucun message SQL brut ne doit atteindre l'utilisateur.</w:t>
      </w:r>
    </w:p>
    <w:p>
      <w:pPr>
        <w:pStyle w:val="Heading1"/>
        <w:spacing w:after="200" w:before="320" w:line="360" w:lineRule="auto"/>
      </w:pPr>
      <w:r>
        <w:rPr>
          <w:rFonts w:ascii="Times New Roman" w:cs="Times New Roman" w:eastAsia="Times New Roman" w:hAnsi="Times New Roman"/>
          <w:b/>
          <w:bCs/>
          <w:color w:val="000000"/>
          <w:sz w:val="32"/>
          <w:szCs w:val="32"/>
        </w:rPr>
        <w:t xml:space="preserve">7. Les vues</w:t>
      </w:r>
    </w:p>
    <w:p>
      <w:pPr>
        <w:spacing w:after="160" w:before="0" w:line="360" w:lineRule="auto"/>
        <w:jc w:val="both"/>
      </w:pPr>
      <w:r>
        <w:rPr>
          <w:rFonts w:ascii="Times New Roman" w:cs="Times New Roman" w:eastAsia="Times New Roman" w:hAnsi="Times New Roman"/>
          <w:b w:val="false"/>
          <w:bCs w:val="false"/>
          <w:i w:val="false"/>
          <w:iCs w:val="false"/>
          <w:sz w:val="24"/>
          <w:szCs w:val="24"/>
        </w:rPr>
        <w:t xml:space="preserve">Une vue affiche et lit les saisies. Elle ne calcule rien, ne décide de rien, et n'appelle aucun service. Elle peut recevoir une entité pour en lire les getters, mais jamais déclencher un traitement.</w:t>
      </w:r>
    </w:p>
    <w:p>
      <w:pPr>
        <w:spacing w:after="160" w:before="0" w:line="360" w:lineRule="auto"/>
        <w:jc w:val="both"/>
      </w:pPr>
      <w:r>
        <w:rPr>
          <w:rFonts w:ascii="Times New Roman" w:cs="Times New Roman" w:eastAsia="Times New Roman" w:hAnsi="Times New Roman"/>
          <w:b w:val="false"/>
          <w:bCs w:val="false"/>
          <w:i w:val="false"/>
          <w:iCs w:val="false"/>
          <w:sz w:val="24"/>
          <w:szCs w:val="24"/>
        </w:rPr>
        <w:t xml:space="preserve">VueConsole porte les briques réutilisées partout, dont les vues spécialisées héritent :</w:t>
      </w:r>
    </w:p>
    <w:p>
      <w:pPr>
        <w:spacing w:after="0" w:before="120" w:line="240" w:lineRule="auto"/>
        <w:ind w:left="340"/>
      </w:pPr>
      <w:r>
        <w:rPr>
          <w:rFonts w:ascii="Courier New" w:cs="Courier New" w:eastAsia="Courier New" w:hAnsi="Courier New"/>
          <w:sz w:val="18"/>
          <w:szCs w:val="18"/>
        </w:rPr>
        <w:t xml:space="preserve">public String  lireLigne(String message)</w:t>
      </w:r>
    </w:p>
    <w:p>
      <w:pPr>
        <w:spacing w:after="0" w:before="0" w:line="240" w:lineRule="auto"/>
        <w:ind w:left="340"/>
      </w:pPr>
      <w:r>
        <w:rPr>
          <w:rFonts w:ascii="Courier New" w:cs="Courier New" w:eastAsia="Courier New" w:hAnsi="Courier New"/>
          <w:sz w:val="18"/>
          <w:szCs w:val="18"/>
        </w:rPr>
        <w:t xml:space="preserve">public int     lireEntier(String message)</w:t>
      </w:r>
    </w:p>
    <w:p>
      <w:pPr>
        <w:spacing w:after="0" w:before="0" w:line="240" w:lineRule="auto"/>
        <w:ind w:left="340"/>
      </w:pPr>
      <w:r>
        <w:rPr>
          <w:rFonts w:ascii="Courier New" w:cs="Courier New" w:eastAsia="Courier New" w:hAnsi="Courier New"/>
          <w:sz w:val="18"/>
          <w:szCs w:val="18"/>
        </w:rPr>
        <w:t xml:space="preserve">public double  lireMontant(String message)</w:t>
      </w:r>
    </w:p>
    <w:p>
      <w:pPr>
        <w:spacing w:after="0" w:before="0" w:line="240" w:lineRule="auto"/>
        <w:ind w:left="340"/>
      </w:pPr>
      <w:r>
        <w:rPr>
          <w:rFonts w:ascii="Courier New" w:cs="Courier New" w:eastAsia="Courier New" w:hAnsi="Courier New"/>
          <w:sz w:val="18"/>
          <w:szCs w:val="18"/>
        </w:rPr>
        <w:t xml:space="preserve">public LocalDate lireDate(String message)</w:t>
      </w:r>
    </w:p>
    <w:p>
      <w:pPr>
        <w:spacing w:after="0" w:before="0" w:line="240" w:lineRule="auto"/>
        <w:ind w:left="340"/>
      </w:pPr>
      <w:r>
        <w:rPr>
          <w:rFonts w:ascii="Courier New" w:cs="Courier New" w:eastAsia="Courier New" w:hAnsi="Courier New"/>
          <w:sz w:val="18"/>
          <w:szCs w:val="18"/>
        </w:rPr>
        <w:t xml:space="preserve">public boolean confirmer(String message)</w:t>
      </w:r>
    </w:p>
    <w:p>
      <w:pPr>
        <w:spacing w:after="0" w:before="0" w:line="240" w:lineRule="auto"/>
        <w:ind w:left="340"/>
      </w:pPr>
      <w:r>
        <w:rPr>
          <w:rFonts w:ascii="Courier New" w:cs="Courier New" w:eastAsia="Courier New" w:hAnsi="Courier New"/>
          <w:sz w:val="18"/>
          <w:szCs w:val="18"/>
        </w:rPr>
        <w:t xml:space="preserve">public void    afficherMessage(String message)</w:t>
      </w:r>
    </w:p>
    <w:p>
      <w:pPr>
        <w:spacing w:after="200" w:before="0" w:line="240" w:lineRule="auto"/>
        <w:ind w:left="340"/>
      </w:pPr>
      <w:r>
        <w:rPr>
          <w:rFonts w:ascii="Courier New" w:cs="Courier New" w:eastAsia="Courier New" w:hAnsi="Courier New"/>
          <w:sz w:val="18"/>
          <w:szCs w:val="18"/>
        </w:rPr>
        <w:t xml:space="preserve">public void    afficherErreur(String message)</w:t>
      </w:r>
    </w:p>
    <w:p>
      <w:pPr>
        <w:spacing w:after="160" w:before="0" w:line="360" w:lineRule="auto"/>
        <w:jc w:val="both"/>
      </w:pPr>
      <w:r>
        <w:rPr>
          <w:rFonts w:ascii="Times New Roman" w:cs="Times New Roman" w:eastAsia="Times New Roman" w:hAnsi="Times New Roman"/>
          <w:b w:val="false"/>
          <w:bCs w:val="false"/>
          <w:i w:val="false"/>
          <w:iCs w:val="false"/>
          <w:sz w:val="24"/>
          <w:szCs w:val="24"/>
        </w:rPr>
        <w:t xml:space="preserve">Ces méthodes méritent d'être écrites en premier : elles sont réutilisées partout et évitent de répéter la même boucle de saisie dans chaque écran.</w:t>
      </w:r>
    </w:p>
    <w:p>
      <w:pPr>
        <w:spacing w:after="160" w:before="0" w:line="360" w:lineRule="auto"/>
        <w:jc w:val="both"/>
      </w:pPr>
      <w:r>
        <w:rPr>
          <w:rFonts w:ascii="Times New Roman" w:cs="Times New Roman" w:eastAsia="Times New Roman" w:hAnsi="Times New Roman"/>
          <w:b w:val="false"/>
          <w:bCs w:val="false"/>
          <w:i w:val="false"/>
          <w:iCs w:val="false"/>
          <w:sz w:val="24"/>
          <w:szCs w:val="24"/>
        </w:rPr>
        <w:t xml:space="preserve">Deux points d'attention. La saisie se lit intégralement avec nextLine puis se convertit : mélanger nextInt et nextLine laisse le retour à la ligne dans le tampon et provoque des sauts de saisie déroutants. Et le Scanner doit être unique et partagé : deux Scanner ouverts sur System.in se volent mutuellement des lignes.</w:t>
      </w:r>
    </w:p>
    <w:p>
      <w:pPr>
        <w:spacing w:after="160" w:before="0" w:line="360" w:lineRule="auto"/>
        <w:jc w:val="both"/>
      </w:pPr>
      <w:r>
        <w:rPr>
          <w:rFonts w:ascii="Times New Roman" w:cs="Times New Roman" w:eastAsia="Times New Roman" w:hAnsi="Times New Roman"/>
          <w:b w:val="false"/>
          <w:bCs w:val="false"/>
          <w:i w:val="false"/>
          <w:iCs w:val="false"/>
          <w:sz w:val="24"/>
          <w:szCs w:val="24"/>
        </w:rPr>
        <w:t xml:space="preserve">Les vues spécialisées, VuePrincipale, VueTransaction, VueEpargne, VueCategorie et VueStatistique, portent les textes et la mise en forme de leur écran. Tout message destiné à l'utilisateur se trouve dans une vue, sans exception : c'est ce qui permet de modifier une formulation, ou de traduire l'application, en ne touchant qu'un seul endroit.</w:t>
      </w:r>
    </w:p>
    <w:p>
      <w:pPr>
        <w:pStyle w:val="Heading1"/>
        <w:spacing w:after="200" w:before="320" w:line="360" w:lineRule="auto"/>
      </w:pPr>
      <w:r>
        <w:rPr>
          <w:rFonts w:ascii="Times New Roman" w:cs="Times New Roman" w:eastAsia="Times New Roman" w:hAnsi="Times New Roman"/>
          <w:b/>
          <w:bCs/>
          <w:color w:val="000000"/>
          <w:sz w:val="32"/>
          <w:szCs w:val="32"/>
        </w:rPr>
        <w:t xml:space="preserve">8. Les contrôleurs</w:t>
      </w:r>
    </w:p>
    <w:p>
      <w:pPr>
        <w:spacing w:after="160" w:before="0" w:line="360" w:lineRule="auto"/>
        <w:jc w:val="both"/>
      </w:pPr>
      <w:r>
        <w:rPr>
          <w:rFonts w:ascii="Times New Roman" w:cs="Times New Roman" w:eastAsia="Times New Roman" w:hAnsi="Times New Roman"/>
          <w:b w:val="false"/>
          <w:bCs w:val="false"/>
          <w:i w:val="false"/>
          <w:iCs w:val="false"/>
          <w:sz w:val="24"/>
          <w:szCs w:val="24"/>
        </w:rPr>
        <w:t xml:space="preserve">Un contrôleur enchaîne : il demande une saisie à la vue, appelle le service concerné, récupère le résultat et le transmet à la vue pour affichage. Il ne contient aucun calcul, aucune règle métier, et aucune chaîne de caractères destinée à l'utilisateur.</w:t>
      </w:r>
    </w:p>
    <w:p>
      <w:pPr>
        <w:spacing w:after="160" w:before="0" w:line="360" w:lineRule="auto"/>
        <w:jc w:val="both"/>
      </w:pPr>
      <w:r>
        <w:rPr>
          <w:rFonts w:ascii="Times New Roman" w:cs="Times New Roman" w:eastAsia="Times New Roman" w:hAnsi="Times New Roman"/>
          <w:b w:val="false"/>
          <w:bCs w:val="false"/>
          <w:i w:val="false"/>
          <w:iCs w:val="false"/>
          <w:sz w:val="24"/>
          <w:szCs w:val="24"/>
        </w:rPr>
        <w:t xml:space="preserve">ControleurPrincipal tient la boucle du menu et aiguille vers les autres. Les contrôleurs spécialisés couvrent chacun leur domaine : transactions, épargne, catégories, statistiques.</w:t>
      </w:r>
    </w:p>
    <w:p>
      <w:pPr>
        <w:spacing w:after="160" w:before="240" w:line="360" w:lineRule="auto"/>
        <w:jc w:val="both"/>
      </w:pPr>
      <w:r>
        <w:rPr>
          <w:rFonts w:ascii="Times New Roman" w:cs="Times New Roman" w:eastAsia="Times New Roman" w:hAnsi="Times New Roman"/>
          <w:b/>
          <w:bCs/>
          <w:i w:val="false"/>
          <w:iCs w:val="false"/>
          <w:sz w:val="24"/>
          <w:szCs w:val="24"/>
        </w:rPr>
        <w:t xml:space="preserve">Ce qui appartient bien au contrôleur</w:t>
      </w:r>
    </w:p>
    <w:p>
      <w:pPr>
        <w:pStyle w:val="ListParagraph"/>
        <w:numPr>
          <w:ilvl w:val="0"/>
          <w:numId w:val="2"/>
        </w:numPr>
        <w:spacing w:after="100" w:line="360" w:lineRule="auto"/>
        <w:jc w:val="both"/>
      </w:pPr>
      <w:r>
        <w:rPr>
          <w:rFonts w:ascii="Times New Roman" w:cs="Times New Roman" w:eastAsia="Times New Roman" w:hAnsi="Times New Roman"/>
          <w:sz w:val="24"/>
          <w:szCs w:val="24"/>
        </w:rPr>
        <w:t xml:space="preserve">Décider d'avertir l'utilisateur qu'une dépense rend le solde négatif, puis lui laisser confirmer.</w:t>
      </w:r>
    </w:p>
    <w:p>
      <w:pPr>
        <w:pStyle w:val="ListParagraph"/>
        <w:numPr>
          <w:ilvl w:val="0"/>
          <w:numId w:val="2"/>
        </w:numPr>
        <w:spacing w:after="100" w:line="360" w:lineRule="auto"/>
        <w:jc w:val="both"/>
      </w:pPr>
      <w:r>
        <w:rPr>
          <w:rFonts w:ascii="Times New Roman" w:cs="Times New Roman" w:eastAsia="Times New Roman" w:hAnsi="Times New Roman"/>
          <w:sz w:val="24"/>
          <w:szCs w:val="24"/>
        </w:rPr>
        <w:t xml:space="preserve">Décider de proposer une nouvelle tentative après un échec de sauvegarde.</w:t>
      </w:r>
    </w:p>
    <w:p>
      <w:pPr>
        <w:pStyle w:val="ListParagraph"/>
        <w:numPr>
          <w:ilvl w:val="0"/>
          <w:numId w:val="2"/>
        </w:numPr>
        <w:spacing w:after="100" w:line="360" w:lineRule="auto"/>
        <w:jc w:val="both"/>
      </w:pPr>
      <w:r>
        <w:rPr>
          <w:rFonts w:ascii="Times New Roman" w:cs="Times New Roman" w:eastAsia="Times New Roman" w:hAnsi="Times New Roman"/>
          <w:sz w:val="24"/>
          <w:szCs w:val="24"/>
        </w:rPr>
        <w:t xml:space="preserve">Restreindre les choix proposés : à la modification d'une transaction, ne proposer que les catégories actives du bon type, pour ne pas offrir une option que le service refuserait ensuite.</w:t>
      </w:r>
    </w:p>
    <w:p>
      <w:pPr>
        <w:spacing w:after="160" w:before="240" w:line="360" w:lineRule="auto"/>
        <w:jc w:val="both"/>
      </w:pPr>
      <w:r>
        <w:rPr>
          <w:rFonts w:ascii="Times New Roman" w:cs="Times New Roman" w:eastAsia="Times New Roman" w:hAnsi="Times New Roman"/>
          <w:b/>
          <w:bCs/>
          <w:i w:val="false"/>
          <w:iCs w:val="false"/>
          <w:sz w:val="24"/>
          <w:szCs w:val="24"/>
        </w:rPr>
        <w:t xml:space="preserve">Ce qui n'y appartient pas</w:t>
      </w:r>
    </w:p>
    <w:p>
      <w:pPr>
        <w:pStyle w:val="ListParagraph"/>
        <w:numPr>
          <w:ilvl w:val="0"/>
          <w:numId w:val="2"/>
        </w:numPr>
        <w:spacing w:after="100" w:line="360" w:lineRule="auto"/>
        <w:jc w:val="both"/>
      </w:pPr>
      <w:r>
        <w:rPr>
          <w:rFonts w:ascii="Times New Roman" w:cs="Times New Roman" w:eastAsia="Times New Roman" w:hAnsi="Times New Roman"/>
          <w:sz w:val="24"/>
          <w:szCs w:val="24"/>
        </w:rPr>
        <w:t xml:space="preserve">Tout calcul : le solde, le montant d'un objectif et le dépassement de cible viennent des services.</w:t>
      </w:r>
    </w:p>
    <w:p>
      <w:pPr>
        <w:pStyle w:val="ListParagraph"/>
        <w:numPr>
          <w:ilvl w:val="0"/>
          <w:numId w:val="2"/>
        </w:numPr>
        <w:spacing w:after="100" w:line="360" w:lineRule="auto"/>
        <w:jc w:val="both"/>
      </w:pPr>
      <w:r>
        <w:rPr>
          <w:rFonts w:ascii="Times New Roman" w:cs="Times New Roman" w:eastAsia="Times New Roman" w:hAnsi="Times New Roman"/>
          <w:sz w:val="24"/>
          <w:szCs w:val="24"/>
        </w:rPr>
        <w:t xml:space="preserve">Tout texte affiché, y compris un message fixe.</w:t>
      </w:r>
    </w:p>
    <w:p>
      <w:pPr>
        <w:pStyle w:val="ListParagraph"/>
        <w:numPr>
          <w:ilvl w:val="0"/>
          <w:numId w:val="2"/>
        </w:numPr>
        <w:spacing w:after="100" w:line="360" w:lineRule="auto"/>
        <w:jc w:val="both"/>
      </w:pPr>
      <w:r>
        <w:rPr>
          <w:rFonts w:ascii="Times New Roman" w:cs="Times New Roman" w:eastAsia="Times New Roman" w:hAnsi="Times New Roman"/>
          <w:sz w:val="24"/>
          <w:szCs w:val="24"/>
        </w:rPr>
        <w:t xml:space="preserve">Toute référence directe à l'entité Portefeuille.</w:t>
      </w:r>
    </w:p>
    <w:p>
      <w:pPr>
        <w:spacing w:after="160" w:before="240" w:line="360" w:lineRule="auto"/>
        <w:jc w:val="both"/>
      </w:pPr>
      <w:r>
        <w:rPr>
          <w:rFonts w:ascii="Times New Roman" w:cs="Times New Roman" w:eastAsia="Times New Roman" w:hAnsi="Times New Roman"/>
          <w:b w:val="false"/>
          <w:bCs w:val="false"/>
          <w:i w:val="false"/>
          <w:iCs w:val="false"/>
          <w:sz w:val="24"/>
          <w:szCs w:val="24"/>
        </w:rPr>
        <w:t xml:space="preserve">Les contrôleurs attrapent les exceptions remontées par les services et demandent à la vue d'afficher le message. Aucune trace d'exception ne doit jamais atteindre l'utilisateur : le message d'une exception se transmet par getMessage(), jamais l'objet complet.</w:t>
      </w:r>
    </w:p>
    <w:p>
      <w:pPr>
        <w:pStyle w:val="Heading1"/>
        <w:spacing w:after="200" w:before="320" w:line="360" w:lineRule="auto"/>
      </w:pPr>
      <w:r>
        <w:rPr>
          <w:rFonts w:ascii="Times New Roman" w:cs="Times New Roman" w:eastAsia="Times New Roman" w:hAnsi="Times New Roman"/>
          <w:b/>
          <w:bCs/>
          <w:color w:val="000000"/>
          <w:sz w:val="32"/>
          <w:szCs w:val="32"/>
        </w:rPr>
        <w:t xml:space="preserve">9. Ordre d'implémentation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4300"/>
        <w:gridCol w:w="3626"/>
      </w:tblGrid>
      <w:tr>
        <w:tc>
          <w:tcPr>
            <w:tcW w:type="dxa" w:w="1100"/>
            <w:shd w:fill="D9D9D9" w:color="auto" w:val="clear"/>
            <w:tcMar>
              <w:top w:type="dxa" w:w="100"/>
              <w:left w:type="dxa" w:w="120"/>
              <w:bottom w:type="dxa" w:w="100"/>
              <w:right w:type="dxa" w:w="120"/>
            </w:tcMar>
          </w:tcPr>
          <w:p>
            <w:pPr>
              <w:spacing w:after="0" w:line="240" w:lineRule="auto"/>
            </w:pPr>
            <w:r>
              <w:rPr>
                <w:rFonts w:ascii="Times New Roman" w:cs="Times New Roman" w:eastAsia="Times New Roman" w:hAnsi="Times New Roman"/>
                <w:b/>
                <w:bCs/>
                <w:sz w:val="24"/>
                <w:szCs w:val="24"/>
              </w:rPr>
              <w:t xml:space="preserve">Sprint</w:t>
            </w:r>
          </w:p>
        </w:tc>
        <w:tc>
          <w:tcPr>
            <w:tcW w:type="dxa" w:w="4300"/>
            <w:shd w:fill="D9D9D9" w:color="auto" w:val="clear"/>
            <w:tcMar>
              <w:top w:type="dxa" w:w="100"/>
              <w:left w:type="dxa" w:w="120"/>
              <w:bottom w:type="dxa" w:w="100"/>
              <w:right w:type="dxa" w:w="120"/>
            </w:tcMar>
          </w:tcPr>
          <w:p>
            <w:pPr>
              <w:spacing w:after="0" w:line="240" w:lineRule="auto"/>
            </w:pPr>
            <w:r>
              <w:rPr>
                <w:rFonts w:ascii="Times New Roman" w:cs="Times New Roman" w:eastAsia="Times New Roman" w:hAnsi="Times New Roman"/>
                <w:b/>
                <w:bCs/>
                <w:sz w:val="24"/>
                <w:szCs w:val="24"/>
              </w:rPr>
              <w:t xml:space="preserve">À écrire</w:t>
            </w:r>
          </w:p>
        </w:tc>
        <w:tc>
          <w:tcPr>
            <w:tcW w:type="dxa" w:w="3626"/>
            <w:shd w:fill="D9D9D9" w:color="auto" w:val="clear"/>
            <w:tcMar>
              <w:top w:type="dxa" w:w="100"/>
              <w:left w:type="dxa" w:w="120"/>
              <w:bottom w:type="dxa" w:w="100"/>
              <w:right w:type="dxa" w:w="120"/>
            </w:tcMar>
          </w:tcPr>
          <w:p>
            <w:pPr>
              <w:spacing w:after="0" w:line="240" w:lineRule="auto"/>
            </w:pPr>
            <w:r>
              <w:rPr>
                <w:rFonts w:ascii="Times New Roman" w:cs="Times New Roman" w:eastAsia="Times New Roman" w:hAnsi="Times New Roman"/>
                <w:b/>
                <w:bCs/>
                <w:sz w:val="24"/>
                <w:szCs w:val="24"/>
              </w:rPr>
              <w:t xml:space="preserve">Vérifiable quand</w:t>
            </w:r>
          </w:p>
        </w:tc>
      </w:tr>
      <w:tr>
        <w:tc>
          <w:tcPr>
            <w:tcW w:type="dxa" w:w="1100"/>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1</w:t>
            </w:r>
          </w:p>
        </w:tc>
        <w:tc>
          <w:tcPr>
            <w:tcW w:type="dxa" w:w="4300"/>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Entités, énumérations, ServicePortefeuille</w:t>
            </w:r>
          </w:p>
        </w:tc>
        <w:tc>
          <w:tcPr>
            <w:tcW w:type="dxa" w:w="3626"/>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Le solde se calcule à partir de données créées en dur dans Main</w:t>
            </w:r>
          </w:p>
        </w:tc>
      </w:tr>
      <w:tr>
        <w:tc>
          <w:tcPr>
            <w:tcW w:type="dxa" w:w="1100"/>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2</w:t>
            </w:r>
          </w:p>
        </w:tc>
        <w:tc>
          <w:tcPr>
            <w:tcW w:type="dxa" w:w="4300"/>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VueConsole, VuePrincipale, ControleurPrincipal, ServiceTransaction</w:t>
            </w:r>
          </w:p>
        </w:tc>
        <w:tc>
          <w:tcPr>
            <w:tcW w:type="dxa" w:w="3626"/>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L'application s'utilise au clavier, données perdues à la fermeture</w:t>
            </w:r>
          </w:p>
        </w:tc>
      </w:tr>
      <w:tr>
        <w:tc>
          <w:tcPr>
            <w:tcW w:type="dxa" w:w="1100"/>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3</w:t>
            </w:r>
          </w:p>
        </w:tc>
        <w:tc>
          <w:tcPr>
            <w:tcW w:type="dxa" w:w="4300"/>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ServiceCategorie, filtres, modification, suppression</w:t>
            </w:r>
          </w:p>
        </w:tc>
        <w:tc>
          <w:tcPr>
            <w:tcW w:type="dxa" w:w="3626"/>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L'historique se filtre et se corrige</w:t>
            </w:r>
          </w:p>
        </w:tc>
      </w:tr>
      <w:tr>
        <w:tc>
          <w:tcPr>
            <w:tcW w:type="dxa" w:w="1100"/>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4</w:t>
            </w:r>
          </w:p>
        </w:tc>
        <w:tc>
          <w:tcPr>
            <w:tcW w:type="dxa" w:w="4300"/>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Epargne, MouvementEpargne, ServiceEpargne, CalculEpargne</w:t>
            </w:r>
          </w:p>
        </w:tc>
        <w:tc>
          <w:tcPr>
            <w:tcW w:type="dxa" w:w="3626"/>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Une contribution diminue le solde disponible</w:t>
            </w:r>
          </w:p>
        </w:tc>
      </w:tr>
      <w:tr>
        <w:tc>
          <w:tcPr>
            <w:tcW w:type="dxa" w:w="1100"/>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5</w:t>
            </w:r>
          </w:p>
        </w:tc>
        <w:tc>
          <w:tcPr>
            <w:tcW w:type="dxa" w:w="4300"/>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PortefeuilleRepository, GestionnairePostgreSQL, schéma SQL et Docker</w:t>
            </w:r>
          </w:p>
        </w:tc>
        <w:tc>
          <w:tcPr>
            <w:tcW w:type="dxa" w:w="3626"/>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Les données sont retrouvées au relancement, et visibles dans pgAdmin</w:t>
            </w:r>
          </w:p>
        </w:tc>
      </w:tr>
      <w:tr>
        <w:tc>
          <w:tcPr>
            <w:tcW w:type="dxa" w:w="1100"/>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6</w:t>
            </w:r>
          </w:p>
        </w:tc>
        <w:tc>
          <w:tcPr>
            <w:tcW w:type="dxa" w:w="4300"/>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ServiceStatistique, messages d'erreur, finitions</w:t>
            </w:r>
          </w:p>
        </w:tc>
        <w:tc>
          <w:tcPr>
            <w:tcW w:type="dxa" w:w="3626"/>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Tous les cas des fiches sont couverts</w:t>
            </w:r>
          </w:p>
        </w:tc>
      </w:tr>
    </w:tbl>
    <w:p>
      <w:pPr>
        <w:spacing w:after="160" w:before="0" w:line="360" w:lineRule="auto"/>
        <w:jc w:val="both"/>
      </w:pPr>
      <w:r>
        <w:rPr>
          <w:rFonts w:ascii="Times New Roman" w:cs="Times New Roman" w:eastAsia="Times New Roman" w:hAnsi="Times New Roman"/>
          <w:b w:val="false"/>
          <w:bCs w:val="false"/>
          <w:i w:val="false"/>
          <w:iCs w:val="false"/>
          <w:sz w:val="24"/>
          <w:szCs w:val="24"/>
        </w:rPr>
        <w:t xml:space="preserve">Une consigne pour la suite : à la fin de chaque sprint, reprendre les fiches de cas d'utilisation et vérifier les scénarios d'erreur un par un. C'est là que se trouvent les oublis, jamais dans le scénario nominal.</w:t>
      </w:r>
    </w:p>
    <w:p>
      <w:pPr>
        <w:pStyle w:val="Heading1"/>
        <w:spacing w:after="200" w:before="320" w:line="360" w:lineRule="auto"/>
      </w:pPr>
      <w:r>
        <w:rPr>
          <w:rFonts w:ascii="Times New Roman" w:cs="Times New Roman" w:eastAsia="Times New Roman" w:hAnsi="Times New Roman"/>
          <w:b/>
          <w:bCs/>
          <w:color w:val="000000"/>
          <w:sz w:val="32"/>
          <w:szCs w:val="32"/>
        </w:rPr>
        <w:t xml:space="preserve">10. Vérifier que l'architecture tient</w:t>
      </w:r>
    </w:p>
    <w:p>
      <w:pPr>
        <w:spacing w:after="160" w:before="0" w:line="360" w:lineRule="auto"/>
        <w:jc w:val="both"/>
      </w:pPr>
      <w:r>
        <w:rPr>
          <w:rFonts w:ascii="Times New Roman" w:cs="Times New Roman" w:eastAsia="Times New Roman" w:hAnsi="Times New Roman"/>
          <w:b w:val="false"/>
          <w:bCs w:val="false"/>
          <w:i w:val="false"/>
          <w:iCs w:val="false"/>
          <w:sz w:val="24"/>
          <w:szCs w:val="24"/>
        </w:rPr>
        <w:t xml:space="preserve">Deux recherches suffisent à prouver mécaniquement que la séparation est respectée, et elles valent mieux qu'une relecture :</w:t>
      </w:r>
    </w:p>
    <w:p>
      <w:pPr>
        <w:spacing w:after="0" w:before="120" w:line="240" w:lineRule="auto"/>
        <w:ind w:left="340"/>
      </w:pPr>
      <w:r>
        <w:rPr>
          <w:rFonts w:ascii="Courier New" w:cs="Courier New" w:eastAsia="Courier New" w:hAnsi="Courier New"/>
          <w:sz w:val="18"/>
          <w:szCs w:val="18"/>
        </w:rPr>
        <w:t>grep -rn "import application.service.implementation" src/presentation/</w:t>
      </w:r>
    </w:p>
    <w:p>
      <w:pPr>
        <w:spacing w:after="200" w:before="0" w:line="240" w:lineRule="auto"/>
        <w:ind w:left="340"/>
      </w:pPr>
      <w:r>
        <w:rPr>
          <w:rFonts w:ascii="Courier New" w:cs="Courier New" w:eastAsia="Courier New" w:hAnsi="Courier New"/>
          <w:sz w:val="18"/>
          <w:szCs w:val="18"/>
        </w:rPr>
        <w:t>grep -rn "import presentation\." src/domain/ src/application/ src/infrastructure/</w:t>
      </w:r>
    </w:p>
    <w:p>
      <w:pPr>
        <w:spacing w:after="160" w:before="0" w:line="360" w:lineRule="auto"/>
        <w:jc w:val="both"/>
      </w:pPr>
      <w:r>
        <w:rPr>
          <w:rFonts w:ascii="Times New Roman" w:cs="Times New Roman" w:eastAsia="Times New Roman" w:hAnsi="Times New Roman"/>
          <w:b w:val="false"/>
          <w:bCs w:val="false"/>
          <w:i w:val="false"/>
          <w:iCs w:val="false"/>
          <w:sz w:val="24"/>
          <w:szCs w:val="24"/>
        </w:rPr>
        <w:t>Les deux doivent ne rien renvoyer. La première vérifie qu'aucune vue n'appelle directement une implémentation de service, la seconde qu'aucune classe du modèle ne connaît la présentation.</w:t>
      </w:r>
    </w:p>
    <w:p>
      <w:pPr>
        <w:spacing w:after="160" w:before="0" w:line="360" w:lineRule="auto"/>
        <w:jc w:val="both"/>
      </w:pPr>
      <w:r>
        <w:rPr>
          <w:rFonts w:ascii="Times New Roman" w:cs="Times New Roman" w:eastAsia="Times New Roman" w:hAnsi="Times New Roman"/>
          <w:b w:val="false"/>
          <w:bCs w:val="false"/>
          <w:i w:val="false"/>
          <w:iCs w:val="false"/>
          <w:sz w:val="24"/>
          <w:szCs w:val="24"/>
        </w:rPr>
        <w:t xml:space="preserve">Trois autres vérifications se font à l'œil, fichier par fichier : aucun System.out ni Scanner dans une classe de modele, aucun System.out dans un contrôleur, aucune chaîne destinée à l'utilisateur dans un contrôleur.</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2026-08-20T14:00:52.537Z</dcterms:created>
  <dcterms:modified xsi:type="dcterms:W3CDTF">2026-08-20T14:00:52.538Z</dcterms:modified>
</cp:coreProperties>
</file>

<file path=docProps/custom.xml><?xml version="1.0" encoding="utf-8"?>
<Properties xmlns="http://schemas.openxmlformats.org/officeDocument/2006/custom-properties" xmlns:vt="http://schemas.openxmlformats.org/officeDocument/2006/docPropsVTypes"/>
</file>