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none" w:color="FFFFFF" w:sz="0"/>
              <w:left w:val="none" w:color="FFFFFF" w:sz="0"/>
              <w:bottom w:val="none" w:color="FFFFFF" w:sz="0"/>
              <w:right w:val="none" w:color="FFFFFF" w:sz="0"/>
            </w:tcBorders>
            <w:shd w:fill="1A5276" w:val="clear"/>
            <w:tcMar>
              <w:top w:type="dxa" w:w="600"/>
              <w:left w:type="dxa" w:w="500"/>
              <w:bottom w:type="dxa" w:w="600"/>
              <w:right w:type="dxa" w:w="500"/>
            </w:tcMar>
          </w:tcPr>
          <w:p>
            <w:pPr>
              <w:spacing w:after="120" w:before="200"/>
              <w:jc w:val="center"/>
            </w:pPr>
            <w:r>
              <w:rPr>
                <w:rFonts w:ascii="Arial" w:cs="Arial" w:eastAsia="Arial" w:hAnsi="Arial"/>
                <w:b/>
                <w:bCs/>
                <w:color w:val="FFFFFF"/>
                <w:sz w:val="22"/>
                <w:szCs w:val="22"/>
              </w:rPr>
              <w:t xml:space="preserve">ORGANISATION AFRICAINE DE LA</w:t>
            </w:r>
          </w:p>
          <w:p>
            <w:pPr>
              <w:spacing w:after="200" w:before="0"/>
              <w:jc w:val="center"/>
            </w:pPr>
            <w:r>
              <w:rPr>
                <w:rFonts w:ascii="Arial" w:cs="Arial" w:eastAsia="Arial" w:hAnsi="Arial"/>
                <w:b/>
                <w:bCs/>
                <w:color w:val="FFFFFF"/>
                <w:sz w:val="22"/>
                <w:szCs w:val="22"/>
              </w:rPr>
              <w:t xml:space="preserve">PROPRIÉTÉ INTELLECTUELLE (OAPI)</w:t>
            </w:r>
          </w:p>
          <w:p>
            <w:pPr>
              <w:spacing w:after="80" w:before="100"/>
              <w:jc w:val="center"/>
            </w:pPr>
            <w:r>
              <w:rPr>
                <w:rFonts w:ascii="Arial" w:cs="Arial" w:eastAsia="Arial" w:hAnsi="Arial"/>
                <w:color w:val="D5F5E3"/>
                <w:sz w:val="20"/>
                <w:szCs w:val="20"/>
              </w:rPr>
              <w:t xml:space="preserve">───────────────────────────────</w:t>
            </w:r>
          </w:p>
          <w:p>
            <w:pPr>
              <w:spacing w:after="100" w:before="200"/>
              <w:jc w:val="center"/>
            </w:pPr>
            <w:r>
              <w:rPr>
                <w:rFonts w:ascii="Arial" w:cs="Arial" w:eastAsia="Arial" w:hAnsi="Arial"/>
                <w:b/>
                <w:bCs/>
                <w:color w:val="D5F5E3"/>
                <w:sz w:val="36"/>
                <w:szCs w:val="36"/>
              </w:rPr>
              <w:t xml:space="preserve">EXPOSÉ SUR LES</w:t>
            </w:r>
          </w:p>
          <w:p>
            <w:pPr>
              <w:spacing w:after="100" w:before="0"/>
              <w:jc w:val="center"/>
            </w:pPr>
            <w:r>
              <w:rPr>
                <w:rFonts w:ascii="Arial" w:cs="Arial" w:eastAsia="Arial" w:hAnsi="Arial"/>
                <w:b/>
                <w:bCs/>
                <w:color w:val="FFFFFF"/>
                <w:sz w:val="40"/>
                <w:szCs w:val="40"/>
              </w:rPr>
              <w:t xml:space="preserve">INDICATIONS GÉOGRAPHIQUES</w:t>
            </w:r>
          </w:p>
          <w:p>
            <w:pPr>
              <w:spacing w:after="200" w:before="100"/>
              <w:jc w:val="center"/>
            </w:pPr>
            <w:r>
              <w:rPr>
                <w:rFonts w:ascii="Arial" w:cs="Arial" w:eastAsia="Arial" w:hAnsi="Arial"/>
                <w:b w:val="false"/>
                <w:bCs w:val="false"/>
                <w:color w:val="D5F5E3"/>
                <w:sz w:val="24"/>
                <w:szCs w:val="24"/>
              </w:rPr>
              <w:t xml:space="preserve">Fondé sur l'Accord de Bangui révisé</w:t>
            </w:r>
          </w:p>
          <w:p>
            <w:pPr>
              <w:spacing w:after="200" w:before="200"/>
              <w:jc w:val="center"/>
            </w:pPr>
            <w:r>
              <w:rPr>
                <w:rFonts w:ascii="Arial" w:cs="Arial" w:eastAsia="Arial" w:hAnsi="Arial"/>
                <w:color w:val="D5F5E3"/>
                <w:sz w:val="20"/>
                <w:szCs w:val="20"/>
              </w:rPr>
              <w:t xml:space="preserve">───────────────────────────────</w:t>
            </w:r>
          </w:p>
          <w:p>
            <w:pPr>
              <w:spacing w:after="80" w:before="100"/>
              <w:jc w:val="center"/>
            </w:pPr>
            <w:r>
              <w:rPr>
                <w:rFonts w:ascii="Arial" w:cs="Arial" w:eastAsia="Arial" w:hAnsi="Arial"/>
                <w:color w:val="D5F5E3"/>
                <w:sz w:val="22"/>
                <w:szCs w:val="22"/>
              </w:rPr>
              <w:t xml:space="preserve">Annexe VI – Indications Géographiques</w:t>
            </w:r>
          </w:p>
          <w:p>
            <w:pPr>
              <w:spacing w:after="400" w:before="40"/>
              <w:jc w:val="center"/>
            </w:pPr>
            <w:r>
              <w:rPr>
                <w:rFonts w:ascii="Arial" w:cs="Arial" w:eastAsia="Arial" w:hAnsi="Arial"/>
                <w:color w:val="ABEBC6"/>
                <w:sz w:val="20"/>
                <w:szCs w:val="20"/>
              </w:rPr>
              <w:t xml:space="preserve">Accord de Bangui du 2 mars 1977, révisé le 24 février 1999</w:t>
            </w:r>
          </w:p>
        </w:tc>
      </w:tr>
    </w:tbl>
    <w:p>
      <w:pPr>
        <w:spacing w:after="200" w:before="0"/>
      </w:pPr>
      <w:r>
        <w:t xml:space="preserve"/>
      </w:r>
    </w:p>
    <w:p>
      <w:pPr>
        <w:pStyle w:val="Heading1"/>
        <w:pBdr>
          <w:bottom w:val="single" w:color="1E8449" w:sz="6" w:space="4"/>
        </w:pBdr>
        <w:spacing w:after="180" w:before="360"/>
      </w:pPr>
      <w:r>
        <w:rPr>
          <w:rFonts w:ascii="Arial" w:cs="Arial" w:eastAsia="Arial" w:hAnsi="Arial"/>
          <w:b/>
          <w:bCs/>
          <w:color w:val="1A5276"/>
          <w:sz w:val="28"/>
          <w:szCs w:val="28"/>
        </w:rPr>
        <w:t xml:space="preserve">INTRODUCTION</w:t>
      </w:r>
    </w:p>
    <w:p>
      <w:pPr>
        <w:spacing w:after="100" w:before="0"/>
      </w:pPr>
      <w:r>
        <w:t xml:space="preserve"/>
      </w:r>
    </w:p>
    <w:p>
      <w:pPr>
        <w:spacing w:after="80" w:before="80" w:line="360"/>
        <w:jc w:val="both"/>
      </w:pPr>
      <w:r>
        <w:rPr>
          <w:rFonts w:ascii="Arial" w:cs="Arial" w:eastAsia="Arial" w:hAnsi="Arial"/>
          <w:color w:val="2C3E50"/>
          <w:sz w:val="22"/>
          <w:szCs w:val="22"/>
        </w:rPr>
        <w:t xml:space="preserve">Les indications géographiques (IG) constituent l'un des instruments les plus puissants du droit de la propriété intellectuelle pour valoriser les produits d'origine locale. Elles permettent d'identifier un produit comme étant originaire d'un territoire déterminé, lorsqu'une qualité, réputation ou autre caractéristique de ce produit peut être essentiellement attribuée à cette origine géographique.</w:t>
      </w:r>
    </w:p>
    <w:p>
      <w:pPr>
        <w:spacing w:after="100" w:before="0"/>
      </w:pPr>
      <w:r>
        <w:t xml:space="preserve"/>
      </w:r>
    </w:p>
    <w:p>
      <w:pPr>
        <w:spacing w:after="80" w:before="80" w:line="360"/>
        <w:jc w:val="both"/>
      </w:pPr>
      <w:r>
        <w:rPr>
          <w:rFonts w:ascii="Arial" w:cs="Arial" w:eastAsia="Arial" w:hAnsi="Arial"/>
          <w:color w:val="2C3E50"/>
          <w:sz w:val="22"/>
          <w:szCs w:val="22"/>
        </w:rPr>
        <w:t xml:space="preserve">Dans le contexte africain, et plus particulièrement pour les États membres de l'Organisation Africaine de la Propriété Intellectuelle (OAPI), c'est l'Accord de Bangui qui constitue le cadre juridique de référence. Cet accord multilatéral, conclu le 2 mars 1977 et révisé le 24 février 1999, harmonise la protection de la propriété intellectuelle dans 17 États membres d'Afrique subsaharienne francophone. L'Annexe VI de cet accord est entièrement consacrée aux indications géographiques.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1E8449" w:sz="12"/>
              <w:left w:val="single" w:color="1E8449" w:sz="12"/>
              <w:bottom w:val="single" w:color="CCCCCC" w:sz="1"/>
              <w:right w:val="single" w:color="CCCCCC" w:sz="1"/>
            </w:tcBorders>
            <w:shd w:fill="EBF5FB" w:val="clear"/>
            <w:tcMar>
              <w:top w:type="dxa" w:w="160"/>
              <w:left w:type="dxa" w:w="200"/>
              <w:bottom w:type="dxa" w:w="160"/>
              <w:right w:type="dxa" w:w="200"/>
            </w:tcMar>
          </w:tcPr>
          <w:p>
            <w:pPr>
              <w:spacing w:after="80" w:before="40"/>
            </w:pPr>
            <w:r>
              <w:rPr>
                <w:rFonts w:ascii="Arial" w:cs="Arial" w:eastAsia="Arial" w:hAnsi="Arial"/>
                <w:b/>
                <w:bCs/>
                <w:color w:val="1A5276"/>
                <w:sz w:val="22"/>
                <w:szCs w:val="22"/>
              </w:rPr>
              <w:t xml:space="preserve">Périmètre de l'exposé</w:t>
            </w:r>
          </w:p>
          <w:p>
            <w:pPr>
              <w:spacing w:after="40" w:before="40" w:line="340"/>
              <w:jc w:val="both"/>
            </w:pPr>
            <w:r>
              <w:rPr>
                <w:rFonts w:ascii="Arial" w:cs="Arial" w:eastAsia="Arial" w:hAnsi="Arial"/>
                <w:color w:val="2C3E50"/>
                <w:sz w:val="21"/>
                <w:szCs w:val="21"/>
              </w:rPr>
              <w:t xml:space="preserve">Cet exposé examine les indications géographiques telles qu'elles sont définies, organisées et protégées par l'Accord de Bangui révisé (1999), en s'appuyant sur l'Annexe VI. Il abordera successivement : le cadre général et institutionnel, les définitions fondamentales, les conditions de protection, les procédures d'enregistrement, les effets de la protection, les limitations et exceptions, ainsi que les mécanismes de sanction.</w:t>
            </w:r>
          </w:p>
        </w:tc>
      </w:tr>
    </w:tbl>
    <w:p>
      <w:pPr>
        <w:spacing w:after="200" w:before="0"/>
      </w:pPr>
      <w:r>
        <w:t xml:space="preserve"/>
      </w:r>
    </w:p>
    <w:p>
      <w:pPr>
        <w:pStyle w:val="Heading1"/>
        <w:pBdr>
          <w:bottom w:val="single" w:color="1E8449" w:sz="6" w:space="4"/>
        </w:pBdr>
        <w:spacing w:after="180" w:before="360"/>
      </w:pPr>
      <w:r>
        <w:rPr>
          <w:rFonts w:ascii="Arial" w:cs="Arial" w:eastAsia="Arial" w:hAnsi="Arial"/>
          <w:b/>
          <w:bCs/>
          <w:color w:val="1A5276"/>
          <w:sz w:val="28"/>
          <w:szCs w:val="28"/>
        </w:rPr>
        <w:t xml:space="preserve">PARTIE I — CADRE GÉNÉRAL ET INSTITUTIONNEL</w:t>
      </w:r>
    </w:p>
    <w:p>
      <w:pPr>
        <w:spacing w:after="100" w:before="0"/>
      </w:pPr>
      <w:r>
        <w:t xml:space="preserve"/>
      </w:r>
    </w:p>
    <w:p>
      <w:pPr>
        <w:pStyle w:val="Heading2"/>
        <w:spacing w:after="120" w:before="280"/>
      </w:pPr>
      <w:r>
        <w:rPr>
          <w:rFonts w:ascii="Arial" w:cs="Arial" w:eastAsia="Arial" w:hAnsi="Arial"/>
          <w:b/>
          <w:bCs/>
          <w:color w:val="1E8449"/>
          <w:sz w:val="24"/>
          <w:szCs w:val="24"/>
        </w:rPr>
        <w:t xml:space="preserve">1.1. L'Accord de Bangui : contexte et objectifs</w:t>
      </w:r>
    </w:p>
    <w:p>
      <w:pPr>
        <w:spacing w:after="80" w:before="80" w:line="360"/>
        <w:jc w:val="both"/>
      </w:pPr>
      <w:r>
        <w:rPr>
          <w:rFonts w:ascii="Arial" w:cs="Arial" w:eastAsia="Arial" w:hAnsi="Arial"/>
          <w:color w:val="2C3E50"/>
          <w:sz w:val="22"/>
          <w:szCs w:val="22"/>
        </w:rPr>
        <w:t xml:space="preserve">L'Accord de Bangui est l'instrument fondateur de l'OAPI, organisation intergouvernementale qui tient lieu à la fois d'office national de propriété industrielle pour chacun des États membres et d'office commun. La révision de 1999, entrée en vigueur en 2002, a notamment introduit des dispositions conformes à l'Accord sur les aspects des droits de propriété intellectuelle qui touchent au commerce (ADPIC/TRIPS) de l'OMC.</w:t>
      </w:r>
    </w:p>
    <w:p>
      <w:pPr>
        <w:spacing w:after="100" w:before="0"/>
      </w:pPr>
      <w:r>
        <w:t xml:space="preserve"/>
      </w:r>
    </w:p>
    <w:p>
      <w:pPr>
        <w:spacing w:after="80" w:before="80" w:line="360"/>
        <w:jc w:val="both"/>
      </w:pPr>
      <w:r>
        <w:rPr>
          <w:rFonts w:ascii="Arial" w:cs="Arial" w:eastAsia="Arial" w:hAnsi="Arial"/>
          <w:color w:val="2C3E50"/>
          <w:sz w:val="22"/>
          <w:szCs w:val="22"/>
        </w:rPr>
        <w:t xml:space="preserve">Les 17 États membres actuels de l'OAPI sont : le Bénin, le Burkina Faso, le Cameroun, la Centrafrique, les Comores, le Congo, la Côte d'Ivoire, le Gabon, la Guinée, la Guinée-Bissau, la Guinée équatoriale, le Mali, la Mauritanie, le Niger, le Sénégal, le Tchad et le Togo.</w:t>
      </w:r>
    </w:p>
    <w:p>
      <w:pPr>
        <w:spacing w:after="100" w:before="0"/>
      </w:pPr>
      <w:r>
        <w:t xml:space="preserve"/>
      </w:r>
    </w:p>
    <w:p>
      <w:pPr>
        <w:pStyle w:val="Heading2"/>
        <w:spacing w:after="120" w:before="280"/>
      </w:pPr>
      <w:r>
        <w:rPr>
          <w:rFonts w:ascii="Arial" w:cs="Arial" w:eastAsia="Arial" w:hAnsi="Arial"/>
          <w:b/>
          <w:bCs/>
          <w:color w:val="1E8449"/>
          <w:sz w:val="24"/>
          <w:szCs w:val="24"/>
        </w:rPr>
        <w:t xml:space="preserve">1.2. L'Annexe VI : source primaire des indications géographiques</w:t>
      </w:r>
    </w:p>
    <w:p>
      <w:pPr>
        <w:spacing w:after="80" w:before="80" w:line="360"/>
        <w:jc w:val="both"/>
      </w:pPr>
      <w:r>
        <w:rPr>
          <w:rFonts w:ascii="Arial" w:cs="Arial" w:eastAsia="Arial" w:hAnsi="Arial"/>
          <w:color w:val="2C3E50"/>
          <w:sz w:val="22"/>
          <w:szCs w:val="22"/>
        </w:rPr>
        <w:t xml:space="preserve">L'Annexe VI de l'Accord de Bangui révisé est spécifiquement dédiée à la protection des indications géographiques. Elle constitue une loi uniforme directement applicable dans tous les États membres, sans nécessité de transposition nationale. Cette unicité du régime juridique est l'un des atouts majeurs du système OAPI.</w:t>
      </w:r>
    </w:p>
    <w:p>
      <w:pPr>
        <w:spacing w:after="100" w:before="0"/>
      </w:pPr>
      <w:r>
        <w:t xml:space="preserve"/>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000"/>
        <w:gridCol w:w="6306"/>
      </w:tblGrid>
      <w:tr>
        <w:tc>
          <w:tcPr>
            <w:tcW w:type="dxa" w:w="3000"/>
            <w:tcBorders>
              <w:top w:val="single" w:color="CCCCCC" w:sz="1"/>
              <w:left w:val="single" w:color="CCCCCC" w:sz="1"/>
              <w:bottom w:val="single" w:color="CCCCCC" w:sz="1"/>
              <w:right w:val="single" w:color="CCCCCC" w:sz="1"/>
            </w:tcBorders>
            <w:shd w:fill="1A5276"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Caractéristique</w:t>
            </w:r>
          </w:p>
        </w:tc>
        <w:tc>
          <w:tcPr>
            <w:tcW w:type="dxa" w:w="6306"/>
            <w:tcBorders>
              <w:top w:val="single" w:color="CCCCCC" w:sz="1"/>
              <w:left w:val="single" w:color="CCCCCC" w:sz="1"/>
              <w:bottom w:val="single" w:color="CCCCCC" w:sz="1"/>
              <w:right w:val="single" w:color="CCCCCC" w:sz="1"/>
            </w:tcBorders>
            <w:shd w:fill="1A5276"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Description</w:t>
            </w:r>
          </w:p>
        </w:tc>
      </w:tr>
      <w:tr>
        <w:tc>
          <w:tcPr>
            <w:tcW w:type="dxa" w:w="3000"/>
            <w:tcBorders>
              <w:top w:val="single" w:color="CCCCCC" w:sz="1"/>
              <w:left w:val="single" w:color="CCCCCC" w:sz="1"/>
              <w:bottom w:val="single" w:color="CCCCCC" w:sz="1"/>
              <w:right w:val="single" w:color="CCCCCC" w:sz="1"/>
            </w:tcBorders>
            <w:shd w:fill="D5F5E3" w:val="clear"/>
            <w:tcMar>
              <w:top w:type="dxa" w:w="80"/>
              <w:left w:type="dxa" w:w="160"/>
              <w:bottom w:type="dxa" w:w="80"/>
              <w:right w:type="dxa" w:w="160"/>
            </w:tcMar>
          </w:tcPr>
          <w:p>
            <w:r>
              <w:rPr>
                <w:rFonts w:ascii="Arial" w:cs="Arial" w:eastAsia="Arial" w:hAnsi="Arial"/>
                <w:b/>
                <w:bCs/>
                <w:color w:val="2C3E50"/>
                <w:sz w:val="21"/>
                <w:szCs w:val="21"/>
              </w:rPr>
              <w:t xml:space="preserve">Accord de base</w:t>
            </w:r>
          </w:p>
        </w:tc>
        <w:tc>
          <w:tcPr>
            <w:tcW w:type="dxa" w:w="6306"/>
            <w:tcBorders>
              <w:top w:val="single" w:color="CCCCCC" w:sz="1"/>
              <w:left w:val="single" w:color="CCCCCC" w:sz="1"/>
              <w:bottom w:val="single" w:color="CCCCCC" w:sz="1"/>
              <w:right w:val="single" w:color="CCCCCC" w:sz="1"/>
            </w:tcBorders>
            <w:shd w:fill="D5F5E3" w:val="clear"/>
            <w:tcMar>
              <w:top w:type="dxa" w:w="80"/>
              <w:left w:type="dxa" w:w="160"/>
              <w:bottom w:type="dxa" w:w="80"/>
              <w:right w:type="dxa" w:w="160"/>
            </w:tcMar>
          </w:tcPr>
          <w:p>
            <w:r>
              <w:rPr>
                <w:rFonts w:ascii="Arial" w:cs="Arial" w:eastAsia="Arial" w:hAnsi="Arial"/>
                <w:color w:val="2C3E50"/>
                <w:sz w:val="21"/>
                <w:szCs w:val="21"/>
              </w:rPr>
              <w:t xml:space="preserve">Accord de Bangui du 2 mars 1977</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2C3E50"/>
                <w:sz w:val="21"/>
                <w:szCs w:val="21"/>
              </w:rPr>
              <w:t xml:space="preserve">Révision clé</w:t>
            </w:r>
          </w:p>
        </w:tc>
        <w:tc>
          <w:tcPr>
            <w:tcW w:type="dxa" w:w="630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3E50"/>
                <w:sz w:val="21"/>
                <w:szCs w:val="21"/>
              </w:rPr>
              <w:t xml:space="preserve">24 février 1999 (en vigueur en 2002)</w:t>
            </w:r>
          </w:p>
        </w:tc>
      </w:tr>
      <w:tr>
        <w:tc>
          <w:tcPr>
            <w:tcW w:type="dxa" w:w="3000"/>
            <w:tcBorders>
              <w:top w:val="single" w:color="CCCCCC" w:sz="1"/>
              <w:left w:val="single" w:color="CCCCCC" w:sz="1"/>
              <w:bottom w:val="single" w:color="CCCCCC" w:sz="1"/>
              <w:right w:val="single" w:color="CCCCCC" w:sz="1"/>
            </w:tcBorders>
            <w:shd w:fill="D5F5E3" w:val="clear"/>
            <w:tcMar>
              <w:top w:type="dxa" w:w="80"/>
              <w:left w:type="dxa" w:w="160"/>
              <w:bottom w:type="dxa" w:w="80"/>
              <w:right w:type="dxa" w:w="160"/>
            </w:tcMar>
          </w:tcPr>
          <w:p>
            <w:r>
              <w:rPr>
                <w:rFonts w:ascii="Arial" w:cs="Arial" w:eastAsia="Arial" w:hAnsi="Arial"/>
                <w:b/>
                <w:bCs/>
                <w:color w:val="2C3E50"/>
                <w:sz w:val="21"/>
                <w:szCs w:val="21"/>
              </w:rPr>
              <w:t xml:space="preserve">Annexe applicable</w:t>
            </w:r>
          </w:p>
        </w:tc>
        <w:tc>
          <w:tcPr>
            <w:tcW w:type="dxa" w:w="6306"/>
            <w:tcBorders>
              <w:top w:val="single" w:color="CCCCCC" w:sz="1"/>
              <w:left w:val="single" w:color="CCCCCC" w:sz="1"/>
              <w:bottom w:val="single" w:color="CCCCCC" w:sz="1"/>
              <w:right w:val="single" w:color="CCCCCC" w:sz="1"/>
            </w:tcBorders>
            <w:shd w:fill="D5F5E3" w:val="clear"/>
            <w:tcMar>
              <w:top w:type="dxa" w:w="80"/>
              <w:left w:type="dxa" w:w="160"/>
              <w:bottom w:type="dxa" w:w="80"/>
              <w:right w:type="dxa" w:w="160"/>
            </w:tcMar>
          </w:tcPr>
          <w:p>
            <w:r>
              <w:rPr>
                <w:rFonts w:ascii="Arial" w:cs="Arial" w:eastAsia="Arial" w:hAnsi="Arial"/>
                <w:color w:val="2C3E50"/>
                <w:sz w:val="21"/>
                <w:szCs w:val="21"/>
              </w:rPr>
              <w:t xml:space="preserve">Annexe VI – Indications géographiques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2C3E50"/>
                <w:sz w:val="21"/>
                <w:szCs w:val="21"/>
              </w:rPr>
              <w:t xml:space="preserve">Organisation gestionnaire</w:t>
            </w:r>
          </w:p>
        </w:tc>
        <w:tc>
          <w:tcPr>
            <w:tcW w:type="dxa" w:w="630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3E50"/>
                <w:sz w:val="21"/>
                <w:szCs w:val="21"/>
              </w:rPr>
              <w:t xml:space="preserve">OAPI (Yaoundé, Cameroun)</w:t>
            </w:r>
          </w:p>
        </w:tc>
      </w:tr>
      <w:tr>
        <w:tc>
          <w:tcPr>
            <w:tcW w:type="dxa" w:w="3000"/>
            <w:tcBorders>
              <w:top w:val="single" w:color="CCCCCC" w:sz="1"/>
              <w:left w:val="single" w:color="CCCCCC" w:sz="1"/>
              <w:bottom w:val="single" w:color="CCCCCC" w:sz="1"/>
              <w:right w:val="single" w:color="CCCCCC" w:sz="1"/>
            </w:tcBorders>
            <w:shd w:fill="D5F5E3" w:val="clear"/>
            <w:tcMar>
              <w:top w:type="dxa" w:w="80"/>
              <w:left w:type="dxa" w:w="160"/>
              <w:bottom w:type="dxa" w:w="80"/>
              <w:right w:type="dxa" w:w="160"/>
            </w:tcMar>
          </w:tcPr>
          <w:p>
            <w:r>
              <w:rPr>
                <w:rFonts w:ascii="Arial" w:cs="Arial" w:eastAsia="Arial" w:hAnsi="Arial"/>
                <w:b/>
                <w:bCs/>
                <w:color w:val="2C3E50"/>
                <w:sz w:val="21"/>
                <w:szCs w:val="21"/>
              </w:rPr>
              <w:t xml:space="preserve">Nombre d'États membres</w:t>
            </w:r>
          </w:p>
        </w:tc>
        <w:tc>
          <w:tcPr>
            <w:tcW w:type="dxa" w:w="6306"/>
            <w:tcBorders>
              <w:top w:val="single" w:color="CCCCCC" w:sz="1"/>
              <w:left w:val="single" w:color="CCCCCC" w:sz="1"/>
              <w:bottom w:val="single" w:color="CCCCCC" w:sz="1"/>
              <w:right w:val="single" w:color="CCCCCC" w:sz="1"/>
            </w:tcBorders>
            <w:shd w:fill="D5F5E3" w:val="clear"/>
            <w:tcMar>
              <w:top w:type="dxa" w:w="80"/>
              <w:left w:type="dxa" w:w="160"/>
              <w:bottom w:type="dxa" w:w="80"/>
              <w:right w:type="dxa" w:w="160"/>
            </w:tcMar>
          </w:tcPr>
          <w:p>
            <w:r>
              <w:rPr>
                <w:rFonts w:ascii="Arial" w:cs="Arial" w:eastAsia="Arial" w:hAnsi="Arial"/>
                <w:color w:val="2C3E50"/>
                <w:sz w:val="21"/>
                <w:szCs w:val="21"/>
              </w:rPr>
              <w:t xml:space="preserve">17 États africains francophones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2C3E50"/>
                <w:sz w:val="21"/>
                <w:szCs w:val="21"/>
              </w:rPr>
              <w:t xml:space="preserve">Conformité internationale</w:t>
            </w:r>
          </w:p>
        </w:tc>
        <w:tc>
          <w:tcPr>
            <w:tcW w:type="dxa" w:w="630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3E50"/>
                <w:sz w:val="21"/>
                <w:szCs w:val="21"/>
              </w:rPr>
              <w:t xml:space="preserve">Accord ADPIC/TRIPS de l'OMC</w:t>
            </w:r>
          </w:p>
        </w:tc>
      </w:tr>
    </w:tbl>
    <w:p>
      <w:pPr>
        <w:spacing w:after="200" w:before="0"/>
      </w:pPr>
      <w:r>
        <w:t xml:space="preserve"/>
      </w:r>
    </w:p>
    <w:p>
      <w:pPr>
        <w:pStyle w:val="Heading1"/>
        <w:pBdr>
          <w:bottom w:val="single" w:color="1E8449" w:sz="6" w:space="4"/>
        </w:pBdr>
        <w:spacing w:after="180" w:before="360"/>
      </w:pPr>
      <w:r>
        <w:rPr>
          <w:rFonts w:ascii="Arial" w:cs="Arial" w:eastAsia="Arial" w:hAnsi="Arial"/>
          <w:b/>
          <w:bCs/>
          <w:color w:val="1A5276"/>
          <w:sz w:val="28"/>
          <w:szCs w:val="28"/>
        </w:rPr>
        <w:t xml:space="preserve">PARTIE II — DÉFINITIONS ET NOTIONS FONDAMENTALES</w:t>
      </w:r>
    </w:p>
    <w:p>
      <w:pPr>
        <w:spacing w:after="100" w:before="0"/>
      </w:pPr>
      <w:r>
        <w:t xml:space="preserve"/>
      </w:r>
    </w:p>
    <w:p>
      <w:pPr>
        <w:pStyle w:val="Heading2"/>
        <w:spacing w:after="120" w:before="280"/>
      </w:pPr>
      <w:r>
        <w:rPr>
          <w:rFonts w:ascii="Arial" w:cs="Arial" w:eastAsia="Arial" w:hAnsi="Arial"/>
          <w:b/>
          <w:bCs/>
          <w:color w:val="1E8449"/>
          <w:sz w:val="24"/>
          <w:szCs w:val="24"/>
        </w:rPr>
        <w:t xml:space="preserve">2.1. La notion d'indication géographique</w:t>
      </w:r>
    </w:p>
    <w:p>
      <w:pPr>
        <w:spacing w:after="80" w:before="80" w:line="360"/>
        <w:jc w:val="both"/>
      </w:pPr>
      <w:r>
        <w:rPr>
          <w:rFonts w:ascii="Arial" w:cs="Arial" w:eastAsia="Arial" w:hAnsi="Arial"/>
          <w:color w:val="2C3E50"/>
          <w:sz w:val="22"/>
          <w:szCs w:val="22"/>
        </w:rPr>
        <w:t xml:space="preserve">Conformément à l'Annexe VI de l'Accord de Bangui, est considérée comme indication géographique toute indication servant à identifier un produit comme étant originaire du territoire d'un État membre, ou d'une région ou localité de ce territoire, dans les cas où une qualité, réputation ou autre caractéristique déterminée du produit peut être attribuée essentiellement à cette origine géographique.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1E8449" w:sz="12"/>
              <w:left w:val="single" w:color="1E8449" w:sz="12"/>
              <w:bottom w:val="single" w:color="CCCCCC" w:sz="1"/>
              <w:right w:val="single" w:color="CCCCCC" w:sz="1"/>
            </w:tcBorders>
            <w:shd w:fill="D5F5E3" w:val="clear"/>
            <w:tcMar>
              <w:top w:type="dxa" w:w="160"/>
              <w:left w:type="dxa" w:w="200"/>
              <w:bottom w:type="dxa" w:w="160"/>
              <w:right w:type="dxa" w:w="200"/>
            </w:tcMar>
          </w:tcPr>
          <w:p>
            <w:pPr>
              <w:spacing w:after="80" w:before="40"/>
            </w:pPr>
            <w:r>
              <w:rPr>
                <w:rFonts w:ascii="Arial" w:cs="Arial" w:eastAsia="Arial" w:hAnsi="Arial"/>
                <w:b/>
                <w:bCs/>
                <w:color w:val="1A5276"/>
                <w:sz w:val="22"/>
                <w:szCs w:val="22"/>
              </w:rPr>
              <w:t xml:space="preserve">Définition légale (Annexe VI, Accord de Bangui révisé)</w:t>
            </w:r>
          </w:p>
          <w:p>
            <w:pPr>
              <w:spacing w:after="40" w:before="40" w:line="340"/>
              <w:jc w:val="both"/>
            </w:pPr>
            <w:r>
              <w:rPr>
                <w:rFonts w:ascii="Arial" w:cs="Arial" w:eastAsia="Arial" w:hAnsi="Arial"/>
                <w:color w:val="2C3E50"/>
                <w:sz w:val="21"/>
                <w:szCs w:val="21"/>
              </w:rPr>
              <w:t xml:space="preserve">« Toute indication servant à identifier un produit comme étant originaire d'un territoire d'un État membre, ou d'une région ou localité de ce territoire, dans les cas où une qualité, réputation ou autre caractéristique déterminée du produit peut être attribuée essentiellement à cette origine géographique. »</w:t>
            </w:r>
          </w:p>
        </w:tc>
      </w:tr>
    </w:tbl>
    <w:p>
      <w:pPr>
        <w:spacing w:after="100" w:before="0"/>
      </w:pPr>
      <w:r>
        <w:t xml:space="preserve"/>
      </w:r>
    </w:p>
    <w:p>
      <w:pPr>
        <w:pStyle w:val="Heading2"/>
        <w:spacing w:after="120" w:before="280"/>
      </w:pPr>
      <w:r>
        <w:rPr>
          <w:rFonts w:ascii="Arial" w:cs="Arial" w:eastAsia="Arial" w:hAnsi="Arial"/>
          <w:b/>
          <w:bCs/>
          <w:color w:val="1E8449"/>
          <w:sz w:val="24"/>
          <w:szCs w:val="24"/>
        </w:rPr>
        <w:t xml:space="preserve">2.2. Distinction entre indication géographique et appellation d'origine</w:t>
      </w:r>
    </w:p>
    <w:p>
      <w:pPr>
        <w:spacing w:after="80" w:before="80" w:line="360"/>
        <w:jc w:val="both"/>
      </w:pPr>
      <w:r>
        <w:rPr>
          <w:rFonts w:ascii="Arial" w:cs="Arial" w:eastAsia="Arial" w:hAnsi="Arial"/>
          <w:color w:val="2C3E50"/>
          <w:sz w:val="22"/>
          <w:szCs w:val="22"/>
        </w:rPr>
        <w:t xml:space="preserve">L'Accord de Bangui utilise principalement le terme générique « indication géographique », qui inclut dans sa portée ce que d'autres systèmes appellent « appellation d'origine ». La distinction est néanmoins utile sur le plan analytique :</w:t>
      </w:r>
    </w:p>
    <w:p>
      <w:pPr>
        <w:spacing w:after="100" w:before="0"/>
      </w:pPr>
      <w:r>
        <w:t xml:space="preserve"/>
      </w:r>
    </w:p>
    <w:p>
      <w:pPr>
        <w:pStyle w:val="ListParagraph"/>
        <w:numPr>
          <w:ilvl w:val="0"/>
          <w:numId w:val="2"/>
        </w:numPr>
        <w:spacing w:after="60" w:before="60" w:line="340"/>
      </w:pPr>
      <w:r>
        <w:rPr>
          <w:rFonts w:ascii="Arial" w:cs="Arial" w:eastAsia="Arial" w:hAnsi="Arial"/>
          <w:b/>
          <w:bCs/>
          <w:color w:val="2C3E50"/>
          <w:sz w:val="22"/>
          <w:szCs w:val="22"/>
        </w:rPr>
        <w:t xml:space="preserve"> désigne un nom géographique qui identifie un produit dont la qualité ou les caractéristiques sont dues exclusivement ou essentiellement au milieu géographique, incluant les facteurs naturels et humains, et dont la production, transformation et élaboration ont lieu dans l'aire géographique délimitée.</w:t>
      </w:r>
    </w:p>
    <w:p>
      <w:pPr>
        <w:pStyle w:val="ListParagraph"/>
        <w:numPr>
          <w:ilvl w:val="0"/>
          <w:numId w:val="2"/>
        </w:numPr>
        <w:spacing w:after="60" w:before="60" w:line="340"/>
      </w:pPr>
      <w:r>
        <w:rPr>
          <w:rFonts w:ascii="Arial" w:cs="Arial" w:eastAsia="Arial" w:hAnsi="Arial"/>
          <w:b/>
          <w:bCs/>
          <w:color w:val="2C3E50"/>
          <w:sz w:val="22"/>
          <w:szCs w:val="22"/>
        </w:rPr>
        <w:t xml:space="preserve"> est une notion plus large : elle peut se limiter à une qualité, réputation ou autre caractéristique pouvant être attribuée essentiellement à l'origine. Le lien avec le territoire peut être moins strict que pour l'appellation d'origine.</w:t>
      </w:r>
    </w:p>
    <w:p>
      <w:pPr>
        <w:spacing w:after="100" w:before="0"/>
      </w:pPr>
      <w:r>
        <w:t xml:space="preserve"/>
      </w:r>
    </w:p>
    <w:p>
      <w:pPr>
        <w:pStyle w:val="Heading2"/>
        <w:spacing w:after="120" w:before="280"/>
      </w:pPr>
      <w:r>
        <w:rPr>
          <w:rFonts w:ascii="Arial" w:cs="Arial" w:eastAsia="Arial" w:hAnsi="Arial"/>
          <w:b/>
          <w:bCs/>
          <w:color w:val="1E8449"/>
          <w:sz w:val="24"/>
          <w:szCs w:val="24"/>
        </w:rPr>
        <w:t xml:space="preserve">2.3. Les éléments constitutifs d'une indication géographique</w:t>
      </w:r>
    </w:p>
    <w:p>
      <w:pPr>
        <w:spacing w:after="80" w:before="80" w:line="360"/>
        <w:jc w:val="both"/>
      </w:pPr>
      <w:r>
        <w:rPr>
          <w:rFonts w:ascii="Arial" w:cs="Arial" w:eastAsia="Arial" w:hAnsi="Arial"/>
          <w:color w:val="2C3E50"/>
          <w:sz w:val="22"/>
          <w:szCs w:val="22"/>
        </w:rPr>
        <w:t xml:space="preserve">Trois éléments cumulatifs doivent être réunis pour qu'une indication puisse bénéficier de la protection au titre des IG selon l'Accord de Bangui :</w:t>
      </w:r>
    </w:p>
    <w:p>
      <w:pPr>
        <w:spacing w:after="100" w:before="0"/>
      </w:pPr>
      <w:r>
        <w:t xml:space="preserve"/>
      </w:r>
    </w:p>
    <w:p>
      <w:pPr>
        <w:pStyle w:val="ListParagraph"/>
        <w:numPr>
          <w:ilvl w:val="0"/>
          <w:numId w:val="2"/>
        </w:numPr>
        <w:spacing w:after="60" w:before="60" w:line="340"/>
      </w:pPr>
      <w:r>
        <w:rPr>
          <w:rFonts w:ascii="Arial" w:cs="Arial" w:eastAsia="Arial" w:hAnsi="Arial"/>
          <w:b/>
          <w:bCs/>
          <w:color w:val="2C3E50"/>
          <w:sz w:val="22"/>
          <w:szCs w:val="22"/>
        </w:rPr>
        <w:t xml:space="preserve"> : un nom géographique (nom de ville, de région, de pays) ou tout signe associé à un lieu déterminé.</w:t>
      </w:r>
    </w:p>
    <w:p>
      <w:pPr>
        <w:pStyle w:val="ListParagraph"/>
        <w:numPr>
          <w:ilvl w:val="0"/>
          <w:numId w:val="2"/>
        </w:numPr>
        <w:spacing w:after="60" w:before="60" w:line="340"/>
      </w:pPr>
      <w:r>
        <w:rPr>
          <w:rFonts w:ascii="Arial" w:cs="Arial" w:eastAsia="Arial" w:hAnsi="Arial"/>
          <w:b/>
          <w:bCs/>
          <w:color w:val="2C3E50"/>
          <w:sz w:val="22"/>
          <w:szCs w:val="22"/>
        </w:rPr>
        <w:t xml:space="preserve"> : le produit doit être originaire du territoire désigné par le signe ; le lien d'origine doit être réel et vérifiable.</w:t>
      </w:r>
    </w:p>
    <w:p>
      <w:pPr>
        <w:pStyle w:val="ListParagraph"/>
        <w:numPr>
          <w:ilvl w:val="0"/>
          <w:numId w:val="2"/>
        </w:numPr>
        <w:spacing w:after="60" w:before="60" w:line="340"/>
      </w:pPr>
      <w:r>
        <w:rPr>
          <w:rFonts w:ascii="Arial" w:cs="Arial" w:eastAsia="Arial" w:hAnsi="Arial"/>
          <w:b/>
          <w:bCs/>
          <w:color w:val="2C3E50"/>
          <w:sz w:val="22"/>
          <w:szCs w:val="22"/>
        </w:rPr>
        <w:t xml:space="preserve"> entre l'origine et les qualités, réputation ou caractéristiques du produit. Ce lien peut être de nature naturelle (sol, climat) ou humaine (savoir-faire, tradition).</w:t>
      </w:r>
    </w:p>
    <w:p>
      <w:pPr>
        <w:spacing w:after="200" w:before="0"/>
      </w:pPr>
      <w:r>
        <w:t xml:space="preserve"/>
      </w:r>
    </w:p>
    <w:p>
      <w:pPr>
        <w:pStyle w:val="Heading1"/>
        <w:pBdr>
          <w:bottom w:val="single" w:color="1E8449" w:sz="6" w:space="4"/>
        </w:pBdr>
        <w:spacing w:after="180" w:before="360"/>
      </w:pPr>
      <w:r>
        <w:rPr>
          <w:rFonts w:ascii="Arial" w:cs="Arial" w:eastAsia="Arial" w:hAnsi="Arial"/>
          <w:b/>
          <w:bCs/>
          <w:color w:val="1A5276"/>
          <w:sz w:val="28"/>
          <w:szCs w:val="28"/>
        </w:rPr>
        <w:t xml:space="preserve">PARTIE III — CONDITIONS ET PROCÉDURES DE PROTECTION</w:t>
      </w:r>
    </w:p>
    <w:p>
      <w:pPr>
        <w:spacing w:after="100" w:before="0"/>
      </w:pPr>
      <w:r>
        <w:t xml:space="preserve"/>
      </w:r>
    </w:p>
    <w:p>
      <w:pPr>
        <w:pStyle w:val="Heading2"/>
        <w:spacing w:after="120" w:before="280"/>
      </w:pPr>
      <w:r>
        <w:rPr>
          <w:rFonts w:ascii="Arial" w:cs="Arial" w:eastAsia="Arial" w:hAnsi="Arial"/>
          <w:b/>
          <w:bCs/>
          <w:color w:val="1E8449"/>
          <w:sz w:val="24"/>
          <w:szCs w:val="24"/>
        </w:rPr>
        <w:t xml:space="preserve">3.1. Les signes protégeables</w:t>
      </w:r>
    </w:p>
    <w:p>
      <w:pPr>
        <w:spacing w:after="80" w:before="80" w:line="360"/>
        <w:jc w:val="both"/>
      </w:pPr>
      <w:r>
        <w:rPr>
          <w:rFonts w:ascii="Arial" w:cs="Arial" w:eastAsia="Arial" w:hAnsi="Arial"/>
          <w:color w:val="2C3E50"/>
          <w:sz w:val="22"/>
          <w:szCs w:val="22"/>
        </w:rPr>
        <w:t xml:space="preserve">L'Accord de Bangui protège les indications géographiques dès lors qu'elles remplissent les conditions de fond précédemment décrites. Il peut s'agir :</w:t>
      </w:r>
    </w:p>
    <w:p>
      <w:pPr>
        <w:spacing w:after="100" w:before="0"/>
      </w:pPr>
      <w:r>
        <w:t xml:space="preserve"/>
      </w:r>
    </w:p>
    <w:p>
      <w:pPr>
        <w:pStyle w:val="ListParagraph"/>
        <w:numPr>
          <w:ilvl w:val="0"/>
          <w:numId w:val="2"/>
        </w:numPr>
        <w:spacing w:after="60" w:before="60" w:line="340"/>
      </w:pPr>
      <w:r>
        <w:rPr>
          <w:rFonts w:ascii="Arial" w:cs="Arial" w:eastAsia="Arial" w:hAnsi="Arial"/>
          <w:b/>
          <w:bCs/>
          <w:color w:val="2C3E50"/>
          <w:sz w:val="22"/>
          <w:szCs w:val="22"/>
        </w:rPr>
        <w:t xml:space="preserve"> (noms de villes, régions, pays) utilisés pour identifier des produits.</w:t>
      </w:r>
    </w:p>
    <w:p>
      <w:pPr>
        <w:pStyle w:val="ListParagraph"/>
        <w:numPr>
          <w:ilvl w:val="0"/>
          <w:numId w:val="2"/>
        </w:numPr>
        <w:spacing w:after="60" w:before="60" w:line="340"/>
      </w:pPr>
      <w:r>
        <w:rPr>
          <w:rFonts w:ascii="Arial" w:cs="Arial" w:eastAsia="Arial" w:hAnsi="Arial"/>
          <w:b/>
          <w:bCs/>
          <w:color w:val="2C3E50"/>
          <w:sz w:val="22"/>
          <w:szCs w:val="22"/>
        </w:rPr>
        <w:t xml:space="preserve"> qui ont acquis, dans le temps, une association étroite avec une origine géographique précise dans l'esprit du public.</w:t>
      </w:r>
    </w:p>
    <w:p>
      <w:pPr>
        <w:pStyle w:val="ListParagraph"/>
        <w:numPr>
          <w:ilvl w:val="0"/>
          <w:numId w:val="2"/>
        </w:numPr>
        <w:spacing w:after="60" w:before="60" w:line="340"/>
      </w:pPr>
      <w:r>
        <w:rPr>
          <w:rFonts w:ascii="Arial" w:cs="Arial" w:eastAsia="Arial" w:hAnsi="Arial"/>
          <w:b/>
          <w:bCs/>
          <w:color w:val="2C3E50"/>
          <w:sz w:val="22"/>
          <w:szCs w:val="22"/>
        </w:rPr>
        <w:t xml:space="preserve"> évoquant une région sans la nommer explicitement, à condition que l'association géographique soit clairement établie.</w:t>
      </w:r>
    </w:p>
    <w:p>
      <w:pPr>
        <w:spacing w:after="100" w:before="0"/>
      </w:pPr>
      <w:r>
        <w:t xml:space="preserve"/>
      </w:r>
    </w:p>
    <w:p>
      <w:pPr>
        <w:pStyle w:val="Heading2"/>
        <w:spacing w:after="120" w:before="280"/>
      </w:pPr>
      <w:r>
        <w:rPr>
          <w:rFonts w:ascii="Arial" w:cs="Arial" w:eastAsia="Arial" w:hAnsi="Arial"/>
          <w:b/>
          <w:bCs/>
          <w:color w:val="1E8449"/>
          <w:sz w:val="24"/>
          <w:szCs w:val="24"/>
        </w:rPr>
        <w:t xml:space="preserve">3.2. Les signes exclus de la protection</w:t>
      </w:r>
    </w:p>
    <w:p>
      <w:pPr>
        <w:spacing w:after="80" w:before="80" w:line="360"/>
        <w:jc w:val="both"/>
      </w:pPr>
      <w:r>
        <w:rPr>
          <w:rFonts w:ascii="Arial" w:cs="Arial" w:eastAsia="Arial" w:hAnsi="Arial"/>
          <w:color w:val="2C3E50"/>
          <w:sz w:val="22"/>
          <w:szCs w:val="22"/>
        </w:rPr>
        <w:t xml:space="preserve">L'Annexe VI prévoit des exclusions importantes. Ne peuvent être protégées comme indications géographiques :</w:t>
      </w:r>
    </w:p>
    <w:p>
      <w:pPr>
        <w:spacing w:after="100" w:before="0"/>
      </w:pPr>
      <w:r>
        <w:t xml:space="preserve"/>
      </w:r>
    </w:p>
    <w:p>
      <w:pPr>
        <w:pStyle w:val="ListParagraph"/>
        <w:numPr>
          <w:ilvl w:val="0"/>
          <w:numId w:val="2"/>
        </w:numPr>
        <w:spacing w:after="60" w:before="60" w:line="340"/>
      </w:pPr>
      <w:r>
        <w:rPr>
          <w:rFonts w:ascii="Arial" w:cs="Arial" w:eastAsia="Arial" w:hAnsi="Arial"/>
          <w:b/>
          <w:bCs/>
          <w:color w:val="2C3E50"/>
          <w:sz w:val="22"/>
          <w:szCs w:val="22"/>
        </w:rPr>
        <w:t xml:space="preserve"> : un signe est considéré comme générique lorsqu'il est devenu, dans le commerce, le nom commun d'un produit (ex : un terme qui désigne désormais une catégorie de produits plutôt qu'une origine).</w:t>
      </w:r>
    </w:p>
    <w:p>
      <w:pPr>
        <w:pStyle w:val="ListParagraph"/>
        <w:numPr>
          <w:ilvl w:val="0"/>
          <w:numId w:val="2"/>
        </w:numPr>
        <w:spacing w:after="60" w:before="60" w:line="340"/>
      </w:pPr>
      <w:r>
        <w:rPr>
          <w:rFonts w:ascii="Arial" w:cs="Arial" w:eastAsia="Arial" w:hAnsi="Arial"/>
          <w:b/>
          <w:bCs/>
          <w:color w:val="2C3E50"/>
          <w:sz w:val="22"/>
          <w:szCs w:val="22"/>
        </w:rPr>
        <w:t xml:space="preserve"> ou aux bonnes mœurs.</w:t>
      </w:r>
    </w:p>
    <w:p>
      <w:pPr>
        <w:pStyle w:val="ListParagraph"/>
        <w:numPr>
          <w:ilvl w:val="0"/>
          <w:numId w:val="2"/>
        </w:numPr>
        <w:spacing w:after="60" w:before="60" w:line="340"/>
      </w:pPr>
      <w:r>
        <w:rPr>
          <w:rFonts w:ascii="Arial" w:cs="Arial" w:eastAsia="Arial" w:hAnsi="Arial"/>
          <w:b/>
          <w:bCs/>
          <w:color w:val="2C3E50"/>
          <w:sz w:val="22"/>
          <w:szCs w:val="22"/>
        </w:rPr>
        <w:t xml:space="preserve"> sur la nature, la qualité ou l'origine des produits.</w:t>
      </w:r>
    </w:p>
    <w:p>
      <w:pPr>
        <w:pStyle w:val="ListParagraph"/>
        <w:numPr>
          <w:ilvl w:val="0"/>
          <w:numId w:val="2"/>
        </w:numPr>
        <w:spacing w:after="60" w:before="60" w:line="340"/>
      </w:pPr>
      <w:r>
        <w:rPr>
          <w:rFonts w:ascii="Arial" w:cs="Arial" w:eastAsia="Arial" w:hAnsi="Arial"/>
          <w:b/>
          <w:bCs/>
          <w:color w:val="2C3E50"/>
          <w:sz w:val="22"/>
          <w:szCs w:val="22"/>
        </w:rPr>
        <w:t xml:space="preserve"> ou qui ont perdu leur caractère distinctif en rapport avec l'origine géographique.</w:t>
      </w:r>
    </w:p>
    <w:p>
      <w:pPr>
        <w:spacing w:after="100" w:before="0"/>
      </w:pPr>
      <w:r>
        <w:t xml:space="preserve"/>
      </w:r>
    </w:p>
    <w:p>
      <w:pPr>
        <w:pStyle w:val="Heading2"/>
        <w:spacing w:after="120" w:before="280"/>
      </w:pPr>
      <w:r>
        <w:rPr>
          <w:rFonts w:ascii="Arial" w:cs="Arial" w:eastAsia="Arial" w:hAnsi="Arial"/>
          <w:b/>
          <w:bCs/>
          <w:color w:val="1E8449"/>
          <w:sz w:val="24"/>
          <w:szCs w:val="24"/>
        </w:rPr>
        <w:t xml:space="preserve">3.3. La procédure d'enregistrement auprès de l'OAPI</w:t>
      </w:r>
    </w:p>
    <w:p>
      <w:pPr>
        <w:spacing w:after="80" w:before="80" w:line="360"/>
        <w:jc w:val="both"/>
      </w:pPr>
      <w:r>
        <w:rPr>
          <w:rFonts w:ascii="Arial" w:cs="Arial" w:eastAsia="Arial" w:hAnsi="Arial"/>
          <w:color w:val="2C3E50"/>
          <w:sz w:val="22"/>
          <w:szCs w:val="22"/>
        </w:rPr>
        <w:t xml:space="preserve">Le système de protection des IG dans l'espace OAPI repose sur un mécanisme d'enregistrement centralisé géré par l'Office. La procédure comprend plusieurs étapes :</w:t>
      </w:r>
    </w:p>
    <w:p>
      <w:pPr>
        <w:spacing w:after="100" w:before="0"/>
      </w:pPr>
      <w:r>
        <w:t xml:space="preserve"/>
      </w:r>
    </w:p>
    <w:p>
      <w:pPr>
        <w:pStyle w:val="Heading3"/>
        <w:spacing w:after="100" w:before="200"/>
      </w:pPr>
      <w:r>
        <w:rPr>
          <w:rFonts w:ascii="Arial" w:cs="Arial" w:eastAsia="Arial" w:hAnsi="Arial"/>
          <w:b/>
          <w:bCs/>
          <w:color w:val="B7950B"/>
          <w:sz w:val="22"/>
          <w:szCs w:val="22"/>
        </w:rPr>
        <w:t xml:space="preserve">3.3.1. Dépôt de la demande</w:t>
      </w:r>
    </w:p>
    <w:p>
      <w:pPr>
        <w:spacing w:after="80" w:before="80" w:line="360"/>
        <w:jc w:val="both"/>
      </w:pPr>
      <w:r>
        <w:rPr>
          <w:rFonts w:ascii="Arial" w:cs="Arial" w:eastAsia="Arial" w:hAnsi="Arial"/>
          <w:color w:val="2C3E50"/>
          <w:sz w:val="22"/>
          <w:szCs w:val="22"/>
        </w:rPr>
        <w:t xml:space="preserve">La demande d'enregistrement d'une indication géographique peut être déposée par :</w:t>
      </w:r>
    </w:p>
    <w:p>
      <w:pPr>
        <w:pStyle w:val="ListParagraph"/>
        <w:numPr>
          <w:ilvl w:val="0"/>
          <w:numId w:val="2"/>
        </w:numPr>
        <w:spacing w:after="60" w:before="60" w:line="340"/>
      </w:pPr>
      <w:r>
        <w:rPr>
          <w:rFonts w:ascii="Arial" w:cs="Arial" w:eastAsia="Arial" w:hAnsi="Arial"/>
          <w:b/>
          <w:bCs/>
          <w:color w:val="2C3E50"/>
          <w:sz w:val="22"/>
          <w:szCs w:val="22"/>
        </w:rPr>
        <w:t xml:space="preserve"> qui produit, fabrique ou élabore dans la région géographique indiquée un produit répondant aux caractéristiques définies.</w:t>
      </w:r>
    </w:p>
    <w:p>
      <w:pPr>
        <w:pStyle w:val="ListParagraph"/>
        <w:numPr>
          <w:ilvl w:val="0"/>
          <w:numId w:val="2"/>
        </w:numPr>
        <w:spacing w:after="60" w:before="60" w:line="340"/>
      </w:pPr>
      <w:r>
        <w:rPr>
          <w:rFonts w:ascii="Arial" w:cs="Arial" w:eastAsia="Arial" w:hAnsi="Arial"/>
          <w:b/>
          <w:bCs/>
          <w:color w:val="2C3E50"/>
          <w:sz w:val="22"/>
          <w:szCs w:val="22"/>
        </w:rPr>
        <w:t xml:space="preserve"> ou association professionnelle représentative des producteurs concernés.</w:t>
      </w:r>
    </w:p>
    <w:p>
      <w:pPr>
        <w:pStyle w:val="ListParagraph"/>
        <w:numPr>
          <w:ilvl w:val="0"/>
          <w:numId w:val="2"/>
        </w:numPr>
        <w:spacing w:after="60" w:before="60" w:line="340"/>
      </w:pPr>
      <w:r>
        <w:rPr>
          <w:rFonts w:ascii="Arial" w:cs="Arial" w:eastAsia="Arial" w:hAnsi="Arial"/>
          <w:b/>
          <w:bCs/>
          <w:color w:val="2C3E50"/>
          <w:sz w:val="22"/>
          <w:szCs w:val="22"/>
        </w:rPr>
        <w:t xml:space="preserve"> d'un État membre.</w:t>
      </w:r>
    </w:p>
    <w:p>
      <w:pPr>
        <w:spacing w:after="100" w:before="0"/>
      </w:pPr>
      <w:r>
        <w:t xml:space="preserve"/>
      </w:r>
    </w:p>
    <w:p>
      <w:pPr>
        <w:spacing w:after="80" w:before="80" w:line="360"/>
        <w:jc w:val="both"/>
      </w:pPr>
      <w:r>
        <w:rPr>
          <w:rFonts w:ascii="Arial" w:cs="Arial" w:eastAsia="Arial" w:hAnsi="Arial"/>
          <w:color w:val="2C3E50"/>
          <w:sz w:val="22"/>
          <w:szCs w:val="22"/>
        </w:rPr>
        <w:t xml:space="preserve">La demande doit contenir : l'indication géographique sollicitée, le produit concerné, la délimitation de l'aire géographique, la description des qualités, réputation ou caractéristiques du produit, et le lien entre le produit et l'aire géographique.</w:t>
      </w:r>
    </w:p>
    <w:p>
      <w:pPr>
        <w:spacing w:after="100" w:before="0"/>
      </w:pPr>
      <w:r>
        <w:t xml:space="preserve"/>
      </w:r>
    </w:p>
    <w:p>
      <w:pPr>
        <w:pStyle w:val="Heading3"/>
        <w:spacing w:after="100" w:before="200"/>
      </w:pPr>
      <w:r>
        <w:rPr>
          <w:rFonts w:ascii="Arial" w:cs="Arial" w:eastAsia="Arial" w:hAnsi="Arial"/>
          <w:b/>
          <w:bCs/>
          <w:color w:val="B7950B"/>
          <w:sz w:val="22"/>
          <w:szCs w:val="22"/>
        </w:rPr>
        <w:t xml:space="preserve">3.3.2. Examen et publication</w:t>
      </w:r>
    </w:p>
    <w:p>
      <w:pPr>
        <w:spacing w:after="80" w:before="80" w:line="360"/>
        <w:jc w:val="both"/>
      </w:pPr>
      <w:r>
        <w:rPr>
          <w:rFonts w:ascii="Arial" w:cs="Arial" w:eastAsia="Arial" w:hAnsi="Arial"/>
          <w:color w:val="2C3E50"/>
          <w:sz w:val="22"/>
          <w:szCs w:val="22"/>
        </w:rPr>
        <w:t xml:space="preserve">L'OAPI procède à un examen de forme et de fond. Si la demande satisfait aux conditions requises, l'indication géographique est publiée au Bulletin Officiel de la Propriété Industrielle (BOPI) pour permettre à des tiers d'exercer un droit d'opposition.</w:t>
      </w:r>
    </w:p>
    <w:p>
      <w:pPr>
        <w:spacing w:after="100" w:before="0"/>
      </w:pPr>
      <w:r>
        <w:t xml:space="preserve"/>
      </w:r>
    </w:p>
    <w:p>
      <w:pPr>
        <w:pStyle w:val="Heading3"/>
        <w:spacing w:after="100" w:before="200"/>
      </w:pPr>
      <w:r>
        <w:rPr>
          <w:rFonts w:ascii="Arial" w:cs="Arial" w:eastAsia="Arial" w:hAnsi="Arial"/>
          <w:b/>
          <w:bCs/>
          <w:color w:val="B7950B"/>
          <w:sz w:val="22"/>
          <w:szCs w:val="22"/>
        </w:rPr>
        <w:t xml:space="preserve">3.3.3. Opposition et enregistrement</w:t>
      </w:r>
    </w:p>
    <w:p>
      <w:pPr>
        <w:spacing w:after="80" w:before="80" w:line="360"/>
        <w:jc w:val="both"/>
      </w:pPr>
      <w:r>
        <w:rPr>
          <w:rFonts w:ascii="Arial" w:cs="Arial" w:eastAsia="Arial" w:hAnsi="Arial"/>
          <w:color w:val="2C3E50"/>
          <w:sz w:val="22"/>
          <w:szCs w:val="22"/>
        </w:rPr>
        <w:t xml:space="preserve">Dans un délai fixé à compter de la publication, toute personne ayant un intérêt légitime peut former opposition. En l'absence d'opposition valable ou après résolution des oppositions, l'indication géographique est inscrite au Registre spécial des indications géographiques tenu par l'OAPI.</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1E8449" w:sz="12"/>
              <w:left w:val="single" w:color="1E8449" w:sz="12"/>
              <w:bottom w:val="single" w:color="CCCCCC" w:sz="1"/>
              <w:right w:val="single" w:color="CCCCCC" w:sz="1"/>
            </w:tcBorders>
            <w:shd w:fill="FEF9E7" w:val="clear"/>
            <w:tcMar>
              <w:top w:type="dxa" w:w="160"/>
              <w:left w:type="dxa" w:w="200"/>
              <w:bottom w:type="dxa" w:w="160"/>
              <w:right w:type="dxa" w:w="200"/>
            </w:tcMar>
          </w:tcPr>
          <w:p>
            <w:pPr>
              <w:spacing w:after="80" w:before="40"/>
            </w:pPr>
            <w:r>
              <w:rPr>
                <w:rFonts w:ascii="Arial" w:cs="Arial" w:eastAsia="Arial" w:hAnsi="Arial"/>
                <w:b/>
                <w:bCs/>
                <w:color w:val="1A5276"/>
                <w:sz w:val="22"/>
                <w:szCs w:val="22"/>
              </w:rPr>
              <w:t xml:space="preserve">Avantage du système OAPI</w:t>
            </w:r>
          </w:p>
          <w:p>
            <w:pPr>
              <w:spacing w:after="40" w:before="40" w:line="340"/>
              <w:jc w:val="both"/>
            </w:pPr>
            <w:r>
              <w:rPr>
                <w:rFonts w:ascii="Arial" w:cs="Arial" w:eastAsia="Arial" w:hAnsi="Arial"/>
                <w:color w:val="2C3E50"/>
                <w:sz w:val="21"/>
                <w:szCs w:val="21"/>
              </w:rPr>
              <w:t xml:space="preserve">Un enregistrement unique auprès de l'OAPI vaut dans les 17 États membres. Les producteurs n'ont pas à effectuer des démarches nationales séparées dans chaque pays, ce qui constitue un avantage considérable en termes de coûts et de simplification administrative.</w:t>
            </w:r>
          </w:p>
        </w:tc>
      </w:tr>
    </w:tbl>
    <w:p>
      <w:pPr>
        <w:spacing w:after="200" w:before="0"/>
      </w:pPr>
      <w:r>
        <w:t xml:space="preserve"/>
      </w:r>
    </w:p>
    <w:p>
      <w:pPr>
        <w:pStyle w:val="Heading1"/>
        <w:pBdr>
          <w:bottom w:val="single" w:color="1E8449" w:sz="6" w:space="4"/>
        </w:pBdr>
        <w:spacing w:after="180" w:before="360"/>
      </w:pPr>
      <w:r>
        <w:rPr>
          <w:rFonts w:ascii="Arial" w:cs="Arial" w:eastAsia="Arial" w:hAnsi="Arial"/>
          <w:b/>
          <w:bCs/>
          <w:color w:val="1A5276"/>
          <w:sz w:val="28"/>
          <w:szCs w:val="28"/>
        </w:rPr>
        <w:t xml:space="preserve">PARTIE IV — EFFETS ET ÉTENDUE DE LA PROTECTION</w:t>
      </w:r>
    </w:p>
    <w:p>
      <w:pPr>
        <w:spacing w:after="100" w:before="0"/>
      </w:pPr>
      <w:r>
        <w:t xml:space="preserve"/>
      </w:r>
    </w:p>
    <w:p>
      <w:pPr>
        <w:pStyle w:val="Heading2"/>
        <w:spacing w:after="120" w:before="280"/>
      </w:pPr>
      <w:r>
        <w:rPr>
          <w:rFonts w:ascii="Arial" w:cs="Arial" w:eastAsia="Arial" w:hAnsi="Arial"/>
          <w:b/>
          <w:bCs/>
          <w:color w:val="1E8449"/>
          <w:sz w:val="24"/>
          <w:szCs w:val="24"/>
        </w:rPr>
        <w:t xml:space="preserve">4.1. Les droits conférés par l'enregistrement</w:t>
      </w:r>
    </w:p>
    <w:p>
      <w:pPr>
        <w:spacing w:after="80" w:before="80" w:line="360"/>
        <w:jc w:val="both"/>
      </w:pPr>
      <w:r>
        <w:rPr>
          <w:rFonts w:ascii="Arial" w:cs="Arial" w:eastAsia="Arial" w:hAnsi="Arial"/>
          <w:color w:val="2C3E50"/>
          <w:sz w:val="22"/>
          <w:szCs w:val="22"/>
        </w:rPr>
        <w:t xml:space="preserve">L'enregistrement d'une indication géographique confère à ses bénéficiaires le droit exclusif d'utiliser cette indication pour identifier les produits qui satisfont aux conditions définies. Plus précisément, la protection interdit à tout tiers non habilité :</w:t>
      </w:r>
    </w:p>
    <w:p>
      <w:pPr>
        <w:spacing w:after="100" w:before="0"/>
      </w:pPr>
      <w:r>
        <w:t xml:space="preserve"/>
      </w:r>
    </w:p>
    <w:p>
      <w:pPr>
        <w:pStyle w:val="ListParagraph"/>
        <w:numPr>
          <w:ilvl w:val="0"/>
          <w:numId w:val="2"/>
        </w:numPr>
        <w:spacing w:after="60" w:before="60" w:line="340"/>
      </w:pPr>
      <w:r>
        <w:rPr>
          <w:rFonts w:ascii="Arial" w:cs="Arial" w:eastAsia="Arial" w:hAnsi="Arial"/>
          <w:b/>
          <w:bCs/>
          <w:color w:val="2C3E50"/>
          <w:sz w:val="22"/>
          <w:szCs w:val="22"/>
        </w:rPr>
        <w:t xml:space="preserve"> ou indirecte d'une indication géographique protégée pour des produits ne satisfaisant pas aux conditions de l'IG.</w:t>
      </w:r>
    </w:p>
    <w:p>
      <w:pPr>
        <w:pStyle w:val="ListParagraph"/>
        <w:numPr>
          <w:ilvl w:val="0"/>
          <w:numId w:val="2"/>
        </w:numPr>
        <w:spacing w:after="60" w:before="60" w:line="340"/>
      </w:pPr>
      <w:r>
        <w:rPr>
          <w:rFonts w:ascii="Arial" w:cs="Arial" w:eastAsia="Arial" w:hAnsi="Arial"/>
          <w:b/>
          <w:bCs/>
          <w:color w:val="2C3E50"/>
          <w:sz w:val="22"/>
          <w:szCs w:val="22"/>
        </w:rPr>
        <w:t xml:space="preserve"> de l'indication géographique, même si la véritable origine du produit est indiquée, ou si l'indication est employée en traduction ou accompagnée d'expressions telles que « genre », « type », « façon », « imitation » ou similaires.</w:t>
      </w:r>
    </w:p>
    <w:p>
      <w:pPr>
        <w:pStyle w:val="ListParagraph"/>
        <w:numPr>
          <w:ilvl w:val="0"/>
          <w:numId w:val="2"/>
        </w:numPr>
        <w:spacing w:after="60" w:before="60" w:line="340"/>
      </w:pPr>
      <w:r>
        <w:rPr>
          <w:rFonts w:ascii="Arial" w:cs="Arial" w:eastAsia="Arial" w:hAnsi="Arial"/>
          <w:b/>
          <w:bCs/>
          <w:color w:val="2C3E50"/>
          <w:sz w:val="22"/>
          <w:szCs w:val="22"/>
        </w:rPr>
        <w:t xml:space="preserve"> quant à la provenance, l'origine, la nature ou les qualités essentielles du produit, figurant sur le conditionnement, l'emballage, la publicité ou les documents relatifs au produit.</w:t>
      </w:r>
    </w:p>
    <w:p>
      <w:pPr>
        <w:pStyle w:val="ListParagraph"/>
        <w:numPr>
          <w:ilvl w:val="0"/>
          <w:numId w:val="2"/>
        </w:numPr>
        <w:spacing w:after="60" w:before="60" w:line="340"/>
      </w:pPr>
      <w:r>
        <w:rPr>
          <w:rFonts w:ascii="Arial" w:cs="Arial" w:eastAsia="Arial" w:hAnsi="Arial"/>
          <w:b/>
          <w:bCs/>
          <w:color w:val="2C3E50"/>
          <w:sz w:val="22"/>
          <w:szCs w:val="22"/>
        </w:rPr>
        <w:t xml:space="preserve"> de nature à induire le consommateur en erreur sur la véritable origine du produit.</w:t>
      </w:r>
    </w:p>
    <w:p>
      <w:pPr>
        <w:spacing w:after="100" w:before="0"/>
      </w:pPr>
      <w:r>
        <w:t xml:space="preserve"/>
      </w:r>
    </w:p>
    <w:p>
      <w:pPr>
        <w:pStyle w:val="Heading2"/>
        <w:spacing w:after="120" w:before="280"/>
      </w:pPr>
      <w:r>
        <w:rPr>
          <w:rFonts w:ascii="Arial" w:cs="Arial" w:eastAsia="Arial" w:hAnsi="Arial"/>
          <w:b/>
          <w:bCs/>
          <w:color w:val="1E8449"/>
          <w:sz w:val="24"/>
          <w:szCs w:val="24"/>
        </w:rPr>
        <w:t xml:space="preserve">4.2. La durée et le maintien de la protection</w:t>
      </w:r>
    </w:p>
    <w:p>
      <w:pPr>
        <w:spacing w:after="80" w:before="80" w:line="360"/>
        <w:jc w:val="both"/>
      </w:pPr>
      <w:r>
        <w:rPr>
          <w:rFonts w:ascii="Arial" w:cs="Arial" w:eastAsia="Arial" w:hAnsi="Arial"/>
          <w:color w:val="2C3E50"/>
          <w:sz w:val="22"/>
          <w:szCs w:val="22"/>
        </w:rPr>
        <w:t xml:space="preserve">La protection d'une indication géographique enregistrée n'est pas limitée dans le temps, contrairement aux brevets ou aux marques qui font l'objet de renouvellements périodiques. Tant que les conditions qui ont justifié l'enregistrement sont remplies, la protection est maintenue. Toutefois, l'enregistrement peut être annulé ou radié si :</w:t>
      </w:r>
    </w:p>
    <w:p>
      <w:pPr>
        <w:spacing w:after="100" w:before="0"/>
      </w:pPr>
      <w:r>
        <w:t xml:space="preserve"/>
      </w:r>
    </w:p>
    <w:p>
      <w:pPr>
        <w:pStyle w:val="ListParagraph"/>
        <w:numPr>
          <w:ilvl w:val="0"/>
          <w:numId w:val="2"/>
        </w:numPr>
        <w:spacing w:after="60" w:before="60" w:line="340"/>
      </w:pPr>
      <w:r>
        <w:rPr>
          <w:rFonts w:ascii="Arial" w:cs="Arial" w:eastAsia="Arial" w:hAnsi="Arial"/>
          <w:b/>
          <w:bCs/>
          <w:color w:val="2C3E50"/>
          <w:sz w:val="22"/>
          <w:szCs w:val="22"/>
        </w:rPr>
        <w:t xml:space="preserve"> dans le commerce.</w:t>
      </w:r>
    </w:p>
    <w:p>
      <w:pPr>
        <w:pStyle w:val="ListParagraph"/>
        <w:numPr>
          <w:ilvl w:val="0"/>
          <w:numId w:val="2"/>
        </w:numPr>
        <w:spacing w:after="60" w:before="60" w:line="340"/>
      </w:pPr>
      <w:r>
        <w:rPr>
          <w:rFonts w:ascii="Arial" w:cs="Arial" w:eastAsia="Arial" w:hAnsi="Arial"/>
          <w:b/>
          <w:bCs/>
          <w:color w:val="2C3E50"/>
          <w:sz w:val="22"/>
          <w:szCs w:val="22"/>
        </w:rPr>
        <w:t xml:space="preserve"> ne sont plus satisfaites (disparition du lien entre le produit et l'origine, abandon de la production, etc.).</w:t>
      </w:r>
    </w:p>
    <w:p>
      <w:pPr>
        <w:pStyle w:val="ListParagraph"/>
        <w:numPr>
          <w:ilvl w:val="0"/>
          <w:numId w:val="2"/>
        </w:numPr>
        <w:spacing w:after="60" w:before="60" w:line="340"/>
      </w:pPr>
      <w:r>
        <w:rPr>
          <w:rFonts w:ascii="Arial" w:cs="Arial" w:eastAsia="Arial" w:hAnsi="Arial"/>
          <w:b/>
          <w:bCs/>
          <w:color w:val="2C3E50"/>
          <w:sz w:val="22"/>
          <w:szCs w:val="22"/>
        </w:rPr>
        <w:t xml:space="preserve"> de manière effective.</w:t>
      </w:r>
    </w:p>
    <w:p>
      <w:pPr>
        <w:spacing w:after="100" w:before="0"/>
      </w:pPr>
      <w:r>
        <w:t xml:space="preserve"/>
      </w:r>
    </w:p>
    <w:p>
      <w:pPr>
        <w:pStyle w:val="Heading2"/>
        <w:spacing w:after="120" w:before="280"/>
      </w:pPr>
      <w:r>
        <w:rPr>
          <w:rFonts w:ascii="Arial" w:cs="Arial" w:eastAsia="Arial" w:hAnsi="Arial"/>
          <w:b/>
          <w:bCs/>
          <w:color w:val="1E8449"/>
          <w:sz w:val="24"/>
          <w:szCs w:val="24"/>
        </w:rPr>
        <w:t xml:space="preserve">4.3. Les bénéficiaires de la protection</w:t>
      </w:r>
    </w:p>
    <w:p>
      <w:pPr>
        <w:spacing w:after="80" w:before="80" w:line="360"/>
        <w:jc w:val="both"/>
      </w:pPr>
      <w:r>
        <w:rPr>
          <w:rFonts w:ascii="Arial" w:cs="Arial" w:eastAsia="Arial" w:hAnsi="Arial"/>
          <w:color w:val="2C3E50"/>
          <w:sz w:val="22"/>
          <w:szCs w:val="22"/>
        </w:rPr>
        <w:t xml:space="preserve">Contrairement aux marques ou aux brevets qui bénéficient à un titulaire individuel, l'indication géographique profite collectivement à tous les producteurs établis dans l'aire géographique délimitée qui respectent le cahier des charges ou les conditions définies. Aucun producteur individuel ne peut s'approprier l'indication géographique à titre exclusif.</w:t>
      </w:r>
    </w:p>
    <w:p>
      <w:pPr>
        <w:spacing w:after="200" w:before="0"/>
      </w:pPr>
      <w:r>
        <w:t xml:space="preserve"/>
      </w:r>
    </w:p>
    <w:p>
      <w:pPr>
        <w:pStyle w:val="Heading1"/>
        <w:pBdr>
          <w:bottom w:val="single" w:color="1E8449" w:sz="6" w:space="4"/>
        </w:pBdr>
        <w:spacing w:after="180" w:before="360"/>
      </w:pPr>
      <w:r>
        <w:rPr>
          <w:rFonts w:ascii="Arial" w:cs="Arial" w:eastAsia="Arial" w:hAnsi="Arial"/>
          <w:b/>
          <w:bCs/>
          <w:color w:val="1A5276"/>
          <w:sz w:val="28"/>
          <w:szCs w:val="28"/>
        </w:rPr>
        <w:t xml:space="preserve">PARTIE V — LIMITATIONS, EXCEPTIONS ET CONFLITS</w:t>
      </w:r>
    </w:p>
    <w:p>
      <w:pPr>
        <w:spacing w:after="100" w:before="0"/>
      </w:pPr>
      <w:r>
        <w:t xml:space="preserve"/>
      </w:r>
    </w:p>
    <w:p>
      <w:pPr>
        <w:pStyle w:val="Heading2"/>
        <w:spacing w:after="120" w:before="280"/>
      </w:pPr>
      <w:r>
        <w:rPr>
          <w:rFonts w:ascii="Arial" w:cs="Arial" w:eastAsia="Arial" w:hAnsi="Arial"/>
          <w:b/>
          <w:bCs/>
          <w:color w:val="1E8449"/>
          <w:sz w:val="24"/>
          <w:szCs w:val="24"/>
        </w:rPr>
        <w:t xml:space="preserve">5.1. Les limitations à la protection</w:t>
      </w:r>
    </w:p>
    <w:p>
      <w:pPr>
        <w:spacing w:after="80" w:before="80" w:line="360"/>
        <w:jc w:val="both"/>
      </w:pPr>
      <w:r>
        <w:rPr>
          <w:rFonts w:ascii="Arial" w:cs="Arial" w:eastAsia="Arial" w:hAnsi="Arial"/>
          <w:color w:val="2C3E50"/>
          <w:sz w:val="22"/>
          <w:szCs w:val="22"/>
        </w:rPr>
        <w:t xml:space="preserve">L'Accord de Bangui reconnaît certaines limitations à la protection des indications géographiques, dans un souci d'équilibre avec d'autres droits et libertés :</w:t>
      </w:r>
    </w:p>
    <w:p>
      <w:pPr>
        <w:spacing w:after="100" w:before="0"/>
      </w:pPr>
      <w:r>
        <w:t xml:space="preserve"/>
      </w:r>
    </w:p>
    <w:p>
      <w:pPr>
        <w:pStyle w:val="ListParagraph"/>
        <w:numPr>
          <w:ilvl w:val="0"/>
          <w:numId w:val="2"/>
        </w:numPr>
        <w:spacing w:after="60" w:before="60" w:line="340"/>
      </w:pPr>
      <w:r>
        <w:rPr>
          <w:rFonts w:ascii="Arial" w:cs="Arial" w:eastAsia="Arial" w:hAnsi="Arial"/>
          <w:b/>
          <w:bCs/>
          <w:color w:val="2C3E50"/>
          <w:sz w:val="22"/>
          <w:szCs w:val="22"/>
        </w:rPr>
        <w:t xml:space="preserve"> : les personnes qui utilisaient de bonne foi une indication géographique avant son enregistrement peuvent continuer à l'utiliser dans les mêmes conditions, sous réserve des dispositions prévues par l'Annexe VI.</w:t>
      </w:r>
    </w:p>
    <w:p>
      <w:pPr>
        <w:pStyle w:val="ListParagraph"/>
        <w:numPr>
          <w:ilvl w:val="0"/>
          <w:numId w:val="2"/>
        </w:numPr>
        <w:spacing w:after="60" w:before="60" w:line="340"/>
      </w:pPr>
      <w:r>
        <w:rPr>
          <w:rFonts w:ascii="Arial" w:cs="Arial" w:eastAsia="Arial" w:hAnsi="Arial"/>
          <w:b/>
          <w:bCs/>
          <w:color w:val="2C3E50"/>
          <w:sz w:val="22"/>
          <w:szCs w:val="22"/>
        </w:rPr>
        <w:t xml:space="preserve"> : l'utilisation d'indications géographiques à titre descriptif, de manière non commerciale ou pour des references géographiques générales, n'est pas couverte par l'interdiction.</w:t>
      </w:r>
    </w:p>
    <w:p>
      <w:pPr>
        <w:pStyle w:val="ListParagraph"/>
        <w:numPr>
          <w:ilvl w:val="0"/>
          <w:numId w:val="2"/>
        </w:numPr>
        <w:spacing w:after="60" w:before="60" w:line="340"/>
      </w:pPr>
      <w:r>
        <w:rPr>
          <w:rFonts w:ascii="Arial" w:cs="Arial" w:eastAsia="Arial" w:hAnsi="Arial"/>
          <w:b/>
          <w:bCs/>
          <w:color w:val="2C3E50"/>
          <w:sz w:val="22"/>
          <w:szCs w:val="22"/>
        </w:rPr>
        <w:t xml:space="preserve"> : lorsque deux indications géographiques protégées dans des États différents sont homonymes, chacune peut être utilisée, sous réserve que des conditions pratiques existent pour distinguer les deux indications.</w:t>
      </w:r>
    </w:p>
    <w:p>
      <w:pPr>
        <w:spacing w:after="100" w:before="0"/>
      </w:pPr>
      <w:r>
        <w:t xml:space="preserve"/>
      </w:r>
    </w:p>
    <w:p>
      <w:pPr>
        <w:pStyle w:val="Heading2"/>
        <w:spacing w:after="120" w:before="280"/>
      </w:pPr>
      <w:r>
        <w:rPr>
          <w:rFonts w:ascii="Arial" w:cs="Arial" w:eastAsia="Arial" w:hAnsi="Arial"/>
          <w:b/>
          <w:bCs/>
          <w:color w:val="1E8449"/>
          <w:sz w:val="24"/>
          <w:szCs w:val="24"/>
        </w:rPr>
        <w:t xml:space="preserve">5.2. Conflits entre indications géographiques et marques</w:t>
      </w:r>
    </w:p>
    <w:p>
      <w:pPr>
        <w:spacing w:after="80" w:before="80" w:line="360"/>
        <w:jc w:val="both"/>
      </w:pPr>
      <w:r>
        <w:rPr>
          <w:rFonts w:ascii="Arial" w:cs="Arial" w:eastAsia="Arial" w:hAnsi="Arial"/>
          <w:color w:val="2C3E50"/>
          <w:sz w:val="22"/>
          <w:szCs w:val="22"/>
        </w:rPr>
        <w:t xml:space="preserve">L'une des questions les plus délicates en droit des IG est celle du conflit avec les marques enregistrées. L'Accord de Bangui prévoit une solution à ce conflit en établissant une hiérarchie basée sur la chronologie des droits :</w:t>
      </w:r>
    </w:p>
    <w:p>
      <w:pPr>
        <w:spacing w:after="100" w:before="0"/>
      </w:pPr>
      <w:r>
        <w:t xml:space="preserve"/>
      </w:r>
    </w:p>
    <w:p>
      <w:pPr>
        <w:pStyle w:val="ListParagraph"/>
        <w:numPr>
          <w:ilvl w:val="0"/>
          <w:numId w:val="2"/>
        </w:numPr>
        <w:spacing w:after="60" w:before="60" w:line="340"/>
      </w:pPr>
      <w:r>
        <w:rPr>
          <w:rFonts w:ascii="Arial" w:cs="Arial" w:eastAsia="Arial" w:hAnsi="Arial"/>
          <w:b/>
          <w:bCs/>
          <w:color w:val="2C3E50"/>
          <w:sz w:val="22"/>
          <w:szCs w:val="22"/>
        </w:rPr>
        <w:t xml:space="preserve">, ou avant que l'IG n'ait acquis sa protection, la marque peut subsister malgré la protection de l'IG.</w:t>
      </w:r>
    </w:p>
    <w:p>
      <w:pPr>
        <w:pStyle w:val="ListParagraph"/>
        <w:numPr>
          <w:ilvl w:val="0"/>
          <w:numId w:val="2"/>
        </w:numPr>
        <w:spacing w:after="60" w:before="60" w:line="340"/>
      </w:pPr>
      <w:r>
        <w:rPr>
          <w:rFonts w:ascii="Arial" w:cs="Arial" w:eastAsia="Arial" w:hAnsi="Arial"/>
          <w:b/>
          <w:bCs/>
          <w:color w:val="2C3E50"/>
          <w:sz w:val="22"/>
          <w:szCs w:val="22"/>
        </w:rPr>
        <w:t xml:space="preserve">, l'enregistrement de la marque doit être refusé ou invalidé, selon les circonstances.</w:t>
      </w:r>
    </w:p>
    <w:p>
      <w:pPr>
        <w:pStyle w:val="ListParagraph"/>
        <w:numPr>
          <w:ilvl w:val="0"/>
          <w:numId w:val="2"/>
        </w:numPr>
        <w:spacing w:after="60" w:before="60" w:line="340"/>
      </w:pPr>
      <w:r>
        <w:rPr>
          <w:rFonts w:ascii="Arial" w:cs="Arial" w:eastAsia="Arial" w:hAnsi="Arial"/>
          <w:b/>
          <w:bCs/>
          <w:color w:val="2C3E50"/>
          <w:sz w:val="22"/>
          <w:szCs w:val="22"/>
        </w:rPr>
        <w:t xml:space="preserve"> ne peut être enregistrée si elle est susceptible d'induire le public en erreur sur l'origine géographique du produit.</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1E8449" w:sz="12"/>
              <w:left w:val="single" w:color="1E8449" w:sz="12"/>
              <w:bottom w:val="single" w:color="CCCCCC" w:sz="1"/>
              <w:right w:val="single" w:color="CCCCCC" w:sz="1"/>
            </w:tcBorders>
            <w:shd w:fill="EBF5FB" w:val="clear"/>
            <w:tcMar>
              <w:top w:type="dxa" w:w="160"/>
              <w:left w:type="dxa" w:w="200"/>
              <w:bottom w:type="dxa" w:w="160"/>
              <w:right w:type="dxa" w:w="200"/>
            </w:tcMar>
          </w:tcPr>
          <w:p>
            <w:pPr>
              <w:spacing w:after="80" w:before="40"/>
            </w:pPr>
            <w:r>
              <w:rPr>
                <w:rFonts w:ascii="Arial" w:cs="Arial" w:eastAsia="Arial" w:hAnsi="Arial"/>
                <w:b/>
                <w:bCs/>
                <w:color w:val="1A5276"/>
                <w:sz w:val="22"/>
                <w:szCs w:val="22"/>
              </w:rPr>
              <w:t xml:space="preserve">Principe de spécialité</w:t>
            </w:r>
          </w:p>
          <w:p>
            <w:pPr>
              <w:spacing w:after="40" w:before="40" w:line="340"/>
              <w:jc w:val="both"/>
            </w:pPr>
            <w:r>
              <w:rPr>
                <w:rFonts w:ascii="Arial" w:cs="Arial" w:eastAsia="Arial" w:hAnsi="Arial"/>
                <w:color w:val="2C3E50"/>
                <w:sz w:val="21"/>
                <w:szCs w:val="21"/>
              </w:rPr>
              <w:t xml:space="preserve">La protection des indications géographiques est liée aux produits pour lesquels elles ont été enregistrées. Elle ne s'étend pas automatiquement à d'autres catégories de produits. Toutefois, pour les vins et spiritueux, l'Accord de Bangui prévoit une protection renforcée, même en l'absence de risque de confusion.</w:t>
            </w:r>
          </w:p>
        </w:tc>
      </w:tr>
    </w:tbl>
    <w:p>
      <w:pPr>
        <w:spacing w:after="200" w:before="0"/>
      </w:pPr>
      <w:r>
        <w:t xml:space="preserve"/>
      </w:r>
    </w:p>
    <w:p>
      <w:pPr>
        <w:pStyle w:val="Heading1"/>
        <w:pBdr>
          <w:bottom w:val="single" w:color="1E8449" w:sz="6" w:space="4"/>
        </w:pBdr>
        <w:spacing w:after="180" w:before="360"/>
      </w:pPr>
      <w:r>
        <w:rPr>
          <w:rFonts w:ascii="Arial" w:cs="Arial" w:eastAsia="Arial" w:hAnsi="Arial"/>
          <w:b/>
          <w:bCs/>
          <w:color w:val="1A5276"/>
          <w:sz w:val="28"/>
          <w:szCs w:val="28"/>
        </w:rPr>
        <w:t xml:space="preserve">PARTIE VI — SANCTIONS ET VOIES DE RECOURS</w:t>
      </w:r>
    </w:p>
    <w:p>
      <w:pPr>
        <w:spacing w:after="100" w:before="0"/>
      </w:pPr>
      <w:r>
        <w:t xml:space="preserve"/>
      </w:r>
    </w:p>
    <w:p>
      <w:pPr>
        <w:pStyle w:val="Heading2"/>
        <w:spacing w:after="120" w:before="280"/>
      </w:pPr>
      <w:r>
        <w:rPr>
          <w:rFonts w:ascii="Arial" w:cs="Arial" w:eastAsia="Arial" w:hAnsi="Arial"/>
          <w:b/>
          <w:bCs/>
          <w:color w:val="1E8449"/>
          <w:sz w:val="24"/>
          <w:szCs w:val="24"/>
        </w:rPr>
        <w:t xml:space="preserve">6.1. Les mécanismes de sanction</w:t>
      </w:r>
    </w:p>
    <w:p>
      <w:pPr>
        <w:spacing w:after="80" w:before="80" w:line="360"/>
        <w:jc w:val="both"/>
      </w:pPr>
      <w:r>
        <w:rPr>
          <w:rFonts w:ascii="Arial" w:cs="Arial" w:eastAsia="Arial" w:hAnsi="Arial"/>
          <w:color w:val="2C3E50"/>
          <w:sz w:val="22"/>
          <w:szCs w:val="22"/>
        </w:rPr>
        <w:t xml:space="preserve">L'efficacité du système de protection des indications géographiques dépend largement des mécanismes de sanction mis en place. L'Accord de Bangui renvoie aux législations nationales des États membres pour définir les sanctions applicables, tout en posant des principes minimaux :</w:t>
      </w:r>
    </w:p>
    <w:p>
      <w:pPr>
        <w:spacing w:after="100" w:before="0"/>
      </w:pPr>
      <w:r>
        <w:t xml:space="preserve"/>
      </w:r>
    </w:p>
    <w:p>
      <w:pPr>
        <w:pStyle w:val="ListParagraph"/>
        <w:numPr>
          <w:ilvl w:val="0"/>
          <w:numId w:val="2"/>
        </w:numPr>
        <w:spacing w:after="60" w:before="60" w:line="340"/>
      </w:pPr>
      <w:r>
        <w:rPr>
          <w:rFonts w:ascii="Arial" w:cs="Arial" w:eastAsia="Arial" w:hAnsi="Arial"/>
          <w:b/>
          <w:bCs/>
          <w:color w:val="2C3E50"/>
          <w:sz w:val="22"/>
          <w:szCs w:val="22"/>
        </w:rPr>
        <w:t xml:space="preserve"> : les titulaires et bénéficiaires de l'IG peuvent agir en justice pour obtenir la cessation des actes illicites, la réparation du préjudice subi (dommages-intérêts), la destruction des produits contrefaisants et des instruments ayant servi à la contrefaçon.</w:t>
      </w:r>
    </w:p>
    <w:p>
      <w:pPr>
        <w:pStyle w:val="ListParagraph"/>
        <w:numPr>
          <w:ilvl w:val="0"/>
          <w:numId w:val="2"/>
        </w:numPr>
        <w:spacing w:after="60" w:before="60" w:line="340"/>
      </w:pPr>
      <w:r>
        <w:rPr>
          <w:rFonts w:ascii="Arial" w:cs="Arial" w:eastAsia="Arial" w:hAnsi="Arial"/>
          <w:b/>
          <w:bCs/>
          <w:color w:val="2C3E50"/>
          <w:sz w:val="22"/>
          <w:szCs w:val="22"/>
        </w:rPr>
        <w:t xml:space="preserve"> : les États membres peuvent prévoir des sanctions pénales (amendes, emprisonnement) pour les actes de contrefaçon d'indications géographiques, particulièrement lorsque ces actes sont commis à une échelle commerciale.</w:t>
      </w:r>
    </w:p>
    <w:p>
      <w:pPr>
        <w:pStyle w:val="ListParagraph"/>
        <w:numPr>
          <w:ilvl w:val="0"/>
          <w:numId w:val="2"/>
        </w:numPr>
        <w:spacing w:after="60" w:before="60" w:line="340"/>
      </w:pPr>
      <w:r>
        <w:rPr>
          <w:rFonts w:ascii="Arial" w:cs="Arial" w:eastAsia="Arial" w:hAnsi="Arial"/>
          <w:b/>
          <w:bCs/>
          <w:color w:val="2C3E50"/>
          <w:sz w:val="22"/>
          <w:szCs w:val="22"/>
        </w:rPr>
        <w:t xml:space="preserve"> : les autorités douanières peuvent être habilitées à retenir à la frontière des marchandises portant atteinte à des indications géographiques protégées, sur demande des ayants droit.</w:t>
      </w:r>
    </w:p>
    <w:p>
      <w:pPr>
        <w:spacing w:after="100" w:before="0"/>
      </w:pPr>
      <w:r>
        <w:t xml:space="preserve"/>
      </w:r>
    </w:p>
    <w:p>
      <w:pPr>
        <w:pStyle w:val="Heading2"/>
        <w:spacing w:after="120" w:before="280"/>
      </w:pPr>
      <w:r>
        <w:rPr>
          <w:rFonts w:ascii="Arial" w:cs="Arial" w:eastAsia="Arial" w:hAnsi="Arial"/>
          <w:b/>
          <w:bCs/>
          <w:color w:val="1E8449"/>
          <w:sz w:val="24"/>
          <w:szCs w:val="24"/>
        </w:rPr>
        <w:t xml:space="preserve">6.2. Les voies de recours</w:t>
      </w:r>
    </w:p>
    <w:p>
      <w:pPr>
        <w:spacing w:after="80" w:before="80" w:line="360"/>
        <w:jc w:val="both"/>
      </w:pPr>
      <w:r>
        <w:rPr>
          <w:rFonts w:ascii="Arial" w:cs="Arial" w:eastAsia="Arial" w:hAnsi="Arial"/>
          <w:color w:val="2C3E50"/>
          <w:sz w:val="22"/>
          <w:szCs w:val="22"/>
        </w:rPr>
        <w:t xml:space="preserve">L'Accord de Bangui prévoit différentes voies de recours :</w:t>
      </w:r>
    </w:p>
    <w:p>
      <w:pPr>
        <w:spacing w:after="100" w:before="0"/>
      </w:pPr>
      <w:r>
        <w:t xml:space="preserve"/>
      </w:r>
    </w:p>
    <w:p>
      <w:pPr>
        <w:pStyle w:val="ListParagraph"/>
        <w:numPr>
          <w:ilvl w:val="0"/>
          <w:numId w:val="2"/>
        </w:numPr>
        <w:spacing w:after="60" w:before="60" w:line="340"/>
      </w:pPr>
      <w:r>
        <w:rPr>
          <w:rFonts w:ascii="Arial" w:cs="Arial" w:eastAsia="Arial" w:hAnsi="Arial"/>
          <w:b/>
          <w:bCs/>
          <w:color w:val="2C3E50"/>
          <w:sz w:val="22"/>
          <w:szCs w:val="22"/>
        </w:rPr>
        <w:t xml:space="preserve"> devant l'OAPI pour contester une décision de refus d'enregistrement, une radiation ou une inscription.</w:t>
      </w:r>
    </w:p>
    <w:p>
      <w:pPr>
        <w:pStyle w:val="ListParagraph"/>
        <w:numPr>
          <w:ilvl w:val="0"/>
          <w:numId w:val="2"/>
        </w:numPr>
        <w:spacing w:after="60" w:before="60" w:line="340"/>
      </w:pPr>
      <w:r>
        <w:rPr>
          <w:rFonts w:ascii="Arial" w:cs="Arial" w:eastAsia="Arial" w:hAnsi="Arial"/>
          <w:b/>
          <w:bCs/>
          <w:color w:val="2C3E50"/>
          <w:sz w:val="22"/>
          <w:szCs w:val="22"/>
        </w:rPr>
        <w:t xml:space="preserve"> devant les juridictions nationales compétentes des États membres, notamment pour les actions en contrefaçon, en nullité ou en concurrence déloyale.</w:t>
      </w:r>
    </w:p>
    <w:p>
      <w:pPr>
        <w:pStyle w:val="ListParagraph"/>
        <w:numPr>
          <w:ilvl w:val="0"/>
          <w:numId w:val="2"/>
        </w:numPr>
        <w:spacing w:after="60" w:before="60" w:line="340"/>
      </w:pPr>
      <w:r>
        <w:rPr>
          <w:rFonts w:ascii="Arial" w:cs="Arial" w:eastAsia="Arial" w:hAnsi="Arial"/>
          <w:b/>
          <w:bCs/>
          <w:color w:val="2C3E50"/>
          <w:sz w:val="22"/>
          <w:szCs w:val="22"/>
        </w:rPr>
        <w:t xml:space="preserve">, encouragée pour le règlement amiable des litiges entre parties.</w:t>
      </w:r>
    </w:p>
    <w:p>
      <w:pPr>
        <w:spacing w:after="200" w:before="0"/>
      </w:pPr>
      <w:r>
        <w:t xml:space="preserve"/>
      </w:r>
    </w:p>
    <w:p>
      <w:pPr>
        <w:pStyle w:val="Heading1"/>
        <w:pBdr>
          <w:bottom w:val="single" w:color="1E8449" w:sz="6" w:space="4"/>
        </w:pBdr>
        <w:spacing w:after="180" w:before="360"/>
      </w:pPr>
      <w:r>
        <w:rPr>
          <w:rFonts w:ascii="Arial" w:cs="Arial" w:eastAsia="Arial" w:hAnsi="Arial"/>
          <w:b/>
          <w:bCs/>
          <w:color w:val="1A5276"/>
          <w:sz w:val="28"/>
          <w:szCs w:val="28"/>
        </w:rPr>
        <w:t xml:space="preserve">PARTIE VII — ENJEUX ET PERSPECTIVES</w:t>
      </w:r>
    </w:p>
    <w:p>
      <w:pPr>
        <w:spacing w:after="100" w:before="0"/>
      </w:pPr>
      <w:r>
        <w:t xml:space="preserve"/>
      </w:r>
    </w:p>
    <w:p>
      <w:pPr>
        <w:pStyle w:val="Heading2"/>
        <w:spacing w:after="120" w:before="280"/>
      </w:pPr>
      <w:r>
        <w:rPr>
          <w:rFonts w:ascii="Arial" w:cs="Arial" w:eastAsia="Arial" w:hAnsi="Arial"/>
          <w:b/>
          <w:bCs/>
          <w:color w:val="1E8449"/>
          <w:sz w:val="24"/>
          <w:szCs w:val="24"/>
        </w:rPr>
        <w:t xml:space="preserve">7.1. L'importance économique des indications géographiques en Afrique</w:t>
      </w:r>
    </w:p>
    <w:p>
      <w:pPr>
        <w:spacing w:after="80" w:before="80" w:line="360"/>
        <w:jc w:val="both"/>
      </w:pPr>
      <w:r>
        <w:rPr>
          <w:rFonts w:ascii="Arial" w:cs="Arial" w:eastAsia="Arial" w:hAnsi="Arial"/>
          <w:color w:val="2C3E50"/>
          <w:sz w:val="22"/>
          <w:szCs w:val="22"/>
        </w:rPr>
        <w:t xml:space="preserve">Les indications géographiques représentent un enjeu économique majeur pour les pays africains membres de l'OAPI. Plusieurs produits africains ont une réputation internationale liée à leur origine géographique et pourraient bénéficier d'une protection renforcée :</w:t>
      </w:r>
    </w:p>
    <w:p>
      <w:pPr>
        <w:spacing w:after="100" w:before="0"/>
      </w:pPr>
      <w:r>
        <w:t xml:space="preserve"/>
      </w:r>
    </w:p>
    <w:p>
      <w:pPr>
        <w:pStyle w:val="ListParagraph"/>
        <w:numPr>
          <w:ilvl w:val="0"/>
          <w:numId w:val="2"/>
        </w:numPr>
        <w:spacing w:after="60" w:before="60" w:line="340"/>
      </w:pPr>
      <w:r>
        <w:rPr>
          <w:rFonts w:ascii="Arial" w:cs="Arial" w:eastAsia="Arial" w:hAnsi="Arial"/>
          <w:b/>
          <w:bCs/>
          <w:color w:val="2C3E50"/>
          <w:sz w:val="22"/>
          <w:szCs w:val="22"/>
        </w:rPr>
        <w:t xml:space="preserve"> : café du Cameroun, cacao de Côte d'Ivoire, arachides du Sénégal, karité du Burkina Faso.</w:t>
      </w:r>
    </w:p>
    <w:p>
      <w:pPr>
        <w:pStyle w:val="ListParagraph"/>
        <w:numPr>
          <w:ilvl w:val="0"/>
          <w:numId w:val="2"/>
        </w:numPr>
        <w:spacing w:after="60" w:before="60" w:line="340"/>
      </w:pPr>
      <w:r>
        <w:rPr>
          <w:rFonts w:ascii="Arial" w:cs="Arial" w:eastAsia="Arial" w:hAnsi="Arial"/>
          <w:b/>
          <w:bCs/>
          <w:color w:val="2C3E50"/>
          <w:sz w:val="22"/>
          <w:szCs w:val="22"/>
        </w:rPr>
        <w:t xml:space="preserve"> : bogolan du Mali, tissus kente du Ghana, poteries traditionnelles.</w:t>
      </w:r>
    </w:p>
    <w:p>
      <w:pPr>
        <w:pStyle w:val="ListParagraph"/>
        <w:numPr>
          <w:ilvl w:val="0"/>
          <w:numId w:val="2"/>
        </w:numPr>
        <w:spacing w:after="60" w:before="60" w:line="340"/>
      </w:pPr>
      <w:r>
        <w:rPr>
          <w:rFonts w:ascii="Arial" w:cs="Arial" w:eastAsia="Arial" w:hAnsi="Arial"/>
          <w:b/>
          <w:bCs/>
          <w:color w:val="2C3E50"/>
          <w:sz w:val="22"/>
          <w:szCs w:val="22"/>
        </w:rPr>
        <w:t xml:space="preserve"> : bois précieux, plantes médicinales, huiles essentielles.</w:t>
      </w:r>
    </w:p>
    <w:p>
      <w:pPr>
        <w:spacing w:after="100" w:before="0"/>
      </w:pPr>
      <w:r>
        <w:t xml:space="preserve"/>
      </w:r>
    </w:p>
    <w:p>
      <w:pPr>
        <w:spacing w:after="80" w:before="80" w:line="360"/>
        <w:jc w:val="both"/>
      </w:pPr>
      <w:r>
        <w:rPr>
          <w:rFonts w:ascii="Arial" w:cs="Arial" w:eastAsia="Arial" w:hAnsi="Arial"/>
          <w:color w:val="2C3E50"/>
          <w:sz w:val="22"/>
          <w:szCs w:val="22"/>
        </w:rPr>
        <w:t xml:space="preserve">La protection de ces produits par des indications géographiques leur permettrait d'obtenir une reconnaissance internationale, de justifier des prix premium sur les marchés étrangers, et de lutter contre les usurpations et contrefaçons qui pénalisent les producteurs locaux.</w:t>
      </w:r>
    </w:p>
    <w:p>
      <w:pPr>
        <w:spacing w:after="100" w:before="0"/>
      </w:pPr>
      <w:r>
        <w:t xml:space="preserve"/>
      </w:r>
    </w:p>
    <w:p>
      <w:pPr>
        <w:pStyle w:val="Heading2"/>
        <w:spacing w:after="120" w:before="280"/>
      </w:pPr>
      <w:r>
        <w:rPr>
          <w:rFonts w:ascii="Arial" w:cs="Arial" w:eastAsia="Arial" w:hAnsi="Arial"/>
          <w:b/>
          <w:bCs/>
          <w:color w:val="1E8449"/>
          <w:sz w:val="24"/>
          <w:szCs w:val="24"/>
        </w:rPr>
        <w:t xml:space="preserve">7.2. Les défis de mise en œuvre</w:t>
      </w:r>
    </w:p>
    <w:p>
      <w:pPr>
        <w:spacing w:after="80" w:before="80" w:line="360"/>
        <w:jc w:val="both"/>
      </w:pPr>
      <w:r>
        <w:rPr>
          <w:rFonts w:ascii="Arial" w:cs="Arial" w:eastAsia="Arial" w:hAnsi="Arial"/>
          <w:color w:val="2C3E50"/>
          <w:sz w:val="22"/>
          <w:szCs w:val="22"/>
        </w:rPr>
        <w:t xml:space="preserve">Malgré le cadre juridique solide offert par l'Accord de Bangui, plusieurs défis freinent le développement des indications géographiques dans l'espace OAPI :</w:t>
      </w:r>
    </w:p>
    <w:p>
      <w:pPr>
        <w:spacing w:after="100" w:before="0"/>
      </w:pPr>
      <w:r>
        <w:t xml:space="preserve"/>
      </w:r>
    </w:p>
    <w:p>
      <w:pPr>
        <w:pStyle w:val="ListParagraph"/>
        <w:numPr>
          <w:ilvl w:val="0"/>
          <w:numId w:val="2"/>
        </w:numPr>
        <w:spacing w:after="60" w:before="60" w:line="340"/>
      </w:pPr>
      <w:r>
        <w:rPr>
          <w:rFonts w:ascii="Arial" w:cs="Arial" w:eastAsia="Arial" w:hAnsi="Arial"/>
          <w:b/>
          <w:bCs/>
          <w:color w:val="2C3E50"/>
          <w:sz w:val="22"/>
          <w:szCs w:val="22"/>
        </w:rPr>
        <w:t xml:space="preserve"> par les producteurs locaux, qui ignorent souvent l'existence et les avantages de la protection par IG.</w:t>
      </w:r>
    </w:p>
    <w:p>
      <w:pPr>
        <w:pStyle w:val="ListParagraph"/>
        <w:numPr>
          <w:ilvl w:val="0"/>
          <w:numId w:val="2"/>
        </w:numPr>
        <w:spacing w:after="60" w:before="60" w:line="340"/>
      </w:pPr>
      <w:r>
        <w:rPr>
          <w:rFonts w:ascii="Arial" w:cs="Arial" w:eastAsia="Arial" w:hAnsi="Arial"/>
          <w:b/>
          <w:bCs/>
          <w:color w:val="2C3E50"/>
          <w:sz w:val="22"/>
          <w:szCs w:val="22"/>
        </w:rPr>
        <w:t xml:space="preserve"> : la gestion d'une IG requiert une organisation collective des producteurs, ce qui peut s'avérer complexe dans des contextes où les structures associatives sont fragiles.</w:t>
      </w:r>
    </w:p>
    <w:p>
      <w:pPr>
        <w:pStyle w:val="ListParagraph"/>
        <w:numPr>
          <w:ilvl w:val="0"/>
          <w:numId w:val="2"/>
        </w:numPr>
        <w:spacing w:after="60" w:before="60" w:line="340"/>
      </w:pPr>
      <w:r>
        <w:rPr>
          <w:rFonts w:ascii="Arial" w:cs="Arial" w:eastAsia="Arial" w:hAnsi="Arial"/>
          <w:b/>
          <w:bCs/>
          <w:color w:val="2C3E50"/>
          <w:sz w:val="22"/>
          <w:szCs w:val="22"/>
        </w:rPr>
        <w:t xml:space="preserve"> liées aux coûts d'enregistrement et de maintien de la protection, ainsi qu'aux coûts des actions en justice en cas de contrefaçon.</w:t>
      </w:r>
    </w:p>
    <w:p>
      <w:pPr>
        <w:pStyle w:val="ListParagraph"/>
        <w:numPr>
          <w:ilvl w:val="0"/>
          <w:numId w:val="2"/>
        </w:numPr>
        <w:spacing w:after="60" w:before="60" w:line="340"/>
      </w:pPr>
      <w:r>
        <w:rPr>
          <w:rFonts w:ascii="Arial" w:cs="Arial" w:eastAsia="Arial" w:hAnsi="Arial"/>
          <w:b/>
          <w:bCs/>
          <w:color w:val="2C3E50"/>
          <w:sz w:val="22"/>
          <w:szCs w:val="22"/>
        </w:rPr>
        <w:t xml:space="preserve"> pour vérifier que les produits commercialisés sous l'IG respectent bien le cahier des charges.</w:t>
      </w:r>
    </w:p>
    <w:p>
      <w:pPr>
        <w:pStyle w:val="ListParagraph"/>
        <w:numPr>
          <w:ilvl w:val="0"/>
          <w:numId w:val="2"/>
        </w:numPr>
        <w:spacing w:after="60" w:before="60" w:line="340"/>
      </w:pPr>
      <w:r>
        <w:rPr>
          <w:rFonts w:ascii="Arial" w:cs="Arial" w:eastAsia="Arial" w:hAnsi="Arial"/>
          <w:b/>
          <w:bCs/>
          <w:color w:val="2C3E50"/>
          <w:sz w:val="22"/>
          <w:szCs w:val="22"/>
        </w:rPr>
        <w:t xml:space="preserve"> dans certains secteurs, qui limite la portée économique des IG au-delà des frontières nationales.</w:t>
      </w:r>
    </w:p>
    <w:p>
      <w:pPr>
        <w:spacing w:after="100" w:before="0"/>
      </w:pPr>
      <w:r>
        <w:t xml:space="preserve"/>
      </w:r>
    </w:p>
    <w:p>
      <w:pPr>
        <w:pStyle w:val="Heading2"/>
        <w:spacing w:after="120" w:before="280"/>
      </w:pPr>
      <w:r>
        <w:rPr>
          <w:rFonts w:ascii="Arial" w:cs="Arial" w:eastAsia="Arial" w:hAnsi="Arial"/>
          <w:b/>
          <w:bCs/>
          <w:color w:val="1E8449"/>
          <w:sz w:val="24"/>
          <w:szCs w:val="24"/>
        </w:rPr>
        <w:t xml:space="preserve">7.3. Les perspectives de développement</w:t>
      </w:r>
    </w:p>
    <w:p>
      <w:pPr>
        <w:spacing w:after="80" w:before="80" w:line="360"/>
        <w:jc w:val="both"/>
      </w:pPr>
      <w:r>
        <w:rPr>
          <w:rFonts w:ascii="Arial" w:cs="Arial" w:eastAsia="Arial" w:hAnsi="Arial"/>
          <w:color w:val="2C3E50"/>
          <w:sz w:val="22"/>
          <w:szCs w:val="22"/>
        </w:rPr>
        <w:t xml:space="preserve">Pour renforcer le système des indications géographiques dans l'espace OAPI, plusieurs pistes de développement méritent d'être explorées :</w:t>
      </w:r>
    </w:p>
    <w:p>
      <w:pPr>
        <w:spacing w:after="100" w:before="0"/>
      </w:pPr>
      <w:r>
        <w:t xml:space="preserve"/>
      </w:r>
    </w:p>
    <w:p>
      <w:pPr>
        <w:pStyle w:val="ListParagraph"/>
        <w:numPr>
          <w:ilvl w:val="0"/>
          <w:numId w:val="2"/>
        </w:numPr>
        <w:spacing w:after="60" w:before="60" w:line="340"/>
      </w:pPr>
      <w:r>
        <w:rPr>
          <w:rFonts w:ascii="Arial" w:cs="Arial" w:eastAsia="Arial" w:hAnsi="Arial"/>
          <w:b/>
          <w:bCs/>
          <w:color w:val="2C3E50"/>
          <w:sz w:val="22"/>
          <w:szCs w:val="22"/>
        </w:rPr>
        <w:t xml:space="preserve"> des producteurs, des associations professionnelles et des institutions publiques sur les IG.</w:t>
      </w:r>
    </w:p>
    <w:p>
      <w:pPr>
        <w:pStyle w:val="ListParagraph"/>
        <w:numPr>
          <w:ilvl w:val="0"/>
          <w:numId w:val="2"/>
        </w:numPr>
        <w:spacing w:after="60" w:before="60" w:line="340"/>
      </w:pPr>
      <w:r>
        <w:rPr>
          <w:rFonts w:ascii="Arial" w:cs="Arial" w:eastAsia="Arial" w:hAnsi="Arial"/>
          <w:b/>
          <w:bCs/>
          <w:color w:val="2C3E50"/>
          <w:sz w:val="22"/>
          <w:szCs w:val="22"/>
        </w:rPr>
        <w:t xml:space="preserve"> pour aider les groupements de producteurs à constituer leurs dossiers de demande d'IG.</w:t>
      </w:r>
    </w:p>
    <w:p>
      <w:pPr>
        <w:pStyle w:val="ListParagraph"/>
        <w:numPr>
          <w:ilvl w:val="0"/>
          <w:numId w:val="2"/>
        </w:numPr>
        <w:spacing w:after="60" w:before="60" w:line="340"/>
      </w:pPr>
      <w:r>
        <w:rPr>
          <w:rFonts w:ascii="Arial" w:cs="Arial" w:eastAsia="Arial" w:hAnsi="Arial"/>
          <w:b/>
          <w:bCs/>
          <w:color w:val="2C3E50"/>
          <w:sz w:val="22"/>
          <w:szCs w:val="22"/>
        </w:rPr>
        <w:t xml:space="preserve"> de reconnaissance mutuelle des IG entre l'OAPI et d'autres systèmes régionaux (UE, ARIPO, etc.).</w:t>
      </w:r>
    </w:p>
    <w:p>
      <w:pPr>
        <w:pStyle w:val="ListParagraph"/>
        <w:numPr>
          <w:ilvl w:val="0"/>
          <w:numId w:val="2"/>
        </w:numPr>
        <w:spacing w:after="60" w:before="60" w:line="340"/>
      </w:pPr>
      <w:r>
        <w:rPr>
          <w:rFonts w:ascii="Arial" w:cs="Arial" w:eastAsia="Arial" w:hAnsi="Arial"/>
          <w:b/>
          <w:bCs/>
          <w:color w:val="2C3E50"/>
          <w:sz w:val="22"/>
          <w:szCs w:val="22"/>
        </w:rPr>
        <w:t xml:space="preserve"> et de promotion du commerce extérieur des États membres.</w:t>
      </w:r>
    </w:p>
    <w:p>
      <w:pPr>
        <w:pStyle w:val="ListParagraph"/>
        <w:numPr>
          <w:ilvl w:val="0"/>
          <w:numId w:val="2"/>
        </w:numPr>
        <w:spacing w:after="60" w:before="60" w:line="340"/>
      </w:pPr>
      <w:r>
        <w:rPr>
          <w:rFonts w:ascii="Arial" w:cs="Arial" w:eastAsia="Arial" w:hAnsi="Arial"/>
          <w:b/>
          <w:bCs/>
          <w:color w:val="2C3E50"/>
          <w:sz w:val="22"/>
          <w:szCs w:val="22"/>
        </w:rPr>
        <w:t xml:space="preserve"> pour mieux tenir compte des évolutions internationales et des spécificités du contexte africain.</w:t>
      </w:r>
    </w:p>
    <w:p>
      <w:pPr>
        <w:spacing w:after="200" w:before="0"/>
      </w:pPr>
      <w:r>
        <w:t xml:space="preserve"/>
      </w:r>
    </w:p>
    <w:p>
      <w:pPr>
        <w:pStyle w:val="Heading1"/>
        <w:pBdr>
          <w:bottom w:val="single" w:color="1E8449" w:sz="6" w:space="4"/>
        </w:pBdr>
        <w:spacing w:after="180" w:before="360"/>
      </w:pPr>
      <w:r>
        <w:rPr>
          <w:rFonts w:ascii="Arial" w:cs="Arial" w:eastAsia="Arial" w:hAnsi="Arial"/>
          <w:b/>
          <w:bCs/>
          <w:color w:val="1A5276"/>
          <w:sz w:val="28"/>
          <w:szCs w:val="28"/>
        </w:rPr>
        <w:t xml:space="preserve">CONCLUSION</w:t>
      </w:r>
    </w:p>
    <w:p>
      <w:pPr>
        <w:spacing w:after="100" w:before="0"/>
      </w:pPr>
      <w:r>
        <w:t xml:space="preserve"/>
      </w:r>
    </w:p>
    <w:p>
      <w:pPr>
        <w:spacing w:after="80" w:before="80" w:line="360"/>
        <w:jc w:val="both"/>
      </w:pPr>
      <w:r>
        <w:rPr>
          <w:rFonts w:ascii="Arial" w:cs="Arial" w:eastAsia="Arial" w:hAnsi="Arial"/>
          <w:color w:val="2C3E50"/>
          <w:sz w:val="22"/>
          <w:szCs w:val="22"/>
        </w:rPr>
        <w:t xml:space="preserve">L'Accord de Bangui, et plus particulièrement son Annexe VI, offre un cadre juridique cohérent et adapté pour la protection des indications géographiques dans l'espace OAPI. Ce cadre, conforme aux standards internationaux de l'ADPIC, présente l'avantage décisif d'un enregistrement unique valable dans 17 États africains, simplifiant considérablement les démarches des producteurs.</w:t>
      </w:r>
    </w:p>
    <w:p>
      <w:pPr>
        <w:spacing w:after="100" w:before="0"/>
      </w:pPr>
      <w:r>
        <w:t xml:space="preserve"/>
      </w:r>
    </w:p>
    <w:p>
      <w:pPr>
        <w:spacing w:after="80" w:before="80" w:line="360"/>
        <w:jc w:val="both"/>
      </w:pPr>
      <w:r>
        <w:rPr>
          <w:rFonts w:ascii="Arial" w:cs="Arial" w:eastAsia="Arial" w:hAnsi="Arial"/>
          <w:color w:val="2C3E50"/>
          <w:sz w:val="22"/>
          <w:szCs w:val="22"/>
        </w:rPr>
        <w:t xml:space="preserve">La protection des indications géographiques constitue un levier puissant pour la valorisation des produits africains d'excellence, la lutte contre les usurpations et les contrefaçons, et le développement économique des communautés productrices. Elle contribue également à la préservation des savoir-faire traditionnels et du patrimoine culturel des peuples africains.</w:t>
      </w:r>
    </w:p>
    <w:p>
      <w:pPr>
        <w:spacing w:after="100" w:before="0"/>
      </w:pPr>
      <w:r>
        <w:t xml:space="preserve"/>
      </w:r>
    </w:p>
    <w:p>
      <w:pPr>
        <w:spacing w:after="80" w:before="80" w:line="360"/>
        <w:jc w:val="both"/>
      </w:pPr>
      <w:r>
        <w:rPr>
          <w:rFonts w:ascii="Arial" w:cs="Arial" w:eastAsia="Arial" w:hAnsi="Arial"/>
          <w:color w:val="2C3E50"/>
          <w:sz w:val="22"/>
          <w:szCs w:val="22"/>
        </w:rPr>
        <w:t xml:space="preserve">Cependant, pour que ce cadre juridique produise pleinement ses effets, des efforts importants restent à accomplir en matière de sensibilisation, de renforcement des capacités institutionnelles et organisationnelles, et de développement des politiques publiques favorables à l'émergence et à la valorisation des indications géographiques africaines.</w:t>
      </w:r>
    </w:p>
    <w:p>
      <w:pPr>
        <w:spacing w:after="100" w:before="0"/>
      </w:pPr>
      <w:r>
        <w:t xml:space="preserve"/>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none" w:color="FFFFFF" w:sz="0"/>
              <w:left w:val="none" w:color="FFFFFF" w:sz="0"/>
              <w:bottom w:val="none" w:color="FFFFFF" w:sz="0"/>
              <w:right w:val="none" w:color="FFFFFF" w:sz="0"/>
            </w:tcBorders>
            <w:shd w:fill="1A5276" w:val="clear"/>
            <w:tcMar>
              <w:top w:type="dxa" w:w="200"/>
              <w:left w:type="dxa" w:w="300"/>
              <w:bottom w:type="dxa" w:w="200"/>
              <w:right w:type="dxa" w:w="300"/>
            </w:tcMar>
          </w:tcPr>
          <w:p>
            <w:pPr>
              <w:jc w:val="center"/>
            </w:pPr>
            <w:r>
              <w:rPr>
                <w:rFonts w:ascii="Arial" w:cs="Arial" w:eastAsia="Arial" w:hAnsi="Arial"/>
                <w:b/>
                <w:bCs/>
                <w:i/>
                <w:iCs/>
                <w:color w:val="FFFFFF"/>
                <w:sz w:val="22"/>
                <w:szCs w:val="22"/>
              </w:rPr>
              <w:t xml:space="preserve">L'indication géographique est bien plus qu'un signe distinctif : c'est un outil de développement durable au service des communautés productrices d'Afrique.</w:t>
            </w:r>
          </w:p>
        </w:tc>
      </w:tr>
    </w:tbl>
    <w:p>
      <w:pPr>
        <w:spacing w:after="200" w:before="0"/>
      </w:pPr>
      <w:r>
        <w:t xml:space="preserve"/>
      </w:r>
    </w:p>
    <w:p>
      <w:pPr>
        <w:pStyle w:val="Heading1"/>
        <w:pBdr>
          <w:bottom w:val="single" w:color="1E8449" w:sz="6" w:space="4"/>
        </w:pBdr>
        <w:spacing w:after="180" w:before="360"/>
      </w:pPr>
      <w:r>
        <w:rPr>
          <w:rFonts w:ascii="Arial" w:cs="Arial" w:eastAsia="Arial" w:hAnsi="Arial"/>
          <w:b/>
          <w:bCs/>
          <w:color w:val="1A5276"/>
          <w:sz w:val="28"/>
          <w:szCs w:val="28"/>
        </w:rPr>
        <w:t xml:space="preserve">RÉFÉRENCES ET SOURCES</w:t>
      </w:r>
    </w:p>
    <w:p>
      <w:pPr>
        <w:spacing w:after="100" w:before="0"/>
      </w:pPr>
      <w:r>
        <w:t xml:space="preserve"/>
      </w:r>
    </w:p>
    <w:p>
      <w:pPr>
        <w:pStyle w:val="ListParagraph"/>
        <w:numPr>
          <w:ilvl w:val="0"/>
          <w:numId w:val="2"/>
        </w:numPr>
        <w:spacing w:after="60" w:before="60" w:line="340"/>
      </w:pPr>
      <w:r>
        <w:rPr>
          <w:rFonts w:ascii="Arial" w:cs="Arial" w:eastAsia="Arial" w:hAnsi="Arial"/>
          <w:b/>
          <w:bCs/>
          <w:color w:val="2C3E50"/>
          <w:sz w:val="22"/>
          <w:szCs w:val="22"/>
        </w:rPr>
        <w:t xml:space="preserve"> du 2 mars 1977 portant création de l'Organisation Africaine de la Propriété Intellectuelle (OAPI).</w:t>
      </w:r>
    </w:p>
    <w:p>
      <w:pPr>
        <w:pStyle w:val="ListParagraph"/>
        <w:numPr>
          <w:ilvl w:val="0"/>
          <w:numId w:val="2"/>
        </w:numPr>
        <w:spacing w:after="60" w:before="60" w:line="340"/>
      </w:pPr>
      <w:r>
        <w:rPr>
          <w:rFonts w:ascii="Arial" w:cs="Arial" w:eastAsia="Arial" w:hAnsi="Arial"/>
          <w:b/>
          <w:bCs/>
          <w:color w:val="2C3E50"/>
          <w:sz w:val="22"/>
          <w:szCs w:val="22"/>
        </w:rPr>
        <w:t xml:space="preserve"> du 24 février 1999 – Annexe VI relative aux Indications Géographiques.</w:t>
      </w:r>
    </w:p>
    <w:p>
      <w:pPr>
        <w:pStyle w:val="ListParagraph"/>
        <w:numPr>
          <w:ilvl w:val="0"/>
          <w:numId w:val="2"/>
        </w:numPr>
        <w:spacing w:after="60" w:before="60" w:line="340"/>
      </w:pPr>
      <w:r>
        <w:rPr>
          <w:rFonts w:ascii="Arial" w:cs="Arial" w:eastAsia="Arial" w:hAnsi="Arial"/>
          <w:b/>
          <w:bCs/>
          <w:color w:val="2C3E50"/>
          <w:sz w:val="22"/>
          <w:szCs w:val="22"/>
        </w:rPr>
        <w:t xml:space="preserve"> – OMC, 1994.</w:t>
      </w:r>
    </w:p>
    <w:p>
      <w:pPr>
        <w:pStyle w:val="ListParagraph"/>
        <w:numPr>
          <w:ilvl w:val="0"/>
          <w:numId w:val="2"/>
        </w:numPr>
        <w:spacing w:after="60" w:before="60" w:line="340"/>
      </w:pPr>
      <w:r>
        <w:rPr>
          <w:rFonts w:ascii="Arial" w:cs="Arial" w:eastAsia="Arial" w:hAnsi="Arial"/>
          <w:b/>
          <w:bCs/>
          <w:color w:val="2C3E50"/>
          <w:sz w:val="22"/>
          <w:szCs w:val="22"/>
        </w:rPr>
        <w:t xml:space="preserve"> sur la protection des appellations d'origine et leur enregistrement international, 1958.</w:t>
      </w:r>
    </w:p>
    <w:p>
      <w:pPr>
        <w:pStyle w:val="ListParagraph"/>
        <w:numPr>
          <w:ilvl w:val="0"/>
          <w:numId w:val="2"/>
        </w:numPr>
        <w:spacing w:after="60" w:before="60" w:line="340"/>
      </w:pPr>
      <w:r>
        <w:rPr>
          <w:rFonts w:ascii="Arial" w:cs="Arial" w:eastAsia="Arial" w:hAnsi="Arial"/>
          <w:b/>
          <w:bCs/>
          <w:color w:val="2C3E50"/>
          <w:sz w:val="22"/>
          <w:szCs w:val="22"/>
        </w:rPr>
        <w:t xml:space="preserve"> – Site officiel de l'Organisation Africaine de la Propriété Intellectuelle : www.oapi.int</w:t>
      </w:r>
    </w:p>
    <w:p>
      <w:pPr>
        <w:pStyle w:val="ListParagraph"/>
        <w:numPr>
          <w:ilvl w:val="0"/>
          <w:numId w:val="2"/>
        </w:numPr>
        <w:spacing w:after="60" w:before="60" w:line="340"/>
      </w:pPr>
      <w:r>
        <w:rPr>
          <w:rFonts w:ascii="Arial" w:cs="Arial" w:eastAsia="Arial" w:hAnsi="Arial"/>
          <w:b/>
          <w:bCs/>
          <w:color w:val="2C3E50"/>
          <w:sz w:val="22"/>
          <w:szCs w:val="22"/>
        </w:rPr>
        <w:t xml:space="preserve"> – Organisation Mondiale de la Propriété Intellectuelle, documentation sur les indications géographiques.</w:t>
      </w:r>
    </w:p>
    <w:p>
      <w:pPr>
        <w:pStyle w:val="ListParagraph"/>
        <w:numPr>
          <w:ilvl w:val="0"/>
          <w:numId w:val="2"/>
        </w:numPr>
        <w:spacing w:after="60" w:before="60" w:line="340"/>
      </w:pPr>
      <w:r>
        <w:rPr>
          <w:rFonts w:ascii="Arial" w:cs="Arial" w:eastAsia="Arial" w:hAnsi="Arial"/>
          <w:b/>
          <w:bCs/>
          <w:color w:val="2C3E50"/>
          <w:sz w:val="22"/>
          <w:szCs w:val="22"/>
        </w:rPr>
        <w:t xml:space="preserve"> – Guides pratiques sur la mise en valeur des indications géographiques dans les pays en développement.</w:t>
      </w:r>
    </w:p>
    <w:sectPr>
      <w:headerReference w:type="default" r:id="rId7"/>
      <w:footerReference w:type="default" r:id="rId8"/>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spacing w:before="80"/>
    </w:pPr>
    <w:r>
      <w:rPr>
        <w:rFonts w:ascii="Arial" w:cs="Arial" w:eastAsia="Arial" w:hAnsi="Arial"/>
        <w:color w:val="888888"/>
        <w:sz w:val="18"/>
        <w:szCs w:val="18"/>
      </w:rPr>
      <w:t xml:space="preserve">Exposé académique – Indications Géographiques</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8449" w:sz="6" w:space="4"/>
      </w:pBdr>
      <w:tabs>
        <w:tab w:val="right" w:pos="9026"/>
      </w:tabs>
      <w:spacing w:after="120" w:before="0"/>
    </w:pPr>
    <w:r>
      <w:rPr>
        <w:rFonts w:ascii="Arial" w:cs="Arial" w:eastAsia="Arial" w:hAnsi="Arial"/>
        <w:b/>
        <w:bCs/>
        <w:color w:val="1A5276"/>
        <w:sz w:val="20"/>
        <w:szCs w:val="20"/>
      </w:rPr>
      <w:t xml:space="preserve">Les Indications Géographiques et l'Accord de Bangui</w:t>
    </w:r>
    <w:r>
      <w:rPr>
        <w:sz w:val="20"/>
        <w:szCs w:val="20"/>
      </w:rPr>
      <w:t xml:space="preserve">	</w:t>
    </w:r>
    <w:r>
      <w:rPr>
        <w:rFonts w:ascii="Arial" w:cs="Arial" w:eastAsia="Arial" w:hAnsi="Arial"/>
        <w:color w:val="888888"/>
        <w:sz w:val="18"/>
        <w:szCs w:val="18"/>
      </w:rPr>
      <w:t xml:space="preserve">OAPI – Propriété Intellectuelle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5276"/>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1E8449"/>
      <w:sz w:val="24"/>
      <w:szCs w:val="24"/>
    </w:rPr>
  </w:style>
  <w:style w:type="paragraph" w:styleId="Heading3">
    <w:name w:val="Heading 3"/>
    <w:basedOn w:val="Normal"/>
    <w:next w:val="Normal"/>
    <w:qFormat/>
    <w:pPr>
      <w:spacing w:after="100" w:before="200"/>
      <w:outlineLvl w:val="2"/>
    </w:pPr>
    <w:rPr>
      <w:rFonts w:ascii="Arial" w:cs="Arial" w:eastAsia="Arial" w:hAnsi="Arial"/>
      <w:b/>
      <w:bCs/>
      <w:color w:val="B7950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2026-04-21T18:13:06.980Z</dcterms:created>
  <dcterms:modified xsi:type="dcterms:W3CDTF">2026-04-21T18:13:06.981Z</dcterms:modified>
</cp:coreProperties>
</file>

<file path=docProps/custom.xml><?xml version="1.0" encoding="utf-8"?>
<Properties xmlns="http://schemas.openxmlformats.org/officeDocument/2006/custom-properties" xmlns:vt="http://schemas.openxmlformats.org/officeDocument/2006/docPropsVTypes"/>
</file>