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p>
    <w:p>
      <w:pPr>
        <w:tabs>
          <w:tab w:val="left" w:pos="5029"/>
        </w:tabs>
        <w:jc w:val="left"/>
        <w:rPr>
          <w:rFonts w:hint="eastAsia" w:ascii="黑体" w:hAnsi="黑体" w:eastAsia="黑体"/>
          <w:sz w:val="44"/>
          <w:szCs w:val="44"/>
          <w:lang w:eastAsia="zh-CN"/>
        </w:rPr>
      </w:pPr>
      <w:r>
        <w:rPr>
          <w:rFonts w:hint="eastAsia" w:ascii="黑体" w:hAnsi="黑体" w:eastAsia="黑体"/>
          <w:sz w:val="44"/>
          <w:szCs w:val="44"/>
          <w:lang w:eastAsia="zh-CN"/>
        </w:rPr>
        <w:tab/>
      </w:r>
    </w:p>
    <w:p>
      <w:pPr>
        <w:jc w:val="center"/>
        <w:rPr>
          <w:rFonts w:ascii="黑体" w:hAnsi="黑体" w:eastAsia="黑体"/>
          <w:sz w:val="44"/>
          <w:szCs w:val="44"/>
        </w:rPr>
      </w:pPr>
    </w:p>
    <w:p>
      <w:pPr>
        <w:spacing w:beforeLines="50" w:afterLines="50"/>
        <w:jc w:val="center"/>
        <w:rPr>
          <w:rFonts w:ascii="黑体" w:hAnsi="黑体" w:eastAsia="黑体"/>
          <w:sz w:val="44"/>
          <w:szCs w:val="44"/>
        </w:rPr>
      </w:pPr>
      <w:r>
        <w:rPr>
          <w:rFonts w:hint="eastAsia" w:ascii="黑体" w:hAnsi="黑体" w:eastAsia="黑体"/>
          <w:sz w:val="44"/>
          <w:szCs w:val="44"/>
        </w:rPr>
        <w:t>华夏银行</w:t>
      </w:r>
      <w:r>
        <w:rPr>
          <w:rFonts w:hint="eastAsia" w:ascii="黑体" w:hAnsi="黑体" w:eastAsia="黑体" w:cs="黑体"/>
          <w:b w:val="0"/>
          <w:bCs w:val="0"/>
          <w:kern w:val="2"/>
          <w:sz w:val="44"/>
          <w:szCs w:val="44"/>
          <w:lang w:val="en-US" w:eastAsia="zh-CN" w:bidi="ar-SA"/>
        </w:rPr>
        <w:t>信用</w:t>
      </w:r>
      <w:r>
        <w:rPr>
          <w:rFonts w:hint="eastAsia" w:ascii="黑体" w:hAnsi="黑体" w:eastAsia="黑体"/>
          <w:sz w:val="44"/>
          <w:szCs w:val="44"/>
          <w:lang w:val="en-US" w:eastAsia="zh-CN"/>
        </w:rPr>
        <w:t>卡中心</w:t>
      </w:r>
    </w:p>
    <w:p>
      <w:pPr>
        <w:jc w:val="center"/>
        <w:rPr>
          <w:rFonts w:hint="eastAsia" w:ascii="黑体" w:hAnsi="黑体" w:eastAsia="黑体"/>
          <w:sz w:val="44"/>
          <w:szCs w:val="44"/>
          <w:lang w:val="en-US" w:eastAsia="zh-CN"/>
        </w:rPr>
      </w:pPr>
      <w:r>
        <w:rPr>
          <w:rFonts w:hint="eastAsia" w:ascii="黑体" w:hAnsi="黑体" w:eastAsia="黑体"/>
          <w:sz w:val="44"/>
          <w:szCs w:val="44"/>
          <w:lang w:val="en-US" w:eastAsia="zh-CN"/>
        </w:rPr>
        <w:t>新增采购互联网多头借贷信息数据项目-审批系统</w:t>
      </w:r>
    </w:p>
    <w:p>
      <w:pPr>
        <w:spacing w:beforeLines="50" w:afterLines="50"/>
        <w:jc w:val="center"/>
        <w:rPr>
          <w:rFonts w:ascii="黑体" w:hAnsi="黑体" w:eastAsia="黑体"/>
          <w:sz w:val="44"/>
          <w:szCs w:val="44"/>
        </w:rPr>
      </w:pPr>
      <w:r>
        <w:rPr>
          <w:rFonts w:hint="eastAsia" w:ascii="黑体" w:hAnsi="黑体" w:eastAsia="黑体"/>
          <w:sz w:val="44"/>
          <w:szCs w:val="44"/>
        </w:rPr>
        <w:t>软件需求规格说明书</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36"/>
          <w:szCs w:val="36"/>
        </w:rPr>
      </w:pPr>
      <w:r>
        <w:rPr>
          <w:rFonts w:hint="eastAsia" w:ascii="黑体" w:hAnsi="黑体" w:eastAsia="黑体" w:cs="黑体"/>
          <w:sz w:val="36"/>
          <w:szCs w:val="36"/>
        </w:rPr>
        <w:t>版本：V1.0</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widowControl/>
        <w:jc w:val="center"/>
        <w:rPr>
          <w:rFonts w:ascii="黑体" w:hAnsi="黑体" w:eastAsia="黑体" w:cs="黑体"/>
          <w:sz w:val="32"/>
          <w:szCs w:val="32"/>
        </w:rPr>
      </w:pPr>
    </w:p>
    <w:p>
      <w:pPr>
        <w:widowControl/>
        <w:jc w:val="center"/>
        <w:rPr>
          <w:rFonts w:ascii="黑体" w:hAnsi="黑体" w:eastAsia="黑体" w:cs="黑体"/>
          <w:sz w:val="36"/>
          <w:szCs w:val="36"/>
        </w:rPr>
      </w:pPr>
      <w:r>
        <w:rPr>
          <w:rFonts w:hint="eastAsia" w:ascii="黑体" w:hAnsi="黑体" w:eastAsia="黑体" w:cs="黑体"/>
          <w:sz w:val="36"/>
          <w:szCs w:val="36"/>
        </w:rPr>
        <w:t>上海中软华腾软件系统有限公司</w:t>
      </w:r>
    </w:p>
    <w:p>
      <w:pPr>
        <w:widowControl/>
        <w:jc w:val="center"/>
        <w:rPr>
          <w:rFonts w:ascii="黑体" w:hAnsi="黑体" w:eastAsia="黑体" w:cs="黑体"/>
          <w:sz w:val="36"/>
          <w:szCs w:val="36"/>
        </w:rPr>
      </w:pPr>
      <w:r>
        <w:rPr>
          <w:rFonts w:hint="eastAsia" w:ascii="黑体" w:hAnsi="黑体" w:eastAsia="黑体" w:cs="黑体"/>
          <w:sz w:val="36"/>
          <w:szCs w:val="36"/>
        </w:rPr>
        <w:t>20</w:t>
      </w:r>
      <w:r>
        <w:rPr>
          <w:rFonts w:hint="eastAsia" w:ascii="黑体" w:hAnsi="黑体" w:eastAsia="黑体" w:cs="黑体"/>
          <w:sz w:val="36"/>
          <w:szCs w:val="36"/>
          <w:lang w:val="en-US" w:eastAsia="zh-CN"/>
        </w:rPr>
        <w:t>20</w:t>
      </w:r>
      <w:r>
        <w:rPr>
          <w:rFonts w:hint="eastAsia" w:ascii="黑体" w:hAnsi="黑体" w:eastAsia="黑体" w:cs="黑体"/>
          <w:sz w:val="36"/>
          <w:szCs w:val="36"/>
        </w:rPr>
        <w:t>年0</w:t>
      </w:r>
      <w:r>
        <w:rPr>
          <w:rFonts w:hint="eastAsia" w:ascii="黑体" w:hAnsi="黑体" w:eastAsia="黑体" w:cs="黑体"/>
          <w:sz w:val="36"/>
          <w:szCs w:val="36"/>
          <w:lang w:val="en-US" w:eastAsia="zh-CN"/>
        </w:rPr>
        <w:t>6</w:t>
      </w:r>
      <w:r>
        <w:rPr>
          <w:rFonts w:hint="eastAsia" w:ascii="黑体" w:hAnsi="黑体" w:eastAsia="黑体" w:cs="黑体"/>
          <w:sz w:val="36"/>
          <w:szCs w:val="36"/>
        </w:rPr>
        <w:t>月</w:t>
      </w:r>
    </w:p>
    <w:p>
      <w:pPr>
        <w:spacing w:beforeLines="50" w:afterLines="50"/>
        <w:jc w:val="center"/>
        <w:rPr>
          <w:rFonts w:ascii="黑体" w:hAnsi="黑体" w:eastAsia="黑体"/>
          <w:sz w:val="44"/>
          <w:szCs w:val="44"/>
        </w:rPr>
      </w:pPr>
    </w:p>
    <w:p>
      <w:pPr>
        <w:jc w:val="center"/>
        <w:rPr>
          <w:rFonts w:ascii="黑体" w:hAnsi="黑体" w:eastAsia="黑体"/>
          <w:sz w:val="32"/>
          <w:szCs w:val="32"/>
        </w:rPr>
        <w:sectPr>
          <w:pgSz w:w="11906" w:h="16838"/>
          <w:pgMar w:top="1440" w:right="1800" w:bottom="1440" w:left="1800" w:header="851" w:footer="992" w:gutter="0"/>
          <w:cols w:space="720"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11"/>
        <w:tabs>
          <w:tab w:val="right" w:leader="dot" w:pos="8306"/>
        </w:tabs>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TOC \o "1-5" \f \h \z \u </w:instrText>
      </w:r>
      <w:r>
        <w:rPr>
          <w:rFonts w:hint="eastAsia" w:ascii="黑体" w:hAnsi="黑体" w:eastAsia="黑体" w:cs="黑体"/>
          <w:sz w:val="24"/>
          <w:szCs w:val="24"/>
        </w:rPr>
        <w:fldChar w:fldCharType="separate"/>
      </w:r>
      <w:r>
        <w:rPr>
          <w:rFonts w:hint="eastAsia" w:ascii="黑体" w:hAnsi="黑体" w:eastAsia="黑体" w:cs="黑体"/>
          <w:szCs w:val="24"/>
        </w:rPr>
        <w:fldChar w:fldCharType="begin"/>
      </w:r>
      <w:r>
        <w:rPr>
          <w:rFonts w:hint="eastAsia" w:ascii="黑体" w:hAnsi="黑体" w:eastAsia="黑体" w:cs="黑体"/>
          <w:szCs w:val="24"/>
        </w:rPr>
        <w:instrText xml:space="preserve"> HYPERLINK \l _Toc31659 </w:instrText>
      </w:r>
      <w:r>
        <w:rPr>
          <w:rFonts w:hint="eastAsia" w:ascii="黑体" w:hAnsi="黑体" w:eastAsia="黑体" w:cs="黑体"/>
          <w:szCs w:val="24"/>
        </w:rPr>
        <w:fldChar w:fldCharType="separate"/>
      </w:r>
      <w:r>
        <w:rPr>
          <w:rFonts w:hint="eastAsia" w:ascii="黑体" w:hAnsi="黑体" w:eastAsia="黑体" w:cs="黑体"/>
          <w:szCs w:val="36"/>
        </w:rPr>
        <w:t>1. 引言</w:t>
      </w:r>
      <w:r>
        <w:tab/>
      </w:r>
      <w:r>
        <w:fldChar w:fldCharType="begin"/>
      </w:r>
      <w:r>
        <w:instrText xml:space="preserve"> PAGEREF _Toc31659 </w:instrText>
      </w:r>
      <w:r>
        <w:fldChar w:fldCharType="separate"/>
      </w:r>
      <w:r>
        <w:t>3</w:t>
      </w:r>
      <w:r>
        <w:fldChar w:fldCharType="end"/>
      </w:r>
      <w:r>
        <w:rPr>
          <w:rFonts w:hint="eastAsia" w:ascii="黑体" w:hAnsi="黑体" w:eastAsia="黑体" w:cs="黑体"/>
          <w:szCs w:val="24"/>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_Toc13407 </w:instrText>
      </w:r>
      <w:r>
        <w:rPr>
          <w:rFonts w:hint="eastAsia" w:ascii="黑体" w:hAnsi="黑体" w:eastAsia="黑体" w:cs="黑体"/>
        </w:rPr>
        <w:fldChar w:fldCharType="separate"/>
      </w:r>
      <w:r>
        <w:rPr>
          <w:rFonts w:hint="eastAsia" w:ascii="黑体" w:hAnsi="黑体" w:eastAsia="黑体"/>
        </w:rPr>
        <w:t>1.1. 编写目的</w:t>
      </w:r>
      <w:r>
        <w:tab/>
      </w:r>
      <w:r>
        <w:fldChar w:fldCharType="begin"/>
      </w:r>
      <w:r>
        <w:instrText xml:space="preserve"> PAGEREF _Toc13407 </w:instrText>
      </w:r>
      <w:r>
        <w:fldChar w:fldCharType="separate"/>
      </w:r>
      <w:r>
        <w:t>3</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_Toc2922 </w:instrText>
      </w:r>
      <w:r>
        <w:rPr>
          <w:rFonts w:hint="eastAsia" w:ascii="黑体" w:hAnsi="黑体" w:eastAsia="黑体" w:cs="黑体"/>
        </w:rPr>
        <w:fldChar w:fldCharType="separate"/>
      </w:r>
      <w:r>
        <w:rPr>
          <w:rFonts w:hint="eastAsia" w:ascii="黑体" w:hAnsi="黑体" w:eastAsia="黑体"/>
        </w:rPr>
        <w:t>1.2. 项目背景</w:t>
      </w:r>
      <w:r>
        <w:tab/>
      </w:r>
      <w:r>
        <w:fldChar w:fldCharType="begin"/>
      </w:r>
      <w:r>
        <w:instrText xml:space="preserve"> PAGEREF _Toc2922 </w:instrText>
      </w:r>
      <w:r>
        <w:fldChar w:fldCharType="separate"/>
      </w:r>
      <w:r>
        <w:t>3</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_Toc28291 </w:instrText>
      </w:r>
      <w:r>
        <w:rPr>
          <w:rFonts w:hint="eastAsia" w:ascii="黑体" w:hAnsi="黑体" w:eastAsia="黑体" w:cs="黑体"/>
        </w:rPr>
        <w:fldChar w:fldCharType="separate"/>
      </w:r>
      <w:r>
        <w:rPr>
          <w:rFonts w:hint="eastAsia" w:ascii="黑体" w:hAnsi="黑体" w:eastAsia="黑体"/>
        </w:rPr>
        <w:t>1.3. 术语缩写</w:t>
      </w:r>
      <w:r>
        <w:tab/>
      </w:r>
      <w:r>
        <w:fldChar w:fldCharType="begin"/>
      </w:r>
      <w:r>
        <w:instrText xml:space="preserve"> PAGEREF _Toc28291 </w:instrText>
      </w:r>
      <w:r>
        <w:fldChar w:fldCharType="separate"/>
      </w:r>
      <w:r>
        <w:t>3</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_Toc2427 </w:instrText>
      </w:r>
      <w:r>
        <w:rPr>
          <w:rFonts w:hint="eastAsia" w:ascii="黑体" w:hAnsi="黑体" w:eastAsia="黑体" w:cs="黑体"/>
        </w:rPr>
        <w:fldChar w:fldCharType="separate"/>
      </w:r>
      <w:r>
        <w:rPr>
          <w:rFonts w:hint="eastAsia" w:ascii="黑体" w:hAnsi="黑体" w:eastAsia="黑体"/>
        </w:rPr>
        <w:t>1.4. 参考资料</w:t>
      </w:r>
      <w:r>
        <w:tab/>
      </w:r>
      <w:r>
        <w:fldChar w:fldCharType="begin"/>
      </w:r>
      <w:r>
        <w:instrText xml:space="preserve"> PAGEREF _Toc2427 </w:instrText>
      </w:r>
      <w:r>
        <w:fldChar w:fldCharType="separate"/>
      </w:r>
      <w:r>
        <w:t>4</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_Toc13568 </w:instrText>
      </w:r>
      <w:r>
        <w:rPr>
          <w:rFonts w:hint="eastAsia" w:ascii="黑体" w:hAnsi="黑体" w:eastAsia="黑体" w:cs="黑体"/>
        </w:rPr>
        <w:fldChar w:fldCharType="separate"/>
      </w:r>
      <w:r>
        <w:rPr>
          <w:rFonts w:hint="eastAsia" w:ascii="黑体" w:hAnsi="黑体" w:eastAsia="黑体" w:cs="黑体"/>
          <w:szCs w:val="36"/>
        </w:rPr>
        <w:t>2. 项目概述</w:t>
      </w:r>
      <w:r>
        <w:tab/>
      </w:r>
      <w:r>
        <w:fldChar w:fldCharType="begin"/>
      </w:r>
      <w:r>
        <w:instrText xml:space="preserve"> PAGEREF _Toc13568 </w:instrText>
      </w:r>
      <w:r>
        <w:fldChar w:fldCharType="separate"/>
      </w:r>
      <w:r>
        <w:t>4</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_Toc8596 </w:instrText>
      </w:r>
      <w:r>
        <w:rPr>
          <w:rFonts w:hint="eastAsia" w:ascii="黑体" w:hAnsi="黑体" w:eastAsia="黑体" w:cs="黑体"/>
        </w:rPr>
        <w:fldChar w:fldCharType="separate"/>
      </w:r>
      <w:r>
        <w:rPr>
          <w:rFonts w:hint="eastAsia" w:ascii="黑体" w:hAnsi="黑体" w:eastAsia="黑体"/>
        </w:rPr>
        <w:t>2.1. 产品描述</w:t>
      </w:r>
      <w:r>
        <w:tab/>
      </w:r>
      <w:r>
        <w:fldChar w:fldCharType="begin"/>
      </w:r>
      <w:r>
        <w:instrText xml:space="preserve"> PAGEREF _Toc8596 </w:instrText>
      </w:r>
      <w:r>
        <w:fldChar w:fldCharType="separate"/>
      </w:r>
      <w:r>
        <w:t>4</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_Toc8475 </w:instrText>
      </w:r>
      <w:r>
        <w:rPr>
          <w:rFonts w:hint="eastAsia" w:ascii="黑体" w:hAnsi="黑体" w:eastAsia="黑体" w:cs="黑体"/>
        </w:rPr>
        <w:fldChar w:fldCharType="separate"/>
      </w:r>
      <w:r>
        <w:rPr>
          <w:rFonts w:hint="eastAsia" w:ascii="黑体" w:hAnsi="黑体" w:eastAsia="黑体"/>
        </w:rPr>
        <w:t>2.2. 产品功能</w:t>
      </w:r>
      <w:r>
        <w:tab/>
      </w:r>
      <w:r>
        <w:fldChar w:fldCharType="begin"/>
      </w:r>
      <w:r>
        <w:instrText xml:space="preserve"> PAGEREF _Toc8475 </w:instrText>
      </w:r>
      <w:r>
        <w:fldChar w:fldCharType="separate"/>
      </w:r>
      <w:r>
        <w:t>5</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_Toc23219 </w:instrText>
      </w:r>
      <w:r>
        <w:rPr>
          <w:rFonts w:hint="eastAsia" w:ascii="黑体" w:hAnsi="黑体" w:eastAsia="黑体" w:cs="黑体"/>
        </w:rPr>
        <w:fldChar w:fldCharType="separate"/>
      </w:r>
      <w:r>
        <w:rPr>
          <w:rFonts w:hint="eastAsia" w:ascii="黑体" w:hAnsi="黑体" w:eastAsia="黑体"/>
        </w:rPr>
        <w:t>2.3. 用户场景</w:t>
      </w:r>
      <w:r>
        <w:tab/>
      </w:r>
      <w:r>
        <w:fldChar w:fldCharType="begin"/>
      </w:r>
      <w:r>
        <w:instrText xml:space="preserve"> PAGEREF _Toc23219 </w:instrText>
      </w:r>
      <w:r>
        <w:fldChar w:fldCharType="separate"/>
      </w:r>
      <w:r>
        <w:t>6</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_Toc11669 </w:instrText>
      </w:r>
      <w:r>
        <w:rPr>
          <w:rFonts w:hint="eastAsia" w:ascii="黑体" w:hAnsi="黑体" w:eastAsia="黑体" w:cs="黑体"/>
        </w:rPr>
        <w:fldChar w:fldCharType="separate"/>
      </w:r>
      <w:r>
        <w:rPr>
          <w:rFonts w:hint="eastAsia" w:ascii="黑体" w:hAnsi="黑体" w:eastAsia="黑体"/>
        </w:rPr>
        <w:t>2.4. 一般约束</w:t>
      </w:r>
      <w:r>
        <w:tab/>
      </w:r>
      <w:r>
        <w:fldChar w:fldCharType="begin"/>
      </w:r>
      <w:r>
        <w:instrText xml:space="preserve"> PAGEREF _Toc11669 </w:instrText>
      </w:r>
      <w:r>
        <w:fldChar w:fldCharType="separate"/>
      </w:r>
      <w:r>
        <w:t>6</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_Toc32094 </w:instrText>
      </w:r>
      <w:r>
        <w:rPr>
          <w:rFonts w:hint="eastAsia" w:ascii="黑体" w:hAnsi="黑体" w:eastAsia="黑体" w:cs="黑体"/>
        </w:rPr>
        <w:fldChar w:fldCharType="separate"/>
      </w:r>
      <w:r>
        <w:rPr>
          <w:rFonts w:hint="eastAsia" w:ascii="黑体" w:hAnsi="黑体" w:eastAsia="黑体"/>
        </w:rPr>
        <w:t>2.5. 假设与依据</w:t>
      </w:r>
      <w:r>
        <w:tab/>
      </w:r>
      <w:r>
        <w:fldChar w:fldCharType="begin"/>
      </w:r>
      <w:r>
        <w:instrText xml:space="preserve"> PAGEREF _Toc32094 </w:instrText>
      </w:r>
      <w:r>
        <w:fldChar w:fldCharType="separate"/>
      </w:r>
      <w:r>
        <w:t>6</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_Toc7784 </w:instrText>
      </w:r>
      <w:r>
        <w:rPr>
          <w:rFonts w:hint="eastAsia" w:ascii="黑体" w:hAnsi="黑体" w:eastAsia="黑体" w:cs="黑体"/>
        </w:rPr>
        <w:fldChar w:fldCharType="separate"/>
      </w:r>
      <w:r>
        <w:rPr>
          <w:rFonts w:hint="eastAsia" w:ascii="黑体" w:hAnsi="黑体" w:eastAsia="黑体" w:cs="黑体"/>
          <w:szCs w:val="36"/>
          <w:lang w:val="en-US" w:eastAsia="zh-CN"/>
        </w:rPr>
        <w:t>3. 具体要求</w:t>
      </w:r>
      <w:r>
        <w:tab/>
      </w:r>
      <w:r>
        <w:fldChar w:fldCharType="begin"/>
      </w:r>
      <w:r>
        <w:instrText xml:space="preserve"> PAGEREF _Toc7784 </w:instrText>
      </w:r>
      <w:r>
        <w:fldChar w:fldCharType="separate"/>
      </w:r>
      <w:r>
        <w:t>7</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_Toc3340 </w:instrText>
      </w:r>
      <w:r>
        <w:rPr>
          <w:rFonts w:hint="eastAsia" w:ascii="黑体" w:hAnsi="黑体" w:eastAsia="黑体" w:cs="黑体"/>
        </w:rPr>
        <w:fldChar w:fldCharType="separate"/>
      </w:r>
      <w:r>
        <w:rPr>
          <w:rFonts w:hint="eastAsia" w:ascii="黑体" w:hAnsi="黑体" w:eastAsia="黑体"/>
        </w:rPr>
        <w:t>3.1. 功能清单</w:t>
      </w:r>
      <w:r>
        <w:tab/>
      </w:r>
      <w:r>
        <w:fldChar w:fldCharType="begin"/>
      </w:r>
      <w:r>
        <w:instrText xml:space="preserve"> PAGEREF _Toc3340 </w:instrText>
      </w:r>
      <w:r>
        <w:fldChar w:fldCharType="separate"/>
      </w:r>
      <w:r>
        <w:t>7</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_Toc772 </w:instrText>
      </w:r>
      <w:r>
        <w:rPr>
          <w:rFonts w:hint="eastAsia" w:ascii="黑体" w:hAnsi="黑体" w:eastAsia="黑体" w:cs="黑体"/>
        </w:rPr>
        <w:fldChar w:fldCharType="separate"/>
      </w:r>
      <w:r>
        <w:rPr>
          <w:rFonts w:hint="eastAsia" w:ascii="黑体" w:hAnsi="黑体" w:eastAsia="黑体"/>
        </w:rPr>
        <w:t>3.2. 功能需求</w:t>
      </w:r>
      <w:r>
        <w:tab/>
      </w:r>
      <w:r>
        <w:fldChar w:fldCharType="begin"/>
      </w:r>
      <w:r>
        <w:instrText xml:space="preserve"> PAGEREF _Toc772 </w:instrText>
      </w:r>
      <w:r>
        <w:fldChar w:fldCharType="separate"/>
      </w:r>
      <w:r>
        <w:t>7</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_Toc30177 </w:instrText>
      </w:r>
      <w:r>
        <w:rPr>
          <w:rFonts w:hint="eastAsia" w:ascii="黑体" w:hAnsi="黑体" w:eastAsia="黑体" w:cs="黑体"/>
        </w:rPr>
        <w:fldChar w:fldCharType="separate"/>
      </w:r>
      <w:r>
        <w:rPr>
          <w:rFonts w:hint="eastAsia" w:ascii="黑体" w:hAnsi="黑体" w:eastAsia="黑体"/>
          <w:szCs w:val="30"/>
        </w:rPr>
        <w:t xml:space="preserve">3.3.1. </w:t>
      </w:r>
      <w:r>
        <w:rPr>
          <w:rFonts w:hint="eastAsia" w:ascii="黑体" w:hAnsi="黑体" w:eastAsia="黑体"/>
          <w:szCs w:val="30"/>
          <w:lang w:val="en-US" w:eastAsia="zh-CN"/>
        </w:rPr>
        <w:t>审批系统第三方模块接入数据源服务配套改造</w:t>
      </w:r>
      <w:r>
        <w:tab/>
      </w:r>
      <w:r>
        <w:fldChar w:fldCharType="begin"/>
      </w:r>
      <w:r>
        <w:instrText xml:space="preserve"> PAGEREF _Toc30177 </w:instrText>
      </w:r>
      <w:r>
        <w:fldChar w:fldCharType="separate"/>
      </w:r>
      <w:r>
        <w:t>7</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_Toc4012 </w:instrText>
      </w:r>
      <w:r>
        <w:rPr>
          <w:rFonts w:hint="eastAsia" w:ascii="黑体" w:hAnsi="黑体" w:eastAsia="黑体" w:cs="黑体"/>
        </w:rPr>
        <w:fldChar w:fldCharType="separate"/>
      </w:r>
      <w:r>
        <w:rPr>
          <w:rFonts w:hint="eastAsia" w:ascii="黑体" w:hAnsi="黑体" w:eastAsia="黑体"/>
          <w:szCs w:val="30"/>
          <w:lang w:val="en-US" w:eastAsia="zh-CN"/>
        </w:rPr>
        <w:t>3.3.2. 审批系统第三方模块数据源查询异常处理机制</w:t>
      </w:r>
      <w:r>
        <w:tab/>
      </w:r>
      <w:r>
        <w:fldChar w:fldCharType="begin"/>
      </w:r>
      <w:r>
        <w:instrText xml:space="preserve"> PAGEREF _Toc4012 </w:instrText>
      </w:r>
      <w:r>
        <w:fldChar w:fldCharType="separate"/>
      </w:r>
      <w:r>
        <w:t>7</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_Toc22804 </w:instrText>
      </w:r>
      <w:r>
        <w:rPr>
          <w:rFonts w:hint="eastAsia" w:ascii="黑体" w:hAnsi="黑体" w:eastAsia="黑体" w:cs="黑体"/>
        </w:rPr>
        <w:fldChar w:fldCharType="separate"/>
      </w:r>
      <w:r>
        <w:rPr>
          <w:rFonts w:hint="eastAsia" w:ascii="黑体" w:hAnsi="黑体" w:eastAsia="黑体"/>
          <w:szCs w:val="30"/>
          <w:lang w:val="en-US" w:eastAsia="zh-CN"/>
        </w:rPr>
        <w:t>3.3.3. 审批系统征信策略规则配套改造</w:t>
      </w:r>
      <w:r>
        <w:tab/>
      </w:r>
      <w:r>
        <w:fldChar w:fldCharType="begin"/>
      </w:r>
      <w:r>
        <w:instrText xml:space="preserve"> PAGEREF _Toc22804 </w:instrText>
      </w:r>
      <w:r>
        <w:fldChar w:fldCharType="separate"/>
      </w:r>
      <w:r>
        <w:t>7</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_Toc11956 </w:instrText>
      </w:r>
      <w:r>
        <w:rPr>
          <w:rFonts w:hint="eastAsia" w:ascii="黑体" w:hAnsi="黑体" w:eastAsia="黑体" w:cs="黑体"/>
        </w:rPr>
        <w:fldChar w:fldCharType="separate"/>
      </w:r>
      <w:r>
        <w:rPr>
          <w:rFonts w:hint="eastAsia" w:ascii="黑体" w:hAnsi="黑体" w:eastAsia="黑体"/>
          <w:szCs w:val="30"/>
          <w:lang w:val="en-US" w:eastAsia="zh-CN"/>
        </w:rPr>
        <w:t>3.3.4. 审批系统数据源页面配置功能</w:t>
      </w:r>
      <w:r>
        <w:tab/>
      </w:r>
      <w:r>
        <w:fldChar w:fldCharType="begin"/>
      </w:r>
      <w:r>
        <w:instrText xml:space="preserve"> PAGEREF _Toc11956 </w:instrText>
      </w:r>
      <w:r>
        <w:fldChar w:fldCharType="separate"/>
      </w:r>
      <w:r>
        <w:t>8</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_Toc30137 </w:instrText>
      </w:r>
      <w:r>
        <w:rPr>
          <w:rFonts w:hint="eastAsia" w:ascii="黑体" w:hAnsi="黑体" w:eastAsia="黑体" w:cs="黑体"/>
        </w:rPr>
        <w:fldChar w:fldCharType="separate"/>
      </w:r>
      <w:r>
        <w:rPr>
          <w:rFonts w:hint="eastAsia" w:ascii="黑体" w:hAnsi="黑体" w:eastAsia="黑体"/>
          <w:szCs w:val="30"/>
          <w:lang w:val="en-US" w:eastAsia="zh-CN"/>
        </w:rPr>
        <w:t>3.3.5. 审批系统第三方征信策略配套改造（查询策略）</w:t>
      </w:r>
      <w:r>
        <w:tab/>
      </w:r>
      <w:r>
        <w:fldChar w:fldCharType="begin"/>
      </w:r>
      <w:r>
        <w:instrText xml:space="preserve"> PAGEREF _Toc30137 </w:instrText>
      </w:r>
      <w:r>
        <w:fldChar w:fldCharType="separate"/>
      </w:r>
      <w:r>
        <w:t>9</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_Toc28841 </w:instrText>
      </w:r>
      <w:r>
        <w:rPr>
          <w:rFonts w:hint="eastAsia" w:ascii="黑体" w:hAnsi="黑体" w:eastAsia="黑体" w:cs="黑体"/>
        </w:rPr>
        <w:fldChar w:fldCharType="separate"/>
      </w:r>
      <w:r>
        <w:rPr>
          <w:rFonts w:hint="eastAsia" w:ascii="黑体" w:hAnsi="黑体" w:eastAsia="黑体"/>
          <w:szCs w:val="30"/>
          <w:lang w:val="en-US" w:eastAsia="zh-CN"/>
        </w:rPr>
        <w:t>3.3.6. 审批系统与决策系统交互接口配套改造</w:t>
      </w:r>
      <w:r>
        <w:tab/>
      </w:r>
      <w:r>
        <w:fldChar w:fldCharType="begin"/>
      </w:r>
      <w:r>
        <w:instrText xml:space="preserve"> PAGEREF _Toc28841 </w:instrText>
      </w:r>
      <w:r>
        <w:fldChar w:fldCharType="separate"/>
      </w:r>
      <w:r>
        <w:t>9</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_Toc22737 </w:instrText>
      </w:r>
      <w:r>
        <w:rPr>
          <w:rFonts w:hint="eastAsia" w:ascii="黑体" w:hAnsi="黑体" w:eastAsia="黑体" w:cs="黑体"/>
        </w:rPr>
        <w:fldChar w:fldCharType="separate"/>
      </w:r>
      <w:r>
        <w:rPr>
          <w:rFonts w:hint="eastAsia" w:ascii="黑体" w:hAnsi="黑体" w:eastAsia="黑体"/>
          <w:szCs w:val="30"/>
          <w:lang w:val="en-US" w:eastAsia="zh-CN"/>
        </w:rPr>
        <w:t>3.3.7. 第三方查询模块数据源页面配置功能</w:t>
      </w:r>
      <w:r>
        <w:tab/>
      </w:r>
      <w:r>
        <w:fldChar w:fldCharType="begin"/>
      </w:r>
      <w:r>
        <w:instrText xml:space="preserve"> PAGEREF _Toc22737 </w:instrText>
      </w:r>
      <w:r>
        <w:fldChar w:fldCharType="separate"/>
      </w:r>
      <w:r>
        <w:t>9</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_Toc31394 </w:instrText>
      </w:r>
      <w:r>
        <w:rPr>
          <w:rFonts w:hint="eastAsia" w:ascii="黑体" w:hAnsi="黑体" w:eastAsia="黑体" w:cs="黑体"/>
        </w:rPr>
        <w:fldChar w:fldCharType="separate"/>
      </w:r>
      <w:r>
        <w:rPr>
          <w:rFonts w:hint="eastAsia" w:ascii="黑体" w:hAnsi="黑体" w:eastAsia="黑体"/>
        </w:rPr>
        <w:t>3.3. 外部接口需求</w:t>
      </w:r>
      <w:r>
        <w:tab/>
      </w:r>
      <w:r>
        <w:fldChar w:fldCharType="begin"/>
      </w:r>
      <w:r>
        <w:instrText xml:space="preserve"> PAGEREF _Toc31394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_Toc5826 </w:instrText>
      </w:r>
      <w:r>
        <w:rPr>
          <w:rFonts w:hint="eastAsia" w:ascii="黑体" w:hAnsi="黑体" w:eastAsia="黑体" w:cs="黑体"/>
        </w:rPr>
        <w:fldChar w:fldCharType="separate"/>
      </w:r>
      <w:r>
        <w:rPr>
          <w:rFonts w:hint="eastAsia" w:ascii="黑体" w:hAnsi="黑体" w:eastAsia="黑体"/>
          <w:szCs w:val="30"/>
        </w:rPr>
        <w:t>3.3.8. 用户接口</w:t>
      </w:r>
      <w:r>
        <w:tab/>
      </w:r>
      <w:r>
        <w:fldChar w:fldCharType="begin"/>
      </w:r>
      <w:r>
        <w:instrText xml:space="preserve"> PAGEREF _Toc5826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_Toc19544 </w:instrText>
      </w:r>
      <w:r>
        <w:rPr>
          <w:rFonts w:hint="eastAsia" w:ascii="黑体" w:hAnsi="黑体" w:eastAsia="黑体" w:cs="黑体"/>
        </w:rPr>
        <w:fldChar w:fldCharType="separate"/>
      </w:r>
      <w:r>
        <w:rPr>
          <w:rFonts w:hint="eastAsia" w:ascii="黑体" w:hAnsi="黑体" w:eastAsia="黑体"/>
          <w:szCs w:val="30"/>
        </w:rPr>
        <w:t>3.3.9. 硬件接口</w:t>
      </w:r>
      <w:r>
        <w:tab/>
      </w:r>
      <w:r>
        <w:fldChar w:fldCharType="begin"/>
      </w:r>
      <w:r>
        <w:instrText xml:space="preserve"> PAGEREF _Toc19544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_Toc8615 </w:instrText>
      </w:r>
      <w:r>
        <w:rPr>
          <w:rFonts w:hint="eastAsia" w:ascii="黑体" w:hAnsi="黑体" w:eastAsia="黑体" w:cs="黑体"/>
        </w:rPr>
        <w:fldChar w:fldCharType="separate"/>
      </w:r>
      <w:r>
        <w:rPr>
          <w:rFonts w:hint="eastAsia" w:ascii="黑体" w:hAnsi="黑体" w:eastAsia="黑体"/>
          <w:szCs w:val="30"/>
        </w:rPr>
        <w:t>3.3.10. 软件接口</w:t>
      </w:r>
      <w:r>
        <w:tab/>
      </w:r>
      <w:r>
        <w:fldChar w:fldCharType="begin"/>
      </w:r>
      <w:r>
        <w:instrText xml:space="preserve"> PAGEREF _Toc8615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_Toc17330 </w:instrText>
      </w:r>
      <w:r>
        <w:rPr>
          <w:rFonts w:hint="eastAsia" w:ascii="黑体" w:hAnsi="黑体" w:eastAsia="黑体" w:cs="黑体"/>
        </w:rPr>
        <w:fldChar w:fldCharType="separate"/>
      </w:r>
      <w:r>
        <w:rPr>
          <w:rFonts w:hint="eastAsia" w:ascii="黑体" w:hAnsi="黑体" w:eastAsia="黑体"/>
          <w:szCs w:val="30"/>
        </w:rPr>
        <w:t>3.3.11. 通信接口</w:t>
      </w:r>
      <w:r>
        <w:tab/>
      </w:r>
      <w:r>
        <w:fldChar w:fldCharType="begin"/>
      </w:r>
      <w:r>
        <w:instrText xml:space="preserve"> PAGEREF _Toc17330 </w:instrText>
      </w:r>
      <w:r>
        <w:fldChar w:fldCharType="separate"/>
      </w:r>
      <w:r>
        <w:t>10</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_Toc11039 </w:instrText>
      </w:r>
      <w:r>
        <w:rPr>
          <w:rFonts w:hint="eastAsia" w:ascii="黑体" w:hAnsi="黑体" w:eastAsia="黑体" w:cs="黑体"/>
        </w:rPr>
        <w:fldChar w:fldCharType="separate"/>
      </w:r>
      <w:r>
        <w:rPr>
          <w:rFonts w:hint="eastAsia" w:ascii="黑体" w:hAnsi="黑体" w:eastAsia="黑体"/>
        </w:rPr>
        <w:t>3.4. 软件属性</w:t>
      </w:r>
      <w:r>
        <w:tab/>
      </w:r>
      <w:r>
        <w:fldChar w:fldCharType="begin"/>
      </w:r>
      <w:r>
        <w:instrText xml:space="preserve"> PAGEREF _Toc11039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_Toc12766 </w:instrText>
      </w:r>
      <w:r>
        <w:rPr>
          <w:rFonts w:hint="eastAsia" w:ascii="黑体" w:hAnsi="黑体" w:eastAsia="黑体" w:cs="黑体"/>
        </w:rPr>
        <w:fldChar w:fldCharType="separate"/>
      </w:r>
      <w:r>
        <w:rPr>
          <w:rFonts w:hint="eastAsia" w:ascii="黑体" w:hAnsi="黑体" w:eastAsia="黑体"/>
          <w:szCs w:val="30"/>
        </w:rPr>
        <w:t>3.4.1. 可用性</w:t>
      </w:r>
      <w:r>
        <w:tab/>
      </w:r>
      <w:r>
        <w:fldChar w:fldCharType="begin"/>
      </w:r>
      <w:r>
        <w:instrText xml:space="preserve"> PAGEREF _Toc12766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_Toc13691 </w:instrText>
      </w:r>
      <w:r>
        <w:rPr>
          <w:rFonts w:hint="eastAsia" w:ascii="黑体" w:hAnsi="黑体" w:eastAsia="黑体" w:cs="黑体"/>
        </w:rPr>
        <w:fldChar w:fldCharType="separate"/>
      </w:r>
      <w:r>
        <w:rPr>
          <w:rFonts w:hint="eastAsia" w:ascii="黑体" w:hAnsi="黑体" w:eastAsia="黑体"/>
          <w:szCs w:val="30"/>
        </w:rPr>
        <w:t>3.4.2. 安全性</w:t>
      </w:r>
      <w:r>
        <w:tab/>
      </w:r>
      <w:r>
        <w:fldChar w:fldCharType="begin"/>
      </w:r>
      <w:r>
        <w:instrText xml:space="preserve"> PAGEREF _Toc13691 </w:instrText>
      </w:r>
      <w:r>
        <w:fldChar w:fldCharType="separate"/>
      </w:r>
      <w:r>
        <w:t>11</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_Toc13891 </w:instrText>
      </w:r>
      <w:r>
        <w:rPr>
          <w:rFonts w:hint="eastAsia" w:ascii="黑体" w:hAnsi="黑体" w:eastAsia="黑体" w:cs="黑体"/>
        </w:rPr>
        <w:fldChar w:fldCharType="separate"/>
      </w:r>
      <w:r>
        <w:rPr>
          <w:rFonts w:hint="eastAsia" w:ascii="黑体" w:hAnsi="黑体" w:eastAsia="黑体"/>
          <w:szCs w:val="30"/>
        </w:rPr>
        <w:t>3.4.3. 可维护性</w:t>
      </w:r>
      <w:r>
        <w:tab/>
      </w:r>
      <w:r>
        <w:fldChar w:fldCharType="begin"/>
      </w:r>
      <w:r>
        <w:instrText xml:space="preserve"> PAGEREF _Toc13891 </w:instrText>
      </w:r>
      <w:r>
        <w:fldChar w:fldCharType="separate"/>
      </w:r>
      <w:r>
        <w:t>11</w:t>
      </w:r>
      <w:r>
        <w:fldChar w:fldCharType="end"/>
      </w:r>
      <w:r>
        <w:rPr>
          <w:rFonts w:hint="eastAsia" w:ascii="黑体" w:hAnsi="黑体" w:eastAsia="黑体" w:cs="黑体"/>
        </w:rPr>
        <w:fldChar w:fldCharType="end"/>
      </w:r>
    </w:p>
    <w:p>
      <w:pPr>
        <w:pStyle w:val="11"/>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_Toc22401 </w:instrText>
      </w:r>
      <w:r>
        <w:rPr>
          <w:rFonts w:hint="eastAsia" w:ascii="黑体" w:hAnsi="黑体" w:eastAsia="黑体" w:cs="黑体"/>
        </w:rPr>
        <w:fldChar w:fldCharType="separate"/>
      </w:r>
      <w:r>
        <w:rPr>
          <w:rFonts w:hint="eastAsia" w:ascii="黑体" w:hAnsi="黑体" w:eastAsia="黑体" w:cs="黑体"/>
          <w:szCs w:val="36"/>
        </w:rPr>
        <w:t>4. 验收标准</w:t>
      </w:r>
      <w:r>
        <w:tab/>
      </w:r>
      <w:r>
        <w:fldChar w:fldCharType="begin"/>
      </w:r>
      <w:r>
        <w:instrText xml:space="preserve"> PAGEREF _Toc22401 </w:instrText>
      </w:r>
      <w:r>
        <w:fldChar w:fldCharType="separate"/>
      </w:r>
      <w:r>
        <w:t>11</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_Toc30140 </w:instrText>
      </w:r>
      <w:r>
        <w:rPr>
          <w:rFonts w:hint="eastAsia" w:ascii="黑体" w:hAnsi="黑体" w:eastAsia="黑体" w:cs="黑体"/>
        </w:rPr>
        <w:fldChar w:fldCharType="separate"/>
      </w:r>
      <w:r>
        <w:rPr>
          <w:rFonts w:hint="eastAsia" w:ascii="黑体" w:hAnsi="黑体" w:eastAsia="黑体"/>
        </w:rPr>
        <w:t>4.1. 文档验收标准</w:t>
      </w:r>
      <w:r>
        <w:tab/>
      </w:r>
      <w:r>
        <w:fldChar w:fldCharType="begin"/>
      </w:r>
      <w:r>
        <w:instrText xml:space="preserve"> PAGEREF _Toc30140 </w:instrText>
      </w:r>
      <w:r>
        <w:fldChar w:fldCharType="separate"/>
      </w:r>
      <w:r>
        <w:t>11</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_Toc3865 </w:instrText>
      </w:r>
      <w:r>
        <w:rPr>
          <w:rFonts w:hint="eastAsia" w:ascii="黑体" w:hAnsi="黑体" w:eastAsia="黑体" w:cs="黑体"/>
        </w:rPr>
        <w:fldChar w:fldCharType="separate"/>
      </w:r>
      <w:r>
        <w:rPr>
          <w:rFonts w:hint="eastAsia" w:ascii="黑体" w:hAnsi="黑体" w:eastAsia="黑体"/>
        </w:rPr>
        <w:t>4.2. 软件验收标准</w:t>
      </w:r>
      <w:r>
        <w:tab/>
      </w:r>
      <w:r>
        <w:fldChar w:fldCharType="begin"/>
      </w:r>
      <w:r>
        <w:instrText xml:space="preserve"> PAGEREF _Toc3865 </w:instrText>
      </w:r>
      <w:r>
        <w:fldChar w:fldCharType="separate"/>
      </w:r>
      <w:r>
        <w:t>11</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_Toc14597 </w:instrText>
      </w:r>
      <w:r>
        <w:rPr>
          <w:rFonts w:hint="eastAsia" w:ascii="黑体" w:hAnsi="黑体" w:eastAsia="黑体" w:cs="黑体"/>
        </w:rPr>
        <w:fldChar w:fldCharType="separate"/>
      </w:r>
      <w:r>
        <w:rPr>
          <w:rFonts w:hint="eastAsia" w:ascii="黑体" w:hAnsi="黑体" w:eastAsia="黑体"/>
        </w:rPr>
        <w:t>4.3. 界面验收标准</w:t>
      </w:r>
      <w:r>
        <w:tab/>
      </w:r>
      <w:r>
        <w:fldChar w:fldCharType="begin"/>
      </w:r>
      <w:r>
        <w:instrText xml:space="preserve"> PAGEREF _Toc14597 </w:instrText>
      </w:r>
      <w:r>
        <w:fldChar w:fldCharType="separate"/>
      </w:r>
      <w:r>
        <w:t>12</w:t>
      </w:r>
      <w:r>
        <w:fldChar w:fldCharType="end"/>
      </w:r>
      <w:r>
        <w:rPr>
          <w:rFonts w:hint="eastAsia" w:ascii="黑体" w:hAnsi="黑体" w:eastAsia="黑体" w:cs="黑体"/>
        </w:rPr>
        <w:fldChar w:fldCharType="end"/>
      </w:r>
    </w:p>
    <w:p>
      <w:pPr>
        <w:pStyle w:val="12"/>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_Toc8869 </w:instrText>
      </w:r>
      <w:r>
        <w:rPr>
          <w:rFonts w:hint="eastAsia" w:ascii="黑体" w:hAnsi="黑体" w:eastAsia="黑体" w:cs="黑体"/>
        </w:rPr>
        <w:fldChar w:fldCharType="separate"/>
      </w:r>
      <w:r>
        <w:rPr>
          <w:rFonts w:hint="eastAsia" w:ascii="黑体" w:hAnsi="黑体" w:eastAsia="黑体"/>
        </w:rPr>
        <w:t>4.4. 功能验收标准</w:t>
      </w:r>
      <w:r>
        <w:tab/>
      </w:r>
      <w:r>
        <w:fldChar w:fldCharType="begin"/>
      </w:r>
      <w:r>
        <w:instrText xml:space="preserve"> PAGEREF _Toc8869 </w:instrText>
      </w:r>
      <w:r>
        <w:fldChar w:fldCharType="separate"/>
      </w:r>
      <w:r>
        <w:t>12</w:t>
      </w:r>
      <w:r>
        <w:fldChar w:fldCharType="end"/>
      </w:r>
      <w:r>
        <w:rPr>
          <w:rFonts w:hint="eastAsia" w:ascii="黑体" w:hAnsi="黑体" w:eastAsia="黑体" w:cs="黑体"/>
        </w:rPr>
        <w:fldChar w:fldCharType="end"/>
      </w:r>
    </w:p>
    <w:p>
      <w:r>
        <w:rPr>
          <w:rFonts w:hint="eastAsia" w:ascii="黑体" w:hAnsi="黑体" w:eastAsia="黑体" w:cs="黑体"/>
        </w:rPr>
        <w:fldChar w:fldCharType="end"/>
      </w:r>
    </w:p>
    <w:p>
      <w:pPr>
        <w:widowControl/>
        <w:jc w:val="left"/>
      </w:pPr>
      <w:r>
        <w:br w:type="page"/>
      </w:r>
    </w:p>
    <w:p>
      <w:pPr>
        <w:pStyle w:val="2"/>
        <w:numPr>
          <w:ilvl w:val="0"/>
          <w:numId w:val="2"/>
        </w:numPr>
        <w:snapToGrid w:val="0"/>
        <w:spacing w:beforeLines="100" w:afterLines="100" w:line="1000" w:lineRule="exact"/>
        <w:rPr>
          <w:rFonts w:ascii="黑体" w:hAnsi="黑体" w:eastAsia="黑体" w:cs="黑体"/>
          <w:b w:val="0"/>
          <w:sz w:val="36"/>
          <w:szCs w:val="36"/>
        </w:rPr>
      </w:pPr>
      <w:bookmarkStart w:id="0" w:name="_Toc31659"/>
      <w:r>
        <w:rPr>
          <w:rFonts w:hint="eastAsia" w:ascii="黑体" w:hAnsi="黑体" w:eastAsia="黑体" w:cs="黑体"/>
          <w:b w:val="0"/>
          <w:sz w:val="36"/>
          <w:szCs w:val="36"/>
        </w:rPr>
        <w:t>引言</w:t>
      </w:r>
      <w:bookmarkEnd w:id="0"/>
    </w:p>
    <w:p>
      <w:pPr>
        <w:pStyle w:val="3"/>
        <w:numPr>
          <w:ilvl w:val="0"/>
          <w:numId w:val="3"/>
        </w:numPr>
        <w:rPr>
          <w:rFonts w:ascii="黑体" w:hAnsi="黑体" w:eastAsia="黑体"/>
          <w:b w:val="0"/>
        </w:rPr>
      </w:pPr>
      <w:bookmarkStart w:id="1" w:name="_Toc13407"/>
      <w:r>
        <w:rPr>
          <w:rFonts w:hint="eastAsia" w:ascii="黑体" w:hAnsi="黑体" w:eastAsia="黑体"/>
          <w:b w:val="0"/>
        </w:rPr>
        <w:t>编写目的</w:t>
      </w:r>
      <w:bookmarkEnd w:id="1"/>
    </w:p>
    <w:p>
      <w:pPr>
        <w:spacing w:beforeLines="50" w:afterLines="50" w:line="48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为明确软件需求、规划项目、确认进度、组织软件开发并测试而撰写本文档。同时，详细分析项目总体需求，可以作为软件开发工作的基础和依据以及确认测试和验收的依据。</w:t>
      </w:r>
    </w:p>
    <w:p>
      <w:pPr>
        <w:pStyle w:val="3"/>
        <w:numPr>
          <w:ilvl w:val="0"/>
          <w:numId w:val="3"/>
        </w:numPr>
        <w:rPr>
          <w:rFonts w:ascii="黑体" w:hAnsi="黑体" w:eastAsia="黑体"/>
          <w:b w:val="0"/>
        </w:rPr>
      </w:pPr>
      <w:bookmarkStart w:id="2" w:name="_Toc17982168"/>
      <w:bookmarkStart w:id="3" w:name="_Toc2922"/>
      <w:r>
        <w:rPr>
          <w:rFonts w:hint="eastAsia" w:ascii="黑体" w:hAnsi="黑体" w:eastAsia="黑体"/>
          <w:b w:val="0"/>
        </w:rPr>
        <w:t>项目背景</w:t>
      </w:r>
      <w:bookmarkEnd w:id="2"/>
      <w:bookmarkEnd w:id="3"/>
    </w:p>
    <w:p>
      <w:pPr>
        <w:spacing w:beforeLines="50" w:afterLines="50" w:line="480" w:lineRule="exact"/>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项目名称：新增采购互联网多头借贷信息数据项目-审批系统</w:t>
      </w:r>
    </w:p>
    <w:p>
      <w:pPr>
        <w:spacing w:beforeLines="50" w:afterLines="50" w:line="480" w:lineRule="exact"/>
        <w:ind w:firstLine="480" w:firstLineChars="200"/>
        <w:rPr>
          <w:rFonts w:ascii="Times New Roman" w:hAnsi="Times New Roman" w:cs="Times New Roman"/>
          <w:sz w:val="24"/>
        </w:rPr>
      </w:pPr>
      <w:r>
        <w:rPr>
          <w:rFonts w:hint="eastAsia" w:ascii="Times New Roman" w:hAnsi="Times New Roman" w:cs="Times New Roman"/>
          <w:sz w:val="24"/>
        </w:rPr>
        <w:t>项目提出：华夏银行信用卡中心风险管理部</w:t>
      </w:r>
    </w:p>
    <w:p>
      <w:pPr>
        <w:spacing w:beforeLines="50" w:afterLines="50" w:line="480" w:lineRule="exact"/>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lang w:eastAsia="zh-CN"/>
        </w:rPr>
        <w:t>审批系统自</w:t>
      </w:r>
      <w:r>
        <w:rPr>
          <w:rFonts w:hint="eastAsia" w:ascii="Times New Roman" w:hAnsi="Times New Roman" w:cs="Times New Roman"/>
          <w:sz w:val="24"/>
          <w:szCs w:val="24"/>
          <w:lang w:val="en-US" w:eastAsia="zh-CN"/>
        </w:rPr>
        <w:t>2017年09月投产以来，经过数月实际生产环境运营，已经满足行内日常信用卡操作和审批要求，为进一步提升审批系统操作效率和优化业务流程，业务部门提出业务优化需求，对审批系统进行进一步完善性优化</w:t>
      </w:r>
      <w:r>
        <w:rPr>
          <w:rFonts w:hint="eastAsia" w:ascii="Times New Roman" w:hAnsi="Times New Roman" w:cs="Times New Roman"/>
          <w:sz w:val="24"/>
          <w:szCs w:val="24"/>
        </w:rPr>
        <w:t>。</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按照2018年第34次党委会对信用卡签[2018]462号《关于采购互联网多头借贷信息的请示》的批示，通过竞争性磋商方式已完成一家供应商采购。但鉴于目前三方数据稳定性及数据维度的问题，需新增引入外部多头借贷信息数据来源，邀请百融、中智诚、集奥，三家厂商参与此次集中采购。根据采购结果，选择百融厂商。</w:t>
      </w:r>
    </w:p>
    <w:p>
      <w:pPr>
        <w:pStyle w:val="4"/>
        <w:spacing w:before="187" w:after="187"/>
        <w:ind w:firstLine="420" w:firstLineChars="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此次需对卡中心的审批系统和决策系统（BLAZE）就新采购的多头借贷数据来源进行系统优化，以及涉及贷中环节查询的相关系统也需相应优化。</w:t>
      </w:r>
    </w:p>
    <w:p>
      <w:pPr>
        <w:pStyle w:val="3"/>
        <w:numPr>
          <w:ilvl w:val="0"/>
          <w:numId w:val="3"/>
        </w:numPr>
        <w:rPr>
          <w:rFonts w:ascii="黑体" w:hAnsi="黑体" w:eastAsia="黑体"/>
          <w:b w:val="0"/>
        </w:rPr>
      </w:pPr>
      <w:bookmarkStart w:id="4" w:name="_Toc17982169"/>
      <w:bookmarkStart w:id="5" w:name="_Toc28291"/>
      <w:r>
        <w:rPr>
          <w:rFonts w:hint="eastAsia" w:ascii="黑体" w:hAnsi="黑体" w:eastAsia="黑体"/>
          <w:b w:val="0"/>
        </w:rPr>
        <w:t>术语缩写</w:t>
      </w:r>
      <w:bookmarkEnd w:id="4"/>
      <w:bookmarkEnd w:id="5"/>
    </w:p>
    <w:tbl>
      <w:tblPr>
        <w:tblStyle w:val="17"/>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2" w:type="dxa"/>
            <w:shd w:val="clear" w:color="auto" w:fill="D8D8D8"/>
            <w:vAlign w:val="top"/>
          </w:tcPr>
          <w:p>
            <w:pPr>
              <w:spacing w:line="360" w:lineRule="auto"/>
              <w:jc w:val="center"/>
              <w:rPr>
                <w:rFonts w:ascii="黑体" w:hAnsi="黑体" w:eastAsia="黑体" w:cs="Times New Roman"/>
                <w:sz w:val="24"/>
              </w:rPr>
            </w:pPr>
            <w:r>
              <w:rPr>
                <w:rFonts w:hint="eastAsia" w:ascii="黑体" w:hAnsi="黑体" w:eastAsia="黑体" w:cs="Times New Roman"/>
                <w:sz w:val="24"/>
              </w:rPr>
              <w:t>序号</w:t>
            </w:r>
          </w:p>
        </w:tc>
        <w:tc>
          <w:tcPr>
            <w:tcW w:w="3450" w:type="dxa"/>
            <w:shd w:val="clear" w:color="auto" w:fill="D8D8D8"/>
            <w:vAlign w:val="top"/>
          </w:tcPr>
          <w:p>
            <w:pPr>
              <w:spacing w:line="360" w:lineRule="auto"/>
              <w:jc w:val="center"/>
              <w:rPr>
                <w:rFonts w:ascii="黑体" w:hAnsi="黑体" w:eastAsia="黑体" w:cs="Times New Roman"/>
                <w:sz w:val="24"/>
              </w:rPr>
            </w:pPr>
            <w:r>
              <w:rPr>
                <w:rFonts w:hint="eastAsia" w:ascii="黑体" w:hAnsi="黑体" w:eastAsia="黑体" w:cs="Times New Roman"/>
                <w:sz w:val="24"/>
              </w:rPr>
              <w:t>术语</w:t>
            </w:r>
          </w:p>
        </w:tc>
        <w:tc>
          <w:tcPr>
            <w:tcW w:w="5933" w:type="dxa"/>
            <w:shd w:val="clear" w:color="auto" w:fill="D8D8D8"/>
            <w:vAlign w:val="top"/>
          </w:tcPr>
          <w:p>
            <w:pPr>
              <w:spacing w:line="360" w:lineRule="auto"/>
              <w:jc w:val="center"/>
              <w:rPr>
                <w:rFonts w:ascii="黑体" w:hAnsi="黑体" w:eastAsia="黑体" w:cs="Times New Roman"/>
                <w:sz w:val="24"/>
              </w:rPr>
            </w:pPr>
            <w:r>
              <w:rPr>
                <w:rFonts w:hint="eastAsia" w:ascii="黑体" w:hAnsi="黑体" w:eastAsia="黑体" w:cs="Times New Roman"/>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jc w:val="center"/>
        </w:trPr>
        <w:tc>
          <w:tcPr>
            <w:tcW w:w="822" w:type="dxa"/>
            <w:vAlign w:val="center"/>
          </w:tcPr>
          <w:p>
            <w:pPr>
              <w:adjustRightInd w:val="0"/>
              <w:snapToGrid w:val="0"/>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1</w:t>
            </w:r>
          </w:p>
        </w:tc>
        <w:tc>
          <w:tcPr>
            <w:tcW w:w="3450"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信用卡审批系统（CAMS， Credit Card Approval Management System）</w:t>
            </w:r>
          </w:p>
        </w:tc>
        <w:tc>
          <w:tcPr>
            <w:tcW w:w="5933"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p>
        </w:tc>
        <w:tc>
          <w:tcPr>
            <w:tcW w:w="3450"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第三方查询模块（TQM，Third Party Query Module）</w:t>
            </w:r>
          </w:p>
        </w:tc>
        <w:tc>
          <w:tcPr>
            <w:tcW w:w="5933" w:type="dxa"/>
            <w:vAlign w:val="center"/>
          </w:tcPr>
          <w:p>
            <w:pPr>
              <w:adjustRightInd w:val="0"/>
              <w:snapToGrid w:val="0"/>
              <w:rPr>
                <w:rFonts w:ascii="Times New Roman" w:hAnsi="Times New Roman" w:eastAsia="宋体" w:cs="Times New Roman"/>
                <w:sz w:val="24"/>
              </w:rPr>
            </w:pPr>
            <w:r>
              <w:rPr>
                <w:rFonts w:ascii="Times New Roman" w:hAnsi="Times New Roman" w:eastAsia="宋体" w:cs="Times New Roman"/>
                <w:sz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jc w:val="center"/>
        </w:trPr>
        <w:tc>
          <w:tcPr>
            <w:tcW w:w="822" w:type="dxa"/>
            <w:vAlign w:val="center"/>
          </w:tcPr>
          <w:p>
            <w:pPr>
              <w:adjustRightInd w:val="0"/>
              <w:snapToGrid w:val="0"/>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3</w:t>
            </w:r>
          </w:p>
        </w:tc>
        <w:tc>
          <w:tcPr>
            <w:tcW w:w="3450" w:type="dxa"/>
            <w:vAlign w:val="center"/>
          </w:tcPr>
          <w:p>
            <w:pPr>
              <w:adjustRightInd w:val="0"/>
              <w:snapToGrid w:val="0"/>
              <w:rPr>
                <w:rFonts w:ascii="Times New Roman" w:hAnsi="Times New Roman" w:eastAsia="宋体" w:cs="Times New Roman"/>
                <w:sz w:val="24"/>
              </w:rPr>
            </w:pPr>
            <w:r>
              <w:rPr>
                <w:rFonts w:hint="eastAsia" w:ascii="Times New Roman" w:hAnsi="Times New Roman" w:eastAsia="宋体" w:cs="Times New Roman"/>
                <w:sz w:val="24"/>
              </w:rPr>
              <w:t>客户</w:t>
            </w:r>
          </w:p>
        </w:tc>
        <w:tc>
          <w:tcPr>
            <w:tcW w:w="5933" w:type="dxa"/>
            <w:vAlign w:val="center"/>
          </w:tcPr>
          <w:p>
            <w:pPr>
              <w:adjustRightInd w:val="0"/>
              <w:snapToGrid w:val="0"/>
              <w:rPr>
                <w:rFonts w:ascii="Times New Roman" w:hAnsi="Times New Roman" w:eastAsia="宋体" w:cs="Times New Roman"/>
                <w:sz w:val="24"/>
              </w:rPr>
            </w:pPr>
            <w:r>
              <w:rPr>
                <w:rFonts w:hint="eastAsia" w:ascii="Times New Roman" w:hAnsi="Times New Roman" w:eastAsia="宋体" w:cs="Times New Roman"/>
                <w:sz w:val="24"/>
              </w:rPr>
              <w:t>华夏银行信用卡中心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4</w:t>
            </w:r>
          </w:p>
        </w:tc>
        <w:tc>
          <w:tcPr>
            <w:tcW w:w="3450" w:type="dxa"/>
            <w:vAlign w:val="center"/>
          </w:tcPr>
          <w:p>
            <w:pPr>
              <w:adjustRightInd w:val="0"/>
              <w:snapToGrid w:val="0"/>
              <w:rPr>
                <w:rFonts w:hint="eastAsia" w:ascii="Times New Roman" w:hAnsi="Times New Roman" w:eastAsia="宋体" w:cs="Times New Roman"/>
                <w:sz w:val="24"/>
              </w:rPr>
            </w:pPr>
            <w:r>
              <w:rPr>
                <w:rFonts w:hint="eastAsia" w:ascii="Times New Roman" w:hAnsi="Times New Roman" w:eastAsia="宋体" w:cs="Times New Roman"/>
                <w:sz w:val="24"/>
              </w:rPr>
              <w:t>厂商</w:t>
            </w:r>
          </w:p>
        </w:tc>
        <w:tc>
          <w:tcPr>
            <w:tcW w:w="5933" w:type="dxa"/>
            <w:vAlign w:val="center"/>
          </w:tcPr>
          <w:p>
            <w:pPr>
              <w:adjustRightInd w:val="0"/>
              <w:snapToGrid w:val="0"/>
              <w:rPr>
                <w:rFonts w:hint="eastAsia" w:ascii="Times New Roman" w:hAnsi="Times New Roman" w:eastAsia="宋体" w:cs="Times New Roman"/>
                <w:sz w:val="24"/>
              </w:rPr>
            </w:pPr>
            <w:r>
              <w:rPr>
                <w:rFonts w:hint="eastAsia" w:ascii="Times New Roman" w:hAnsi="Times New Roman" w:eastAsia="宋体" w:cs="Times New Roman"/>
                <w:sz w:val="24"/>
              </w:rPr>
              <w:t>上海中软华腾软件系统有限公司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5</w:t>
            </w:r>
          </w:p>
        </w:tc>
        <w:tc>
          <w:tcPr>
            <w:tcW w:w="3450"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查询请求</w:t>
            </w:r>
          </w:p>
        </w:tc>
        <w:tc>
          <w:tcPr>
            <w:tcW w:w="5933"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822" w:type="dxa"/>
            <w:vAlign w:val="center"/>
          </w:tcPr>
          <w:p>
            <w:pPr>
              <w:adjustRightInd w:val="0"/>
              <w:snapToGrid w:val="0"/>
              <w:jc w:val="center"/>
              <w:rPr>
                <w:rFonts w:hint="default" w:ascii="Times New Roman" w:hAnsi="Times New Roman" w:eastAsia="宋体" w:cs="Times New Roman"/>
                <w:sz w:val="24"/>
                <w:lang w:val="en-US" w:eastAsia="zh-CN"/>
              </w:rPr>
            </w:pPr>
            <w:bookmarkStart w:id="6" w:name="_Toc17982170"/>
            <w:r>
              <w:rPr>
                <w:rFonts w:hint="eastAsia" w:ascii="Times New Roman" w:hAnsi="Times New Roman" w:eastAsia="宋体" w:cs="Times New Roman"/>
                <w:sz w:val="24"/>
                <w:lang w:val="en-US" w:eastAsia="zh-CN"/>
              </w:rPr>
              <w:t>6</w:t>
            </w:r>
          </w:p>
        </w:tc>
        <w:tc>
          <w:tcPr>
            <w:tcW w:w="3450"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查找请求</w:t>
            </w:r>
          </w:p>
        </w:tc>
        <w:tc>
          <w:tcPr>
            <w:tcW w:w="5933" w:type="dxa"/>
            <w:vAlign w:val="center"/>
          </w:tcPr>
          <w:p>
            <w:pPr>
              <w:adjustRightInd w:val="0"/>
              <w:snapToGrid w:val="0"/>
              <w:rPr>
                <w:rFonts w:hint="eastAsia" w:ascii="Times New Roman" w:hAnsi="Times New Roman" w:eastAsia="宋体" w:cs="Times New Roman"/>
                <w:sz w:val="24"/>
              </w:rPr>
            </w:pPr>
            <w:r>
              <w:rPr>
                <w:rFonts w:ascii="Times New Roman" w:hAnsi="Times New Roman" w:eastAsia="宋体" w:cs="Times New Roman"/>
                <w:sz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3"/>
        </w:numPr>
        <w:rPr>
          <w:rFonts w:ascii="黑体" w:hAnsi="黑体" w:eastAsia="黑体"/>
          <w:b w:val="0"/>
        </w:rPr>
      </w:pPr>
      <w:bookmarkStart w:id="7" w:name="_Toc2427"/>
      <w:r>
        <w:rPr>
          <w:rFonts w:hint="eastAsia" w:ascii="黑体" w:hAnsi="黑体" w:eastAsia="黑体"/>
          <w:b w:val="0"/>
        </w:rPr>
        <w:t>参考资料</w:t>
      </w:r>
      <w:bookmarkEnd w:id="6"/>
      <w:bookmarkEnd w:id="7"/>
    </w:p>
    <w:p>
      <w:pPr>
        <w:spacing w:beforeLines="50" w:afterLines="50" w:line="480" w:lineRule="exact"/>
        <w:ind w:firstLine="480" w:firstLineChars="200"/>
        <w:rPr>
          <w:rFonts w:ascii="Times New Roman" w:cs="Times New Roman"/>
          <w:sz w:val="24"/>
        </w:rPr>
      </w:pPr>
      <w:r>
        <w:rPr>
          <w:rFonts w:hint="eastAsia" w:ascii="Times New Roman" w:cs="Times New Roman"/>
          <w:sz w:val="24"/>
        </w:rPr>
        <w:t>本文档编制参考如下需求文档：</w:t>
      </w:r>
    </w:p>
    <w:p>
      <w:pPr>
        <w:numPr>
          <w:ilvl w:val="0"/>
          <w:numId w:val="4"/>
        </w:numPr>
        <w:spacing w:beforeLines="50" w:afterLines="50" w:line="480" w:lineRule="exact"/>
        <w:ind w:left="0" w:leftChars="0" w:firstLine="480" w:firstLineChars="200"/>
        <w:rPr>
          <w:rFonts w:hint="eastAsia" w:ascii="Times New Roman" w:cs="Times New Roman"/>
          <w:sz w:val="24"/>
          <w:lang w:val="en-US" w:eastAsia="zh-CN"/>
        </w:rPr>
      </w:pPr>
      <w:r>
        <w:rPr>
          <w:rFonts w:hint="eastAsia" w:ascii="Times New Roman" w:cs="Times New Roman"/>
          <w:sz w:val="24"/>
          <w:lang w:val="en-US" w:eastAsia="zh-CN"/>
        </w:rPr>
        <w:t>《新增互联网多头借贷信息采购项目V1.2.doc》</w:t>
      </w:r>
    </w:p>
    <w:p>
      <w:pPr>
        <w:numPr>
          <w:ilvl w:val="0"/>
          <w:numId w:val="4"/>
        </w:numPr>
        <w:spacing w:beforeLines="50" w:afterLines="50" w:line="480" w:lineRule="exact"/>
        <w:ind w:left="0" w:leftChars="0" w:firstLine="480" w:firstLineChars="200"/>
        <w:rPr>
          <w:rFonts w:hint="eastAsia" w:ascii="Times New Roman" w:cs="Times New Roman"/>
          <w:sz w:val="24"/>
        </w:rPr>
      </w:pPr>
      <w:r>
        <w:rPr>
          <w:rFonts w:hint="eastAsia" w:ascii="Times New Roman" w:cs="Times New Roman"/>
          <w:sz w:val="24"/>
        </w:rPr>
        <w:t>《</w:t>
      </w:r>
      <w:r>
        <w:rPr>
          <w:rFonts w:hint="eastAsia" w:ascii="Times New Roman" w:cs="Times New Roman"/>
          <w:sz w:val="24"/>
          <w:lang w:val="en-US" w:eastAsia="zh-CN"/>
        </w:rPr>
        <w:t>华夏银行信用卡中心新增互联网多头借贷信息采购项目技术方案V0.1_审批系统.doc</w:t>
      </w:r>
      <w:r>
        <w:rPr>
          <w:rFonts w:hint="eastAsia" w:ascii="Times New Roman" w:cs="Times New Roman"/>
          <w:sz w:val="24"/>
        </w:rPr>
        <w:t>》</w:t>
      </w:r>
    </w:p>
    <w:p>
      <w:pPr>
        <w:pStyle w:val="2"/>
        <w:numPr>
          <w:ilvl w:val="0"/>
          <w:numId w:val="2"/>
        </w:numPr>
        <w:tabs>
          <w:tab w:val="clear" w:pos="312"/>
        </w:tabs>
        <w:snapToGrid w:val="0"/>
        <w:spacing w:beforeLines="100" w:afterLines="100" w:line="1000" w:lineRule="exact"/>
        <w:ind w:left="720" w:hanging="720"/>
        <w:rPr>
          <w:rFonts w:ascii="黑体" w:hAnsi="黑体" w:eastAsia="黑体" w:cs="黑体"/>
          <w:b w:val="0"/>
          <w:sz w:val="36"/>
          <w:szCs w:val="36"/>
        </w:rPr>
      </w:pPr>
      <w:bookmarkStart w:id="8" w:name="_Toc13568"/>
      <w:r>
        <w:rPr>
          <w:rFonts w:hint="eastAsia" w:ascii="黑体" w:hAnsi="黑体" w:eastAsia="黑体" w:cs="黑体"/>
          <w:b w:val="0"/>
          <w:sz w:val="36"/>
          <w:szCs w:val="36"/>
        </w:rPr>
        <w:t>项目概述</w:t>
      </w:r>
      <w:bookmarkEnd w:id="8"/>
    </w:p>
    <w:p>
      <w:pPr>
        <w:pStyle w:val="3"/>
        <w:numPr>
          <w:ilvl w:val="0"/>
          <w:numId w:val="5"/>
        </w:numPr>
        <w:rPr>
          <w:rFonts w:ascii="黑体" w:hAnsi="黑体" w:eastAsia="黑体"/>
          <w:b w:val="0"/>
        </w:rPr>
      </w:pPr>
      <w:bookmarkStart w:id="9" w:name="_Toc8596"/>
      <w:r>
        <w:rPr>
          <w:rFonts w:hint="eastAsia" w:ascii="黑体" w:hAnsi="黑体" w:eastAsia="黑体"/>
          <w:b w:val="0"/>
        </w:rPr>
        <w:t>产品描述</w:t>
      </w:r>
      <w:bookmarkEnd w:id="9"/>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在贷前申请审批环节实时查询，在贷中账户管理环节查询多头借贷信息。与原互联网多头借贷信息数据源并行发起查询。</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本项目需求</w:t>
      </w:r>
      <w:r>
        <w:rPr>
          <w:rFonts w:hAnsi="宋体"/>
          <w:snapToGrid/>
          <w:color w:val="000000"/>
          <w:kern w:val="2"/>
          <w:szCs w:val="22"/>
          <w:lang w:val="en-US" w:eastAsia="zh-CN"/>
        </w:rPr>
        <w:t>主要涉及</w:t>
      </w:r>
      <w:r>
        <w:rPr>
          <w:rFonts w:hint="eastAsia" w:hAnsi="宋体"/>
          <w:snapToGrid/>
          <w:color w:val="000000"/>
          <w:kern w:val="2"/>
          <w:szCs w:val="22"/>
          <w:lang w:val="en-US" w:eastAsia="zh-CN"/>
        </w:rPr>
        <w:t>审批系统、BLAZE决策系统、三方查询模块。主要情况如下：</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一、贷前申请审批环节实时查询：</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1.审批系统在</w:t>
      </w:r>
      <w:r>
        <w:rPr>
          <w:rFonts w:hAnsi="宋体"/>
          <w:snapToGrid/>
          <w:color w:val="000000"/>
          <w:kern w:val="2"/>
          <w:szCs w:val="22"/>
          <w:lang w:val="en-US" w:eastAsia="zh-CN"/>
        </w:rPr>
        <w:t>数据查询接口</w:t>
      </w:r>
      <w:r>
        <w:rPr>
          <w:rFonts w:hint="eastAsia" w:hAnsi="宋体"/>
          <w:snapToGrid/>
          <w:color w:val="000000"/>
          <w:kern w:val="2"/>
          <w:szCs w:val="22"/>
          <w:lang w:val="en-US" w:eastAsia="zh-CN"/>
        </w:rPr>
        <w:t>（含数据传输加密）</w:t>
      </w:r>
      <w:r>
        <w:rPr>
          <w:rFonts w:hAnsi="宋体"/>
          <w:snapToGrid/>
          <w:color w:val="000000"/>
          <w:kern w:val="2"/>
          <w:szCs w:val="22"/>
          <w:lang w:val="en-US" w:eastAsia="zh-CN"/>
        </w:rPr>
        <w:t>、</w:t>
      </w:r>
      <w:r>
        <w:rPr>
          <w:rFonts w:hint="eastAsia" w:hAnsi="宋体"/>
          <w:snapToGrid/>
          <w:color w:val="000000"/>
          <w:kern w:val="2"/>
          <w:szCs w:val="22"/>
          <w:lang w:val="en-US" w:eastAsia="zh-CN"/>
        </w:rPr>
        <w:t>信息</w:t>
      </w:r>
      <w:r>
        <w:rPr>
          <w:rFonts w:hAnsi="宋体"/>
          <w:snapToGrid/>
          <w:color w:val="000000"/>
          <w:kern w:val="2"/>
          <w:szCs w:val="22"/>
          <w:lang w:val="en-US" w:eastAsia="zh-CN"/>
        </w:rPr>
        <w:t>展现</w:t>
      </w:r>
      <w:r>
        <w:rPr>
          <w:rFonts w:hint="eastAsia" w:hAnsi="宋体"/>
          <w:snapToGrid/>
          <w:color w:val="000000"/>
          <w:kern w:val="2"/>
          <w:szCs w:val="22"/>
          <w:lang w:val="en-US" w:eastAsia="zh-CN"/>
        </w:rPr>
        <w:t>等方面</w:t>
      </w:r>
      <w:r>
        <w:rPr>
          <w:rFonts w:hAnsi="宋体"/>
          <w:snapToGrid/>
          <w:color w:val="000000"/>
          <w:kern w:val="2"/>
          <w:szCs w:val="22"/>
          <w:lang w:val="en-US" w:eastAsia="zh-CN"/>
        </w:rPr>
        <w:t>进行优化</w:t>
      </w:r>
      <w:r>
        <w:rPr>
          <w:rFonts w:hint="eastAsia" w:hAnsi="宋体"/>
          <w:snapToGrid/>
          <w:color w:val="000000"/>
          <w:kern w:val="2"/>
          <w:szCs w:val="22"/>
          <w:lang w:val="en-US" w:eastAsia="zh-CN"/>
        </w:rPr>
        <w:t>；</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2.决策系统在对应规则模块进行优化；</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3.三方查询模块进行相应优化；</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二、贷中环节查询：</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1.贷中账户管理查询在第三方查询平台进行查询。由风险部信贷管理团队生成查询名单,查询名单包括:姓名、身份证号、手机号、查询日期，以批量文件的方式导入第三方查询平台查询系统，第三方查询平台系统对批量查询文件中的敏感字段进行加密后传输给第三方数据供应商。第三方数据供应商将查询结果反馈给第三方查循平台查询系统，第三方查询平台查询系统保存查询结果。</w:t>
      </w:r>
    </w:p>
    <w:p>
      <w:pPr>
        <w:spacing w:beforeLines="50" w:afterLines="50" w:line="480" w:lineRule="exact"/>
        <w:ind w:firstLine="480" w:firstLineChars="200"/>
        <w:rPr>
          <w:rFonts w:hint="default"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2.第三方数据查询模块增加存量客户新增互联网多头借贷信息数据查询功能（含数据传输加密），在数据采集与传输、数据存储、数据查询管理、外围系统对接、数据查询页面展示、用户管理等方面进行优化。</w:t>
      </w:r>
    </w:p>
    <w:p>
      <w:pPr>
        <w:pStyle w:val="3"/>
        <w:numPr>
          <w:ilvl w:val="0"/>
          <w:numId w:val="5"/>
        </w:numPr>
        <w:rPr>
          <w:rFonts w:ascii="黑体" w:hAnsi="黑体" w:eastAsia="黑体"/>
          <w:b w:val="0"/>
        </w:rPr>
      </w:pPr>
      <w:bookmarkStart w:id="10" w:name="_Toc8475"/>
      <w:r>
        <w:rPr>
          <w:rFonts w:hint="eastAsia" w:ascii="黑体" w:hAnsi="黑体" w:eastAsia="黑体"/>
          <w:b w:val="0"/>
        </w:rPr>
        <w:t>产品功能</w:t>
      </w:r>
      <w:bookmarkEnd w:id="10"/>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[审批系统]</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1、审批系统第三方模块接入数据源服务配套改造</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2、审批系统第三方模块数据源查询异常处理机制</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3、审批系统征信策略规则配套改造</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4、审批系统数据源账户类型配置功能</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5、审批系统数据源进件城市配置功能</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6、审批系统数据源进件渠道配置功能</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7、审批系统第三方征信策略配套改造（查询策略）</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8、审批系统数据源查询数量限制及反显功能</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9、审批系统数据源月报表功能</w:t>
      </w:r>
    </w:p>
    <w:p>
      <w:pPr>
        <w:snapToGrid w:val="0"/>
        <w:spacing w:line="360" w:lineRule="auto"/>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10、审批系统与决策系统交互接口配套改造</w:t>
      </w:r>
    </w:p>
    <w:p>
      <w:pPr>
        <w:spacing w:beforeLines="50" w:afterLines="50" w:line="480" w:lineRule="exact"/>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 xml:space="preserve"> [第三方查询模块]</w:t>
      </w:r>
    </w:p>
    <w:p>
      <w:pPr>
        <w:spacing w:beforeLines="50" w:afterLines="50" w:line="480" w:lineRule="exact"/>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1、第三方查询模块接入数据源服务</w:t>
      </w:r>
    </w:p>
    <w:p>
      <w:pPr>
        <w:spacing w:beforeLines="50" w:afterLines="50" w:line="480" w:lineRule="exact"/>
        <w:ind w:firstLine="480" w:firstLineChars="20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2、第三方查询模块数据源批量查询功能</w:t>
      </w:r>
    </w:p>
    <w:p>
      <w:pPr>
        <w:spacing w:beforeLines="50" w:afterLines="50" w:line="480" w:lineRule="exact"/>
        <w:ind w:firstLine="480" w:firstLineChars="200"/>
        <w:rPr>
          <w:rFonts w:hint="eastAsia" w:ascii="微软简仿宋" w:hAnsi="微软简仿宋" w:eastAsia="微软简仿宋" w:cs="微软简仿宋"/>
          <w:sz w:val="28"/>
          <w:szCs w:val="28"/>
        </w:rPr>
      </w:pPr>
      <w:r>
        <w:rPr>
          <w:rFonts w:hint="eastAsia" w:ascii="Times New Roman" w:hAnsi="宋体" w:eastAsia="宋体" w:cs="Times New Roman"/>
          <w:snapToGrid/>
          <w:color w:val="000000"/>
          <w:kern w:val="2"/>
          <w:sz w:val="24"/>
          <w:szCs w:val="22"/>
          <w:lang w:val="en-US" w:eastAsia="zh-CN" w:bidi="ar-SA"/>
        </w:rPr>
        <w:t>3、第三方查询模块数据源查询数量设置功能</w:t>
      </w:r>
    </w:p>
    <w:p>
      <w:pPr>
        <w:pStyle w:val="3"/>
        <w:numPr>
          <w:ilvl w:val="0"/>
          <w:numId w:val="5"/>
        </w:numPr>
        <w:rPr>
          <w:rFonts w:ascii="黑体" w:hAnsi="黑体" w:eastAsia="黑体"/>
          <w:b w:val="0"/>
        </w:rPr>
      </w:pPr>
      <w:bookmarkStart w:id="11" w:name="_Toc23219"/>
      <w:r>
        <w:rPr>
          <w:rFonts w:hint="eastAsia" w:ascii="黑体" w:hAnsi="黑体" w:eastAsia="黑体"/>
          <w:b w:val="0"/>
        </w:rPr>
        <w:t>用户场景</w:t>
      </w:r>
      <w:bookmarkEnd w:id="11"/>
    </w:p>
    <w:p>
      <w:pPr>
        <w:numPr>
          <w:ilvl w:val="0"/>
          <w:numId w:val="6"/>
        </w:numPr>
        <w:spacing w:beforeLines="50" w:afterLines="50" w:line="480" w:lineRule="exact"/>
        <w:ind w:left="840" w:leftChars="0" w:hanging="420" w:firstLineChars="0"/>
        <w:rPr>
          <w:rFonts w:hint="eastAsia" w:ascii="黑体" w:hAnsi="黑体" w:eastAsia="黑体" w:cs="黑体"/>
          <w:sz w:val="24"/>
          <w:lang w:eastAsia="zh-CN"/>
        </w:rPr>
      </w:pPr>
      <w:r>
        <w:rPr>
          <w:rFonts w:hint="eastAsia" w:ascii="黑体" w:hAnsi="黑体" w:eastAsia="黑体" w:cs="黑体"/>
          <w:sz w:val="24"/>
          <w:lang w:eastAsia="zh-CN"/>
        </w:rPr>
        <w:t>审批系统</w:t>
      </w:r>
    </w:p>
    <w:p>
      <w:pPr>
        <w:spacing w:beforeLines="50" w:afterLines="50" w:line="480" w:lineRule="exact"/>
        <w:ind w:firstLine="480" w:firstLineChars="200"/>
        <w:rPr>
          <w:rFonts w:hint="eastAsia" w:ascii="Times New Roman" w:cs="Times New Roman"/>
          <w:sz w:val="24"/>
          <w:lang w:eastAsia="zh-CN"/>
        </w:rPr>
      </w:pPr>
      <w:r>
        <w:rPr>
          <w:rFonts w:hint="eastAsia" w:ascii="Times New Roman" w:cs="Times New Roman"/>
          <w:sz w:val="24"/>
        </w:rPr>
        <w:t>业务操作人员日常操作使用场景</w:t>
      </w:r>
      <w:r>
        <w:rPr>
          <w:rFonts w:hint="eastAsia" w:ascii="Times New Roman" w:cs="Times New Roman"/>
          <w:sz w:val="24"/>
          <w:lang w:eastAsia="zh-CN"/>
        </w:rPr>
        <w:t>与现有审批系统操作保持一致。</w:t>
      </w:r>
    </w:p>
    <w:p>
      <w:pPr>
        <w:numPr>
          <w:ilvl w:val="0"/>
          <w:numId w:val="6"/>
        </w:numPr>
        <w:spacing w:beforeLines="50" w:afterLines="50" w:line="480" w:lineRule="exact"/>
        <w:ind w:left="840" w:leftChars="0" w:hanging="420" w:firstLineChars="0"/>
        <w:rPr>
          <w:rFonts w:hint="eastAsia" w:ascii="黑体" w:hAnsi="黑体" w:eastAsia="黑体" w:cs="黑体"/>
          <w:sz w:val="24"/>
          <w:lang w:eastAsia="zh-CN"/>
        </w:rPr>
      </w:pPr>
      <w:r>
        <w:rPr>
          <w:rFonts w:hint="eastAsia" w:ascii="黑体" w:hAnsi="黑体" w:eastAsia="黑体" w:cs="黑体"/>
          <w:sz w:val="24"/>
          <w:lang w:eastAsia="zh-CN"/>
        </w:rPr>
        <w:t>第三方查询模块</w:t>
      </w:r>
    </w:p>
    <w:p>
      <w:pPr>
        <w:spacing w:beforeLines="50" w:afterLines="50" w:line="480" w:lineRule="exact"/>
        <w:ind w:firstLine="420" w:firstLineChars="0"/>
        <w:rPr>
          <w:rFonts w:hint="eastAsia" w:ascii="Times New Roman" w:cs="Times New Roman"/>
          <w:sz w:val="24"/>
          <w:lang w:val="en-US" w:eastAsia="zh-CN"/>
        </w:rPr>
      </w:pPr>
      <w:r>
        <w:rPr>
          <w:rFonts w:hint="eastAsia" w:ascii="Times New Roman" w:cs="Times New Roman"/>
          <w:sz w:val="24"/>
        </w:rPr>
        <w:t>业务操作人员日常操作使用场景</w:t>
      </w:r>
      <w:r>
        <w:rPr>
          <w:rFonts w:hint="eastAsia" w:ascii="Times New Roman" w:cs="Times New Roman"/>
          <w:sz w:val="24"/>
          <w:lang w:eastAsia="zh-CN"/>
        </w:rPr>
        <w:t>与现有第三方查询模块操作保持一致。</w:t>
      </w:r>
    </w:p>
    <w:p>
      <w:pPr>
        <w:pStyle w:val="3"/>
        <w:numPr>
          <w:ilvl w:val="0"/>
          <w:numId w:val="5"/>
        </w:numPr>
        <w:rPr>
          <w:rFonts w:ascii="黑体" w:hAnsi="黑体" w:eastAsia="黑体"/>
          <w:b w:val="0"/>
        </w:rPr>
      </w:pPr>
      <w:bookmarkStart w:id="12" w:name="_Toc11669"/>
      <w:r>
        <w:rPr>
          <w:rFonts w:hint="eastAsia" w:ascii="黑体" w:hAnsi="黑体" w:eastAsia="黑体"/>
          <w:b w:val="0"/>
        </w:rPr>
        <w:t>一般约束</w:t>
      </w:r>
      <w:bookmarkEnd w:id="12"/>
    </w:p>
    <w:p>
      <w:pPr>
        <w:spacing w:beforeLines="50" w:afterLines="50" w:line="480" w:lineRule="exact"/>
        <w:ind w:firstLine="480" w:firstLineChars="200"/>
        <w:rPr>
          <w:rFonts w:ascii="Times New Roman" w:cs="Times New Roman"/>
          <w:sz w:val="24"/>
        </w:rPr>
      </w:pPr>
      <w:r>
        <w:rPr>
          <w:rFonts w:hint="eastAsia" w:ascii="Times New Roman" w:cs="Times New Roman"/>
          <w:sz w:val="24"/>
        </w:rPr>
        <w:t>第三方查询模块开发实施一般约束如下：</w:t>
      </w:r>
    </w:p>
    <w:p>
      <w:pPr>
        <w:pStyle w:val="19"/>
        <w:numPr>
          <w:ilvl w:val="0"/>
          <w:numId w:val="7"/>
        </w:numPr>
        <w:spacing w:line="480" w:lineRule="exact"/>
        <w:ind w:left="902" w:firstLineChars="0"/>
        <w:rPr>
          <w:rFonts w:ascii="Times New Roman" w:cs="Times New Roman"/>
          <w:sz w:val="24"/>
          <w:szCs w:val="24"/>
        </w:rPr>
      </w:pPr>
      <w:r>
        <w:rPr>
          <w:rFonts w:hint="eastAsia" w:ascii="Times New Roman" w:cs="Times New Roman"/>
          <w:sz w:val="24"/>
          <w:szCs w:val="24"/>
        </w:rPr>
        <w:t>开发语言：JAVA（1.7）</w:t>
      </w:r>
    </w:p>
    <w:p>
      <w:pPr>
        <w:pStyle w:val="19"/>
        <w:numPr>
          <w:ilvl w:val="0"/>
          <w:numId w:val="7"/>
        </w:numPr>
        <w:spacing w:line="480" w:lineRule="exact"/>
        <w:ind w:left="902" w:firstLineChars="0"/>
        <w:rPr>
          <w:rFonts w:ascii="Times New Roman" w:cs="Times New Roman"/>
          <w:sz w:val="24"/>
          <w:szCs w:val="24"/>
        </w:rPr>
      </w:pPr>
      <w:r>
        <w:rPr>
          <w:rFonts w:hint="eastAsia" w:ascii="Times New Roman" w:cs="Times New Roman"/>
          <w:sz w:val="24"/>
          <w:szCs w:val="24"/>
        </w:rPr>
        <w:t>开发平台：Eclipse（4.5.2）</w:t>
      </w:r>
    </w:p>
    <w:p>
      <w:pPr>
        <w:pStyle w:val="19"/>
        <w:numPr>
          <w:ilvl w:val="0"/>
          <w:numId w:val="7"/>
        </w:numPr>
        <w:spacing w:line="480" w:lineRule="exact"/>
        <w:ind w:left="902" w:firstLineChars="0"/>
        <w:rPr>
          <w:rFonts w:ascii="Times New Roman" w:cs="Times New Roman"/>
          <w:sz w:val="24"/>
          <w:szCs w:val="24"/>
        </w:rPr>
      </w:pPr>
      <w:r>
        <w:rPr>
          <w:rFonts w:hint="eastAsia" w:ascii="Times New Roman" w:cs="Times New Roman"/>
          <w:sz w:val="24"/>
          <w:szCs w:val="24"/>
        </w:rPr>
        <w:t>中间件：</w:t>
      </w:r>
      <w:r>
        <w:rPr>
          <w:rFonts w:hint="eastAsia" w:ascii="Times New Roman" w:cs="Times New Roman"/>
          <w:sz w:val="24"/>
          <w:szCs w:val="24"/>
          <w:lang w:val="en-US" w:eastAsia="zh-CN"/>
        </w:rPr>
        <w:t>Dubbo</w:t>
      </w:r>
      <w:r>
        <w:rPr>
          <w:rFonts w:hint="eastAsia" w:ascii="Times New Roman" w:cs="Times New Roman"/>
          <w:sz w:val="24"/>
          <w:szCs w:val="24"/>
        </w:rPr>
        <w:t>（</w:t>
      </w:r>
      <w:r>
        <w:rPr>
          <w:rFonts w:hint="eastAsia" w:ascii="Times New Roman" w:cs="Times New Roman"/>
          <w:sz w:val="24"/>
          <w:szCs w:val="24"/>
          <w:lang w:val="en-US" w:eastAsia="zh-CN"/>
        </w:rPr>
        <w:t>2.6.2</w:t>
      </w:r>
      <w:r>
        <w:rPr>
          <w:rFonts w:hint="eastAsia" w:ascii="Times New Roman" w:cs="Times New Roman"/>
          <w:sz w:val="24"/>
          <w:szCs w:val="24"/>
        </w:rPr>
        <w:t>）、Redis（</w:t>
      </w:r>
      <w:r>
        <w:rPr>
          <w:rFonts w:ascii="Times New Roman" w:cs="Times New Roman"/>
          <w:sz w:val="24"/>
          <w:szCs w:val="24"/>
        </w:rPr>
        <w:t>2.8.20</w:t>
      </w:r>
      <w:r>
        <w:rPr>
          <w:rFonts w:hint="eastAsia" w:ascii="Times New Roman" w:cs="Times New Roman"/>
          <w:sz w:val="24"/>
          <w:szCs w:val="24"/>
        </w:rPr>
        <w:t>）、Tomcat（</w:t>
      </w:r>
      <w:r>
        <w:rPr>
          <w:rFonts w:ascii="Times New Roman" w:cs="Times New Roman"/>
          <w:sz w:val="24"/>
          <w:szCs w:val="24"/>
        </w:rPr>
        <w:t>7.0.94</w:t>
      </w:r>
      <w:r>
        <w:rPr>
          <w:rFonts w:hint="eastAsia" w:ascii="Times New Roman" w:cs="Times New Roman"/>
          <w:sz w:val="24"/>
          <w:szCs w:val="24"/>
        </w:rPr>
        <w:t>）</w:t>
      </w:r>
    </w:p>
    <w:p>
      <w:pPr>
        <w:pStyle w:val="19"/>
        <w:numPr>
          <w:ilvl w:val="0"/>
          <w:numId w:val="7"/>
        </w:numPr>
        <w:spacing w:line="480" w:lineRule="exact"/>
        <w:ind w:left="902" w:firstLineChars="0"/>
        <w:rPr>
          <w:rFonts w:ascii="Times New Roman" w:cs="Times New Roman"/>
          <w:sz w:val="24"/>
          <w:szCs w:val="24"/>
        </w:rPr>
      </w:pPr>
      <w:r>
        <w:rPr>
          <w:rFonts w:hint="eastAsia" w:ascii="Times New Roman" w:cs="Times New Roman"/>
          <w:sz w:val="24"/>
          <w:szCs w:val="24"/>
        </w:rPr>
        <w:t>数据库：Oracle 11g</w:t>
      </w:r>
    </w:p>
    <w:p>
      <w:pPr>
        <w:pStyle w:val="3"/>
        <w:numPr>
          <w:ilvl w:val="0"/>
          <w:numId w:val="5"/>
        </w:numPr>
        <w:rPr>
          <w:rFonts w:ascii="黑体" w:hAnsi="黑体" w:eastAsia="黑体"/>
          <w:b w:val="0"/>
        </w:rPr>
      </w:pPr>
      <w:bookmarkStart w:id="13" w:name="_Toc32094"/>
      <w:r>
        <w:rPr>
          <w:rFonts w:hint="eastAsia" w:ascii="黑体" w:hAnsi="黑体" w:eastAsia="黑体"/>
          <w:b w:val="0"/>
        </w:rPr>
        <w:t>假设与依据</w:t>
      </w:r>
      <w:bookmarkEnd w:id="13"/>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审批</w:t>
      </w:r>
      <w:r>
        <w:rPr>
          <w:rFonts w:hint="eastAsia" w:ascii="Times New Roman" w:cs="Times New Roman"/>
          <w:sz w:val="24"/>
        </w:rPr>
        <w:t>系统开发实施前，假设项目团队人员已经知悉所要开发的需求功能以及明确业务需求要求，其开发实施依据业务团队提供的《新增互联网多头借贷信息采购项目V1.2.doc》需求文档，非需求文档内业务需求不在开发实施范围内，项目团队有权拒绝开发实施。</w:t>
      </w:r>
    </w:p>
    <w:p>
      <w:pPr>
        <w:pStyle w:val="2"/>
        <w:numPr>
          <w:ilvl w:val="0"/>
          <w:numId w:val="2"/>
        </w:numPr>
        <w:tabs>
          <w:tab w:val="clear" w:pos="312"/>
        </w:tabs>
        <w:snapToGrid w:val="0"/>
        <w:spacing w:beforeLines="100" w:afterLines="100" w:line="1000" w:lineRule="exact"/>
        <w:ind w:left="720" w:hanging="720"/>
        <w:rPr>
          <w:rFonts w:hint="eastAsia" w:ascii="黑体" w:hAnsi="黑体" w:eastAsia="黑体" w:cs="黑体"/>
          <w:b w:val="0"/>
          <w:sz w:val="36"/>
          <w:szCs w:val="36"/>
          <w:lang w:val="en-US" w:eastAsia="zh-CN"/>
        </w:rPr>
      </w:pPr>
      <w:bookmarkStart w:id="14" w:name="_Toc7784"/>
      <w:r>
        <w:rPr>
          <w:rFonts w:hint="eastAsia" w:ascii="黑体" w:hAnsi="黑体" w:eastAsia="黑体" w:cs="黑体"/>
          <w:b w:val="0"/>
          <w:sz w:val="36"/>
          <w:szCs w:val="36"/>
          <w:lang w:val="en-US" w:eastAsia="zh-CN"/>
        </w:rPr>
        <w:t>具体要求</w:t>
      </w:r>
      <w:bookmarkEnd w:id="14"/>
    </w:p>
    <w:p>
      <w:pPr>
        <w:pStyle w:val="3"/>
        <w:numPr>
          <w:ilvl w:val="0"/>
          <w:numId w:val="8"/>
        </w:numPr>
        <w:rPr>
          <w:rFonts w:hint="eastAsia" w:ascii="黑体" w:hAnsi="黑体" w:eastAsia="黑体"/>
          <w:b w:val="0"/>
        </w:rPr>
      </w:pPr>
      <w:bookmarkStart w:id="15" w:name="_Toc3340"/>
      <w:r>
        <w:rPr>
          <w:rFonts w:hint="eastAsia" w:ascii="黑体" w:hAnsi="黑体" w:eastAsia="黑体"/>
          <w:b w:val="0"/>
        </w:rPr>
        <w:t>功能清单</w:t>
      </w:r>
      <w:bookmarkEnd w:id="15"/>
    </w:p>
    <w:p>
      <w:pPr>
        <w:pStyle w:val="4"/>
        <w:rPr>
          <w:rFonts w:hint="eastAsia"/>
        </w:rPr>
      </w:pPr>
    </w:p>
    <w:p>
      <w:pPr>
        <w:pStyle w:val="3"/>
        <w:numPr>
          <w:ilvl w:val="0"/>
          <w:numId w:val="8"/>
        </w:numPr>
        <w:rPr>
          <w:rFonts w:hint="eastAsia" w:ascii="黑体" w:hAnsi="黑体" w:eastAsia="黑体"/>
          <w:b w:val="0"/>
        </w:rPr>
      </w:pPr>
      <w:bookmarkStart w:id="16" w:name="_Toc772"/>
      <w:r>
        <w:rPr>
          <w:rFonts w:hint="eastAsia" w:ascii="黑体" w:hAnsi="黑体" w:eastAsia="黑体"/>
          <w:b w:val="0"/>
        </w:rPr>
        <w:t>功能需求</w:t>
      </w:r>
      <w:bookmarkEnd w:id="16"/>
    </w:p>
    <w:p>
      <w:pPr>
        <w:pStyle w:val="5"/>
        <w:numPr>
          <w:ilvl w:val="0"/>
          <w:numId w:val="9"/>
        </w:numPr>
        <w:ind w:left="720" w:leftChars="0" w:hanging="720" w:firstLineChars="0"/>
        <w:rPr>
          <w:rFonts w:hint="eastAsia" w:ascii="黑体" w:hAnsi="黑体" w:eastAsia="黑体"/>
          <w:b w:val="0"/>
          <w:sz w:val="30"/>
          <w:szCs w:val="30"/>
        </w:rPr>
      </w:pPr>
      <w:bookmarkStart w:id="17" w:name="_Toc30177"/>
      <w:r>
        <w:rPr>
          <w:rFonts w:hint="eastAsia" w:ascii="黑体" w:hAnsi="黑体" w:eastAsia="黑体"/>
          <w:b w:val="0"/>
          <w:sz w:val="30"/>
          <w:szCs w:val="30"/>
          <w:lang w:val="en-US" w:eastAsia="zh-CN"/>
        </w:rPr>
        <w:t>审批系统第三方模块接入数据源服务配套改造</w:t>
      </w:r>
      <w:bookmarkEnd w:id="17"/>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审批系统第三方模块接入新增互联网多头借贷数据源服务，向第三方查询模块发起查询请求服务。</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发起位置：第三梯队原有数据源多头借贷信息（百融）的查询位置。</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关键要素：姓名、身份证号、手机号</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审批系统发起数据源查询请求异常（连续两次查询）后，申请件进入“异常查询对列”，不再继续向下流转。</w:t>
      </w:r>
    </w:p>
    <w:p>
      <w:pPr>
        <w:pStyle w:val="5"/>
        <w:numPr>
          <w:ilvl w:val="0"/>
          <w:numId w:val="9"/>
        </w:numPr>
        <w:ind w:left="720" w:leftChars="0" w:hanging="720" w:firstLineChars="0"/>
        <w:rPr>
          <w:rFonts w:hint="eastAsia" w:ascii="黑体" w:hAnsi="黑体" w:eastAsia="黑体"/>
          <w:b w:val="0"/>
          <w:sz w:val="30"/>
          <w:szCs w:val="30"/>
          <w:lang w:val="en-US" w:eastAsia="zh-CN"/>
        </w:rPr>
      </w:pPr>
      <w:bookmarkStart w:id="18" w:name="_Toc4012"/>
      <w:r>
        <w:rPr>
          <w:rFonts w:hint="eastAsia" w:ascii="黑体" w:hAnsi="黑体" w:eastAsia="黑体"/>
          <w:b w:val="0"/>
          <w:sz w:val="30"/>
          <w:szCs w:val="30"/>
          <w:lang w:val="en-US" w:eastAsia="zh-CN"/>
        </w:rPr>
        <w:t>审批系统第三方模块数据源查询异常处理机制</w:t>
      </w:r>
      <w:bookmarkEnd w:id="18"/>
    </w:p>
    <w:p>
      <w:pPr>
        <w:pStyle w:val="4"/>
        <w:spacing w:before="187" w:after="187"/>
        <w:ind w:firstLine="420" w:firstLineChars="0"/>
        <w:rPr>
          <w:rFonts w:hint="default" w:eastAsia="宋体"/>
          <w:lang w:val="en-US" w:eastAsia="zh-CN"/>
        </w:rPr>
      </w:pPr>
      <w:r>
        <w:rPr>
          <w:rFonts w:hint="eastAsia" w:hAnsi="宋体"/>
          <w:snapToGrid/>
          <w:color w:val="000000"/>
          <w:kern w:val="2"/>
          <w:szCs w:val="22"/>
          <w:lang w:val="en-US" w:eastAsia="zh-CN"/>
        </w:rPr>
        <w:t>审批系统第三方模块数据源查询请求异常后，连续进行第二次查询请求动作，若第二次查询异常，则对应申请件进入“异常查询对列”，人工干预触发。</w:t>
      </w:r>
    </w:p>
    <w:p>
      <w:pPr>
        <w:pStyle w:val="5"/>
        <w:numPr>
          <w:ilvl w:val="0"/>
          <w:numId w:val="9"/>
        </w:numPr>
        <w:ind w:left="720" w:leftChars="0" w:hanging="720" w:firstLineChars="0"/>
        <w:rPr>
          <w:rFonts w:hint="eastAsia" w:ascii="黑体" w:hAnsi="黑体" w:eastAsia="黑体"/>
          <w:b w:val="0"/>
          <w:sz w:val="30"/>
          <w:szCs w:val="30"/>
          <w:lang w:val="en-US" w:eastAsia="zh-CN"/>
        </w:rPr>
      </w:pPr>
      <w:bookmarkStart w:id="19" w:name="_Toc22804"/>
      <w:r>
        <w:rPr>
          <w:rFonts w:hint="eastAsia" w:ascii="黑体" w:hAnsi="黑体" w:eastAsia="黑体"/>
          <w:b w:val="0"/>
          <w:sz w:val="30"/>
          <w:szCs w:val="30"/>
          <w:lang w:val="en-US" w:eastAsia="zh-CN"/>
        </w:rPr>
        <w:t>审批系统第三方梯队查询</w:t>
      </w:r>
      <w:bookmarkStart w:id="37" w:name="_GoBack"/>
      <w:bookmarkEnd w:id="37"/>
      <w:r>
        <w:rPr>
          <w:rFonts w:hint="eastAsia" w:ascii="黑体" w:hAnsi="黑体" w:eastAsia="黑体"/>
          <w:b w:val="0"/>
          <w:sz w:val="30"/>
          <w:szCs w:val="30"/>
          <w:lang w:val="en-US" w:eastAsia="zh-CN"/>
        </w:rPr>
        <w:t>策略规则配套改造</w:t>
      </w:r>
      <w:bookmarkEnd w:id="19"/>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审批系统征信策略公共（标准卡、易达金）规则在现有规则下可信身份认证特有规则，配套改造如下：</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（1）废件排除规则</w:t>
      </w:r>
    </w:p>
    <w:p>
      <w:pPr>
        <w:pStyle w:val="4"/>
        <w:spacing w:before="187" w:after="187"/>
        <w:ind w:left="420" w:leftChars="0"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在发起新增互联网多头借贷信息数据来源的查询前，需筛除被标识为废件的申请件。</w:t>
      </w:r>
    </w:p>
    <w:p>
      <w:pPr>
        <w:pStyle w:val="4"/>
        <w:spacing w:before="187" w:after="187"/>
        <w:ind w:left="420" w:leftChars="0"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取值规则：通过申请条码的第11位识别废件，若第11位为“F”，则需筛去，不发起查询请求。</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（2）反欺诈命中申请排除规则</w:t>
      </w:r>
    </w:p>
    <w:p>
      <w:pPr>
        <w:pStyle w:val="4"/>
        <w:spacing w:before="187" w:after="187"/>
        <w:ind w:left="420" w:leftChars="0"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在发起新增互联网多头借贷信息数据来源的查询前，需筛除命中反欺诈决策1和反欺诈决策2后自动拒绝的申请件。</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（3）套卡排除规则</w:t>
      </w:r>
    </w:p>
    <w:p>
      <w:pPr>
        <w:pStyle w:val="4"/>
        <w:spacing w:before="187" w:after="187"/>
        <w:ind w:left="420" w:leftChars="0"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在发起新增互联网多头借贷信息数据来源的查询前，若以套卡形式进件的申请件符合查询条件，需按同一申请件计算，仅查询一次。每个条形码下均可调阅新增互联网多头借贷信息数据来源的查询结果。</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（4）重复进件排除规则</w:t>
      </w:r>
    </w:p>
    <w:p>
      <w:pPr>
        <w:pStyle w:val="4"/>
        <w:spacing w:before="187" w:after="187"/>
        <w:ind w:left="420" w:leftChars="0"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同一天申请件不可重复查询。</w:t>
      </w:r>
    </w:p>
    <w:p>
      <w:pPr>
        <w:pStyle w:val="4"/>
        <w:spacing w:before="187" w:after="187"/>
        <w:ind w:firstLine="420" w:firstLineChars="0"/>
        <w:rPr>
          <w:rFonts w:hint="eastAsia" w:hAnsi="宋体"/>
          <w:snapToGrid/>
          <w:color w:val="000000"/>
          <w:kern w:val="2"/>
          <w:szCs w:val="22"/>
          <w:lang w:val="en-US" w:eastAsia="zh-CN"/>
        </w:rPr>
      </w:pPr>
      <w:r>
        <w:rPr>
          <w:rFonts w:hint="eastAsia" w:hAnsi="宋体"/>
          <w:snapToGrid/>
          <w:color w:val="000000"/>
          <w:kern w:val="2"/>
          <w:szCs w:val="22"/>
          <w:lang w:val="en-US" w:eastAsia="zh-CN"/>
        </w:rPr>
        <w:t>（5）单办副卡排除规则</w:t>
      </w:r>
    </w:p>
    <w:p>
      <w:pPr>
        <w:ind w:left="420" w:leftChars="0" w:firstLine="420" w:firstLineChars="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单办副卡不发起新增互联网多头借贷信息数据来源的查询。</w:t>
      </w:r>
    </w:p>
    <w:p>
      <w:pPr>
        <w:pStyle w:val="5"/>
        <w:numPr>
          <w:ilvl w:val="0"/>
          <w:numId w:val="9"/>
        </w:numPr>
        <w:ind w:left="720" w:leftChars="0" w:hanging="720" w:firstLineChars="0"/>
        <w:rPr>
          <w:rFonts w:hint="eastAsia" w:ascii="黑体" w:hAnsi="黑体" w:eastAsia="黑体"/>
          <w:b w:val="0"/>
          <w:sz w:val="30"/>
          <w:szCs w:val="30"/>
          <w:lang w:val="en-US" w:eastAsia="zh-CN"/>
        </w:rPr>
      </w:pPr>
      <w:bookmarkStart w:id="20" w:name="_Toc11956"/>
      <w:r>
        <w:rPr>
          <w:rFonts w:hint="eastAsia" w:ascii="黑体" w:hAnsi="黑体" w:eastAsia="黑体"/>
          <w:b w:val="0"/>
          <w:sz w:val="30"/>
          <w:szCs w:val="30"/>
          <w:lang w:val="en-US" w:eastAsia="zh-CN"/>
        </w:rPr>
        <w:t>审批系统数据源页面配置功能</w:t>
      </w:r>
      <w:bookmarkEnd w:id="20"/>
    </w:p>
    <w:p>
      <w:pPr>
        <w:numPr>
          <w:ilvl w:val="0"/>
          <w:numId w:val="10"/>
        </w:numPr>
        <w:ind w:left="840" w:leftChars="0" w:hanging="420" w:firstLineChars="0"/>
        <w:rPr>
          <w:rFonts w:hint="default"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账户类型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审批系统提供数据源账户类型配置功能，如选择易达金卡和标准卡，支持单选（标准卡或易达金卡）、支持复选（标准卡和易达金卡）。可选择账户类型</w:t>
      </w:r>
      <w:r>
        <w:rPr>
          <w:rFonts w:hint="eastAsia" w:ascii="Times New Roman" w:hAnsi="宋体" w:cs="Times New Roman"/>
          <w:snapToGrid/>
          <w:color w:val="000000"/>
          <w:kern w:val="2"/>
          <w:sz w:val="24"/>
          <w:szCs w:val="22"/>
          <w:lang w:val="en-US" w:eastAsia="zh-CN" w:bidi="ar-SA"/>
        </w:rPr>
        <w:t>。</w:t>
      </w:r>
    </w:p>
    <w:p>
      <w:pPr>
        <w:numPr>
          <w:ilvl w:val="0"/>
          <w:numId w:val="10"/>
        </w:numPr>
        <w:ind w:left="840" w:leftChars="0" w:hanging="420" w:firstLineChars="0"/>
        <w:rPr>
          <w:rFonts w:hint="default"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进件城市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审批系统提供数据源进件城市配置功能，新增多头借贷信息查询渠道配置功能，可根据条形码的第9-10位设置特定城市的进件不发起多头借贷信息信息查询，特定城市参数可配，支持增、删、改</w:t>
      </w:r>
      <w:r>
        <w:rPr>
          <w:rFonts w:hint="eastAsia" w:ascii="Times New Roman" w:hAnsi="宋体" w:cs="Times New Roman"/>
          <w:snapToGrid/>
          <w:color w:val="000000"/>
          <w:kern w:val="2"/>
          <w:sz w:val="24"/>
          <w:szCs w:val="22"/>
          <w:lang w:val="en-US" w:eastAsia="zh-CN" w:bidi="ar-SA"/>
        </w:rPr>
        <w:t>。</w:t>
      </w:r>
    </w:p>
    <w:p>
      <w:pPr>
        <w:numPr>
          <w:ilvl w:val="0"/>
          <w:numId w:val="10"/>
        </w:numPr>
        <w:ind w:left="840" w:leftChars="0" w:hanging="420" w:firstLineChars="0"/>
        <w:rPr>
          <w:rFonts w:hint="default"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进件渠道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审批系统提供数据源进件渠道配置功能，新增多头借贷信息查询渠道配置功能，可根据条形码的第8位设置特定渠道的进件不发起多头借贷信息查询，特定渠道参数可配，支持增、删、改</w:t>
      </w:r>
      <w:r>
        <w:rPr>
          <w:rFonts w:hint="eastAsia" w:ascii="Times New Roman" w:hAnsi="宋体" w:cs="Times New Roman"/>
          <w:snapToGrid/>
          <w:color w:val="000000"/>
          <w:kern w:val="2"/>
          <w:sz w:val="24"/>
          <w:szCs w:val="22"/>
          <w:lang w:val="en-US" w:eastAsia="zh-CN" w:bidi="ar-SA"/>
        </w:rPr>
        <w:t>。</w:t>
      </w:r>
    </w:p>
    <w:p>
      <w:pPr>
        <w:numPr>
          <w:ilvl w:val="0"/>
          <w:numId w:val="10"/>
        </w:numPr>
        <w:ind w:left="840" w:leftChars="0" w:hanging="420" w:firstLineChars="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查询数量限制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a.可在审批系统中设置指定时间范围内的限定查询条数（以年为单位）、查询周期（时间区间），并反显当前实际成功条数。若当年累计查询条数大于X（参数可配），则不再进行新增多头借贷数据源的查询。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Times New Roman" w:hAnsi="宋体" w:eastAsia="宋体" w:cs="Times New Roman"/>
          <w:snapToGrid/>
          <w:color w:val="000000"/>
          <w:kern w:val="2"/>
          <w:sz w:val="24"/>
          <w:szCs w:val="22"/>
          <w:lang w:val="en-US" w:eastAsia="zh-CN" w:bidi="ar-SA"/>
        </w:rPr>
        <w:t>b.支持查询当年年度内多头借贷实际已查询数量和查询是否成功的状态反馈</w:t>
      </w:r>
      <w:r>
        <w:rPr>
          <w:rFonts w:hint="eastAsia" w:ascii="Times New Roman" w:hAnsi="宋体" w:cs="Times New Roman"/>
          <w:snapToGrid/>
          <w:color w:val="000000"/>
          <w:kern w:val="2"/>
          <w:sz w:val="24"/>
          <w:szCs w:val="22"/>
          <w:lang w:val="en-US" w:eastAsia="zh-CN" w:bidi="ar-SA"/>
        </w:rPr>
        <w:t>。</w:t>
      </w:r>
    </w:p>
    <w:p>
      <w:pPr>
        <w:pStyle w:val="5"/>
        <w:numPr>
          <w:ilvl w:val="0"/>
          <w:numId w:val="9"/>
        </w:numPr>
        <w:ind w:left="720" w:leftChars="0" w:hanging="720" w:firstLineChars="0"/>
        <w:rPr>
          <w:rFonts w:hint="eastAsia" w:ascii="黑体" w:hAnsi="黑体" w:eastAsia="黑体"/>
          <w:b w:val="0"/>
          <w:sz w:val="30"/>
          <w:szCs w:val="30"/>
          <w:lang w:val="en-US" w:eastAsia="zh-CN"/>
        </w:rPr>
      </w:pPr>
      <w:bookmarkStart w:id="21" w:name="_Toc28841"/>
      <w:r>
        <w:rPr>
          <w:rFonts w:hint="eastAsia" w:ascii="黑体" w:hAnsi="黑体" w:eastAsia="黑体"/>
          <w:b w:val="0"/>
          <w:sz w:val="30"/>
          <w:szCs w:val="30"/>
          <w:lang w:val="en-US" w:eastAsia="zh-CN"/>
        </w:rPr>
        <w:t>审批系统与决策系统交互接口配套改造</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default"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审批系统在反欺诈决策2后与Blaze决策系统的多头借贷信息查询指令交互，获取多头借贷查询指令</w:t>
      </w:r>
      <w:r>
        <w:rPr>
          <w:rFonts w:hint="eastAsia" w:ascii="Times New Roman" w:hAnsi="宋体" w:cs="Times New Roman"/>
          <w:snapToGrid/>
          <w:color w:val="000000"/>
          <w:kern w:val="2"/>
          <w:sz w:val="24"/>
          <w:szCs w:val="22"/>
          <w:lang w:val="en-US" w:eastAsia="zh-CN" w:bidi="ar-SA"/>
        </w:rPr>
        <w:t>。</w:t>
      </w:r>
    </w:p>
    <w:p>
      <w:pPr>
        <w:rPr>
          <w:rFonts w:hint="eastAsia"/>
        </w:rPr>
      </w:pPr>
    </w:p>
    <w:p>
      <w:pPr>
        <w:pStyle w:val="5"/>
        <w:numPr>
          <w:ilvl w:val="0"/>
          <w:numId w:val="9"/>
        </w:numPr>
        <w:ind w:left="720" w:leftChars="0" w:hanging="720" w:firstLineChars="0"/>
        <w:rPr>
          <w:rFonts w:hint="eastAsia" w:ascii="黑体" w:hAnsi="黑体" w:eastAsia="黑体"/>
          <w:b w:val="0"/>
          <w:sz w:val="30"/>
          <w:szCs w:val="30"/>
          <w:lang w:val="en-US" w:eastAsia="zh-CN"/>
        </w:rPr>
      </w:pPr>
      <w:bookmarkStart w:id="22" w:name="_Toc22737"/>
      <w:r>
        <w:rPr>
          <w:rFonts w:hint="eastAsia" w:ascii="黑体" w:hAnsi="黑体" w:eastAsia="黑体"/>
          <w:b w:val="0"/>
          <w:sz w:val="30"/>
          <w:szCs w:val="30"/>
          <w:lang w:val="en-US" w:eastAsia="zh-CN"/>
        </w:rPr>
        <w:t>第三方查询模块数据源页面配置功能</w:t>
      </w:r>
      <w:bookmarkEnd w:id="22"/>
    </w:p>
    <w:p>
      <w:pPr>
        <w:numPr>
          <w:ilvl w:val="0"/>
          <w:numId w:val="10"/>
        </w:numPr>
        <w:ind w:left="840" w:leftChars="0" w:hanging="420" w:firstLineChars="0"/>
        <w:rPr>
          <w:rFonts w:hint="eastAsia"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批量查询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outlineLvl w:val="9"/>
        <w:rPr>
          <w:rFonts w:hint="eastAsia" w:ascii="Times New Roman" w:hAnsi="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第三方查询模块将上传查询的批量文件，经加密后向第三方数据源发起查询，并将响应结果回传至请求端</w:t>
      </w:r>
      <w:r>
        <w:rPr>
          <w:rFonts w:hint="eastAsia" w:ascii="Times New Roman" w:hAnsi="宋体" w:cs="Times New Roman"/>
          <w:snapToGrid/>
          <w:color w:val="000000"/>
          <w:kern w:val="2"/>
          <w:sz w:val="24"/>
          <w:szCs w:val="22"/>
          <w:lang w:val="en-US" w:eastAsia="zh-CN" w:bidi="ar-SA"/>
        </w:rPr>
        <w:t>。</w:t>
      </w:r>
    </w:p>
    <w:p>
      <w:pPr>
        <w:numPr>
          <w:ilvl w:val="0"/>
          <w:numId w:val="10"/>
        </w:numPr>
        <w:ind w:left="840" w:leftChars="0" w:hanging="420" w:firstLineChars="0"/>
        <w:rPr>
          <w:rFonts w:hint="default"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查询数量</w:t>
      </w:r>
    </w:p>
    <w:p>
      <w:pPr>
        <w:pStyle w:val="4"/>
        <w:rPr>
          <w:rFonts w:hint="default" w:ascii="Times New Roman" w:hAnsi="宋体" w:eastAsia="宋体" w:cs="Times New Roman"/>
          <w:snapToGrid/>
          <w:color w:val="000000"/>
          <w:kern w:val="2"/>
          <w:sz w:val="24"/>
          <w:szCs w:val="22"/>
          <w:lang w:val="en-US" w:eastAsia="zh-CN" w:bidi="ar-SA"/>
        </w:rPr>
      </w:pPr>
      <w:r>
        <w:rPr>
          <w:rFonts w:hint="eastAsia" w:ascii="Times New Roman" w:hAnsi="宋体" w:eastAsia="宋体" w:cs="Times New Roman"/>
          <w:snapToGrid/>
          <w:color w:val="000000"/>
          <w:kern w:val="2"/>
          <w:sz w:val="24"/>
          <w:szCs w:val="22"/>
          <w:lang w:val="en-US" w:eastAsia="zh-CN" w:bidi="ar-SA"/>
        </w:rPr>
        <w:t>查询数量设置功能可设置查询条数（以年为单位）、查询时间（时间区间），并可反显当前实际查询成功条数，大于此条数不可查询。</w:t>
      </w:r>
    </w:p>
    <w:p>
      <w:pPr>
        <w:pStyle w:val="3"/>
        <w:numPr>
          <w:ilvl w:val="0"/>
          <w:numId w:val="8"/>
        </w:numPr>
        <w:rPr>
          <w:rFonts w:ascii="黑体" w:hAnsi="黑体" w:eastAsia="黑体"/>
          <w:b w:val="0"/>
        </w:rPr>
      </w:pPr>
      <w:bookmarkStart w:id="23" w:name="_Toc31394"/>
      <w:r>
        <w:rPr>
          <w:rFonts w:hint="eastAsia" w:ascii="黑体" w:hAnsi="黑体" w:eastAsia="黑体"/>
          <w:b w:val="0"/>
        </w:rPr>
        <w:t>外部接口需求</w:t>
      </w:r>
      <w:bookmarkEnd w:id="23"/>
    </w:p>
    <w:p>
      <w:pPr>
        <w:pStyle w:val="5"/>
        <w:numPr>
          <w:ilvl w:val="0"/>
          <w:numId w:val="9"/>
        </w:numPr>
        <w:ind w:left="720" w:leftChars="0" w:hanging="720" w:firstLineChars="0"/>
        <w:rPr>
          <w:rFonts w:hint="eastAsia" w:ascii="黑体" w:hAnsi="黑体" w:eastAsia="黑体"/>
          <w:b w:val="0"/>
          <w:sz w:val="30"/>
          <w:szCs w:val="30"/>
        </w:rPr>
      </w:pPr>
      <w:bookmarkStart w:id="24" w:name="_Toc5826"/>
      <w:r>
        <w:rPr>
          <w:rFonts w:hint="eastAsia" w:ascii="黑体" w:hAnsi="黑体" w:eastAsia="黑体"/>
          <w:b w:val="0"/>
          <w:sz w:val="30"/>
          <w:szCs w:val="30"/>
        </w:rPr>
        <w:t>用户接口</w:t>
      </w:r>
      <w:bookmarkEnd w:id="24"/>
    </w:p>
    <w:p>
      <w:pPr>
        <w:spacing w:beforeLines="50" w:afterLines="50" w:line="480" w:lineRule="exact"/>
        <w:ind w:firstLine="480" w:firstLineChars="200"/>
        <w:rPr>
          <w:rFonts w:ascii="Times New Roman" w:cs="Times New Roman"/>
          <w:sz w:val="24"/>
        </w:rPr>
      </w:pPr>
      <w:r>
        <w:rPr>
          <w:rFonts w:hint="eastAsia" w:ascii="Times New Roman" w:cs="Times New Roman"/>
          <w:sz w:val="24"/>
        </w:rPr>
        <w:t>无</w:t>
      </w:r>
    </w:p>
    <w:p>
      <w:pPr>
        <w:pStyle w:val="5"/>
        <w:numPr>
          <w:ilvl w:val="0"/>
          <w:numId w:val="9"/>
        </w:numPr>
        <w:ind w:left="720" w:leftChars="0" w:hanging="720" w:firstLineChars="0"/>
        <w:rPr>
          <w:rFonts w:hint="eastAsia" w:ascii="黑体" w:hAnsi="黑体" w:eastAsia="黑体"/>
          <w:b w:val="0"/>
          <w:sz w:val="30"/>
          <w:szCs w:val="30"/>
        </w:rPr>
      </w:pPr>
      <w:bookmarkStart w:id="25" w:name="_Toc19544"/>
      <w:r>
        <w:rPr>
          <w:rFonts w:hint="eastAsia" w:ascii="黑体" w:hAnsi="黑体" w:eastAsia="黑体"/>
          <w:b w:val="0"/>
          <w:sz w:val="30"/>
          <w:szCs w:val="30"/>
        </w:rPr>
        <w:t>硬件接口</w:t>
      </w:r>
      <w:bookmarkEnd w:id="25"/>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无</w:t>
      </w:r>
    </w:p>
    <w:p>
      <w:pPr>
        <w:pStyle w:val="5"/>
        <w:numPr>
          <w:ilvl w:val="0"/>
          <w:numId w:val="9"/>
        </w:numPr>
        <w:ind w:left="720" w:leftChars="0" w:hanging="720" w:firstLineChars="0"/>
        <w:rPr>
          <w:rFonts w:hint="eastAsia" w:ascii="黑体" w:hAnsi="黑体" w:eastAsia="黑体"/>
          <w:b w:val="0"/>
          <w:sz w:val="30"/>
          <w:szCs w:val="30"/>
        </w:rPr>
      </w:pPr>
      <w:bookmarkStart w:id="26" w:name="_Toc8615"/>
      <w:r>
        <w:rPr>
          <w:rFonts w:hint="eastAsia" w:ascii="黑体" w:hAnsi="黑体" w:eastAsia="黑体"/>
          <w:b w:val="0"/>
          <w:sz w:val="30"/>
          <w:szCs w:val="30"/>
        </w:rPr>
        <w:t>软件接口</w:t>
      </w:r>
      <w:bookmarkEnd w:id="26"/>
    </w:p>
    <w:p>
      <w:pPr>
        <w:spacing w:beforeLines="50" w:afterLines="50" w:line="480" w:lineRule="exact"/>
        <w:ind w:firstLine="480" w:firstLineChars="200"/>
        <w:rPr>
          <w:rFonts w:hint="eastAsia" w:ascii="Times New Roman" w:eastAsia="宋体" w:cs="Times New Roman"/>
          <w:sz w:val="24"/>
          <w:lang w:val="en-US" w:eastAsia="zh-CN"/>
        </w:rPr>
      </w:pPr>
      <w:r>
        <w:rPr>
          <w:rFonts w:hint="eastAsia" w:ascii="Times New Roman" w:cs="Times New Roman"/>
          <w:sz w:val="24"/>
        </w:rPr>
        <w:t>联机软件接口均采用WebService方式进行交互，遵循统一报文接口标准</w:t>
      </w:r>
      <w:r>
        <w:rPr>
          <w:rFonts w:hint="eastAsia" w:ascii="Times New Roman" w:cs="Times New Roman"/>
          <w:sz w:val="24"/>
          <w:lang w:eastAsia="zh-CN"/>
        </w:rPr>
        <w:t>。</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主要交互渠道接口包括：</w:t>
      </w:r>
    </w:p>
    <w:p>
      <w:pPr>
        <w:pStyle w:val="18"/>
        <w:numPr>
          <w:ilvl w:val="0"/>
          <w:numId w:val="11"/>
        </w:numPr>
        <w:spacing w:beforeLines="50" w:afterLines="50" w:line="480" w:lineRule="exact"/>
        <w:ind w:firstLineChars="0"/>
        <w:rPr>
          <w:rFonts w:hint="eastAsia" w:ascii="Times New Roman" w:cs="Times New Roman"/>
          <w:sz w:val="24"/>
        </w:rPr>
      </w:pPr>
      <w:r>
        <w:rPr>
          <w:rFonts w:hint="eastAsia" w:ascii="Times New Roman" w:cs="Times New Roman"/>
          <w:sz w:val="24"/>
        </w:rPr>
        <w:t>审批系统</w:t>
      </w:r>
      <w:r>
        <w:rPr>
          <w:rFonts w:hint="eastAsia" w:ascii="Times New Roman" w:cs="Times New Roman"/>
          <w:sz w:val="24"/>
          <w:lang w:eastAsia="zh-CN"/>
        </w:rPr>
        <w:t>与</w:t>
      </w:r>
      <w:r>
        <w:rPr>
          <w:rFonts w:hint="eastAsia" w:ascii="Times New Roman" w:cs="Times New Roman"/>
          <w:sz w:val="24"/>
        </w:rPr>
        <w:t>第三方查询模块交互接口</w:t>
      </w:r>
    </w:p>
    <w:p>
      <w:pPr>
        <w:pStyle w:val="18"/>
        <w:numPr>
          <w:ilvl w:val="0"/>
          <w:numId w:val="11"/>
        </w:numPr>
        <w:spacing w:beforeLines="50" w:afterLines="50" w:line="480" w:lineRule="exact"/>
        <w:ind w:firstLineChars="0"/>
        <w:rPr>
          <w:rFonts w:hint="eastAsia" w:ascii="Times New Roman" w:cs="Times New Roman"/>
          <w:sz w:val="24"/>
        </w:rPr>
      </w:pPr>
      <w:r>
        <w:rPr>
          <w:rFonts w:hint="eastAsia" w:ascii="Times New Roman" w:cs="Times New Roman"/>
          <w:sz w:val="24"/>
        </w:rPr>
        <w:t>第三方查询模块与审批系统交互接口</w:t>
      </w:r>
    </w:p>
    <w:p>
      <w:pPr>
        <w:pStyle w:val="18"/>
        <w:numPr>
          <w:ilvl w:val="0"/>
          <w:numId w:val="11"/>
        </w:numPr>
        <w:spacing w:beforeLines="50" w:afterLines="50" w:line="480" w:lineRule="exact"/>
        <w:ind w:firstLineChars="0"/>
        <w:rPr>
          <w:rFonts w:hint="eastAsia" w:ascii="Times New Roman" w:cs="Times New Roman"/>
          <w:sz w:val="24"/>
        </w:rPr>
      </w:pPr>
      <w:r>
        <w:rPr>
          <w:rFonts w:hint="eastAsia" w:ascii="Times New Roman" w:cs="Times New Roman"/>
          <w:sz w:val="24"/>
        </w:rPr>
        <w:t>第三方查询模块与手机实名</w:t>
      </w:r>
      <w:r>
        <w:rPr>
          <w:rFonts w:hint="eastAsia" w:ascii="Times New Roman" w:cs="Times New Roman"/>
          <w:sz w:val="24"/>
          <w:lang w:val="en-US" w:eastAsia="zh-CN"/>
        </w:rPr>
        <w:t>系统</w:t>
      </w:r>
      <w:r>
        <w:rPr>
          <w:rFonts w:hint="eastAsia" w:ascii="Times New Roman" w:cs="Times New Roman"/>
          <w:sz w:val="24"/>
        </w:rPr>
        <w:t>交互接口</w:t>
      </w:r>
    </w:p>
    <w:p>
      <w:pPr>
        <w:pStyle w:val="18"/>
        <w:numPr>
          <w:ilvl w:val="0"/>
          <w:numId w:val="11"/>
        </w:numPr>
        <w:spacing w:beforeLines="50" w:afterLines="50" w:line="480" w:lineRule="exact"/>
        <w:ind w:firstLineChars="0"/>
        <w:rPr>
          <w:rFonts w:hint="eastAsia" w:ascii="Times New Roman" w:cs="Times New Roman"/>
          <w:sz w:val="24"/>
        </w:rPr>
      </w:pPr>
      <w:r>
        <w:rPr>
          <w:rFonts w:hint="eastAsia" w:ascii="Times New Roman" w:cs="Times New Roman"/>
          <w:sz w:val="24"/>
        </w:rPr>
        <w:t>第三方查询模块与在网时长系统交互接口</w:t>
      </w:r>
    </w:p>
    <w:p>
      <w:pPr>
        <w:pStyle w:val="5"/>
        <w:numPr>
          <w:ilvl w:val="0"/>
          <w:numId w:val="9"/>
        </w:numPr>
        <w:ind w:left="720" w:leftChars="0" w:hanging="720" w:firstLineChars="0"/>
        <w:rPr>
          <w:rFonts w:hint="eastAsia" w:ascii="黑体" w:hAnsi="黑体" w:eastAsia="黑体"/>
          <w:b w:val="0"/>
          <w:sz w:val="30"/>
          <w:szCs w:val="30"/>
        </w:rPr>
      </w:pPr>
      <w:bookmarkStart w:id="27" w:name="_Toc17330"/>
      <w:r>
        <w:rPr>
          <w:rFonts w:hint="eastAsia" w:ascii="黑体" w:hAnsi="黑体" w:eastAsia="黑体"/>
          <w:b w:val="0"/>
          <w:sz w:val="30"/>
          <w:szCs w:val="30"/>
        </w:rPr>
        <w:t>通信接口</w:t>
      </w:r>
      <w:bookmarkEnd w:id="27"/>
    </w:p>
    <w:p>
      <w:pPr>
        <w:spacing w:beforeLines="50" w:afterLines="50" w:line="480" w:lineRule="exact"/>
        <w:ind w:firstLine="480" w:firstLineChars="200"/>
        <w:rPr>
          <w:rFonts w:ascii="Times New Roman" w:cs="Times New Roman"/>
          <w:sz w:val="24"/>
        </w:rPr>
      </w:pPr>
      <w:r>
        <w:rPr>
          <w:rFonts w:hint="eastAsia" w:ascii="Times New Roman" w:cs="Times New Roman"/>
          <w:sz w:val="24"/>
        </w:rPr>
        <w:t>标准SOAP协议及WebService接口规范</w:t>
      </w:r>
    </w:p>
    <w:p>
      <w:pPr>
        <w:pStyle w:val="3"/>
        <w:numPr>
          <w:ilvl w:val="0"/>
          <w:numId w:val="8"/>
        </w:numPr>
        <w:rPr>
          <w:rFonts w:ascii="黑体" w:hAnsi="黑体" w:eastAsia="黑体"/>
          <w:b w:val="0"/>
        </w:rPr>
      </w:pPr>
      <w:bookmarkStart w:id="28" w:name="_Toc11039"/>
      <w:r>
        <w:rPr>
          <w:rFonts w:hint="eastAsia" w:ascii="黑体" w:hAnsi="黑体" w:eastAsia="黑体"/>
          <w:b w:val="0"/>
        </w:rPr>
        <w:t>软件属性</w:t>
      </w:r>
      <w:bookmarkEnd w:id="28"/>
    </w:p>
    <w:p>
      <w:pPr>
        <w:pStyle w:val="5"/>
        <w:numPr>
          <w:ilvl w:val="0"/>
          <w:numId w:val="12"/>
        </w:numPr>
        <w:rPr>
          <w:rFonts w:ascii="黑体" w:hAnsi="黑体" w:eastAsia="黑体"/>
          <w:b w:val="0"/>
          <w:sz w:val="30"/>
          <w:szCs w:val="30"/>
        </w:rPr>
      </w:pPr>
      <w:bookmarkStart w:id="29" w:name="_Toc12766"/>
      <w:r>
        <w:rPr>
          <w:rFonts w:hint="eastAsia" w:ascii="黑体" w:hAnsi="黑体" w:eastAsia="黑体"/>
          <w:b w:val="0"/>
          <w:sz w:val="30"/>
          <w:szCs w:val="30"/>
        </w:rPr>
        <w:t>可用性</w:t>
      </w:r>
      <w:bookmarkEnd w:id="29"/>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遵循现有审批系统可用性要求</w:t>
      </w:r>
      <w:r>
        <w:rPr>
          <w:rFonts w:hint="eastAsia" w:ascii="Times New Roman" w:cs="Times New Roman"/>
          <w:sz w:val="24"/>
        </w:rPr>
        <w:t>。</w:t>
      </w:r>
    </w:p>
    <w:p>
      <w:pPr>
        <w:pStyle w:val="5"/>
        <w:numPr>
          <w:ilvl w:val="0"/>
          <w:numId w:val="12"/>
        </w:numPr>
        <w:rPr>
          <w:rFonts w:ascii="黑体" w:hAnsi="黑体" w:eastAsia="黑体"/>
          <w:b w:val="0"/>
          <w:sz w:val="30"/>
          <w:szCs w:val="30"/>
        </w:rPr>
      </w:pPr>
      <w:bookmarkStart w:id="30" w:name="_Toc13691"/>
      <w:r>
        <w:rPr>
          <w:rFonts w:hint="eastAsia" w:ascii="黑体" w:hAnsi="黑体" w:eastAsia="黑体"/>
          <w:b w:val="0"/>
          <w:sz w:val="30"/>
          <w:szCs w:val="30"/>
        </w:rPr>
        <w:t>安全性</w:t>
      </w:r>
      <w:bookmarkEnd w:id="30"/>
    </w:p>
    <w:p>
      <w:pPr>
        <w:spacing w:beforeLines="50" w:afterLines="50" w:line="480" w:lineRule="exact"/>
        <w:ind w:firstLine="480" w:firstLineChars="200"/>
        <w:rPr>
          <w:rFonts w:ascii="Times New Roman" w:cs="Times New Roman"/>
          <w:sz w:val="24"/>
        </w:rPr>
      </w:pPr>
      <w:r>
        <w:rPr>
          <w:rFonts w:hint="eastAsia" w:ascii="Times New Roman" w:cs="Times New Roman"/>
          <w:sz w:val="24"/>
          <w:lang w:eastAsia="zh-CN"/>
        </w:rPr>
        <w:t>遵循现有审批系统安全性要求</w:t>
      </w:r>
      <w:r>
        <w:rPr>
          <w:rFonts w:hint="eastAsia" w:ascii="Times New Roman" w:cs="Times New Roman"/>
          <w:sz w:val="24"/>
        </w:rPr>
        <w:t>。</w:t>
      </w:r>
    </w:p>
    <w:p>
      <w:pPr>
        <w:pStyle w:val="5"/>
        <w:numPr>
          <w:ilvl w:val="0"/>
          <w:numId w:val="12"/>
        </w:numPr>
        <w:rPr>
          <w:rFonts w:ascii="黑体" w:hAnsi="黑体" w:eastAsia="黑体"/>
          <w:b w:val="0"/>
          <w:sz w:val="30"/>
          <w:szCs w:val="30"/>
        </w:rPr>
      </w:pPr>
      <w:bookmarkStart w:id="31" w:name="_Toc13891"/>
      <w:r>
        <w:rPr>
          <w:rFonts w:hint="eastAsia" w:ascii="黑体" w:hAnsi="黑体" w:eastAsia="黑体"/>
          <w:b w:val="0"/>
          <w:sz w:val="30"/>
          <w:szCs w:val="30"/>
        </w:rPr>
        <w:t>可维护性</w:t>
      </w:r>
      <w:bookmarkEnd w:id="31"/>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项目使用SVN进行版本管理，支持多人协作开发，支持分支并行开发。</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项目开发库与测试库独立，不相互干预，保障功能测试的准确性。</w:t>
      </w:r>
    </w:p>
    <w:p>
      <w:pPr>
        <w:spacing w:beforeLines="50" w:afterLines="50" w:line="480" w:lineRule="exact"/>
        <w:ind w:firstLine="480" w:firstLineChars="200"/>
        <w:rPr>
          <w:rFonts w:ascii="Times New Roman" w:cs="Times New Roman"/>
          <w:sz w:val="24"/>
        </w:rPr>
      </w:pPr>
      <w:r>
        <w:rPr>
          <w:rFonts w:hint="eastAsia" w:ascii="Times New Roman" w:cs="Times New Roman"/>
          <w:sz w:val="24"/>
        </w:rPr>
        <w:t>项目基线版本独立，便于版本回退。</w:t>
      </w:r>
    </w:p>
    <w:p>
      <w:pPr>
        <w:pStyle w:val="2"/>
        <w:numPr>
          <w:ilvl w:val="0"/>
          <w:numId w:val="2"/>
        </w:numPr>
        <w:tabs>
          <w:tab w:val="clear" w:pos="312"/>
        </w:tabs>
        <w:snapToGrid w:val="0"/>
        <w:spacing w:beforeLines="100" w:afterLines="100" w:line="1000" w:lineRule="exact"/>
        <w:ind w:left="720" w:hanging="720"/>
        <w:rPr>
          <w:rFonts w:ascii="黑体" w:hAnsi="黑体" w:eastAsia="黑体" w:cs="黑体"/>
          <w:b w:val="0"/>
          <w:sz w:val="36"/>
          <w:szCs w:val="36"/>
        </w:rPr>
      </w:pPr>
      <w:bookmarkStart w:id="32" w:name="_Toc22401"/>
      <w:r>
        <w:rPr>
          <w:rFonts w:hint="eastAsia" w:ascii="黑体" w:hAnsi="黑体" w:eastAsia="黑体" w:cs="黑体"/>
          <w:b w:val="0"/>
          <w:sz w:val="36"/>
          <w:szCs w:val="36"/>
        </w:rPr>
        <w:t>验收标准</w:t>
      </w:r>
      <w:bookmarkEnd w:id="32"/>
    </w:p>
    <w:p>
      <w:pPr>
        <w:pStyle w:val="3"/>
        <w:numPr>
          <w:ilvl w:val="0"/>
          <w:numId w:val="13"/>
        </w:numPr>
        <w:rPr>
          <w:rFonts w:hint="eastAsia" w:ascii="黑体" w:hAnsi="黑体" w:eastAsia="黑体"/>
          <w:b w:val="0"/>
        </w:rPr>
      </w:pPr>
      <w:bookmarkStart w:id="33" w:name="_Toc30140"/>
      <w:r>
        <w:rPr>
          <w:rFonts w:hint="eastAsia" w:ascii="黑体" w:hAnsi="黑体" w:eastAsia="黑体"/>
          <w:b w:val="0"/>
        </w:rPr>
        <w:t>文档验收标准</w:t>
      </w:r>
      <w:bookmarkEnd w:id="33"/>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项目交付文档验收标准如下：</w:t>
      </w:r>
    </w:p>
    <w:p>
      <w:pPr>
        <w:pStyle w:val="18"/>
        <w:numPr>
          <w:ilvl w:val="0"/>
          <w:numId w:val="14"/>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项目交付文档按照客户项目验收标准进行编制</w:t>
      </w:r>
    </w:p>
    <w:p>
      <w:pPr>
        <w:pStyle w:val="18"/>
        <w:numPr>
          <w:ilvl w:val="0"/>
          <w:numId w:val="14"/>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项目交付文档做到功能说明不遗漏、不缺失。</w:t>
      </w:r>
    </w:p>
    <w:p>
      <w:pPr>
        <w:pStyle w:val="18"/>
        <w:numPr>
          <w:ilvl w:val="0"/>
          <w:numId w:val="14"/>
        </w:numPr>
        <w:spacing w:beforeLines="50" w:afterLines="50" w:line="480" w:lineRule="exact"/>
        <w:ind w:firstLineChars="0"/>
        <w:rPr>
          <w:rFonts w:hint="eastAsia" w:ascii="Times New Roman" w:cs="Times New Roman"/>
          <w:sz w:val="24"/>
        </w:rPr>
      </w:pPr>
      <w:r>
        <w:rPr>
          <w:rFonts w:hint="eastAsia" w:ascii="Times New Roman" w:cs="Times New Roman"/>
          <w:sz w:val="24"/>
        </w:rPr>
        <w:t>项目交付文档编制格式统一，整体风格一致。</w:t>
      </w:r>
    </w:p>
    <w:p>
      <w:pPr>
        <w:pStyle w:val="18"/>
        <w:numPr>
          <w:ilvl w:val="0"/>
          <w:numId w:val="14"/>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客户提供文档模板的，按照客户模板进行文档编写。客户未提供文档模板的，按照项目团队内部文档模板编写。</w:t>
      </w:r>
    </w:p>
    <w:p>
      <w:pPr>
        <w:pStyle w:val="3"/>
        <w:numPr>
          <w:ilvl w:val="0"/>
          <w:numId w:val="13"/>
        </w:numPr>
        <w:rPr>
          <w:rFonts w:hint="eastAsia" w:ascii="黑体" w:hAnsi="黑体" w:eastAsia="黑体"/>
          <w:b w:val="0"/>
        </w:rPr>
      </w:pPr>
      <w:bookmarkStart w:id="34" w:name="_Toc3865"/>
      <w:r>
        <w:rPr>
          <w:rFonts w:hint="eastAsia" w:ascii="黑体" w:hAnsi="黑体" w:eastAsia="黑体"/>
          <w:b w:val="0"/>
        </w:rPr>
        <w:t>软件验收标准</w:t>
      </w:r>
      <w:bookmarkEnd w:id="34"/>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w:t>
      </w:r>
      <w:r>
        <w:rPr>
          <w:rFonts w:hint="eastAsia" w:ascii="Times New Roman" w:cs="Times New Roman"/>
          <w:sz w:val="24"/>
        </w:rPr>
        <w:t>软件验收标准如下：</w:t>
      </w:r>
    </w:p>
    <w:p>
      <w:pPr>
        <w:pStyle w:val="18"/>
        <w:numPr>
          <w:ilvl w:val="0"/>
          <w:numId w:val="15"/>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项目工程代码无任何后门、漏洞程序，因项目需要所使用的第三方构件除外。</w:t>
      </w:r>
    </w:p>
    <w:p>
      <w:pPr>
        <w:pStyle w:val="18"/>
        <w:numPr>
          <w:ilvl w:val="0"/>
          <w:numId w:val="15"/>
        </w:numPr>
        <w:spacing w:beforeLines="50" w:afterLines="50" w:line="480" w:lineRule="exact"/>
        <w:ind w:left="482" w:firstLine="0" w:firstLineChars="0"/>
        <w:rPr>
          <w:rFonts w:hint="eastAsia" w:ascii="Times New Roman" w:cs="Times New Roman"/>
          <w:sz w:val="24"/>
        </w:rPr>
      </w:pPr>
      <w:r>
        <w:rPr>
          <w:rFonts w:hint="eastAsia" w:ascii="Times New Roman" w:cs="Times New Roman"/>
          <w:sz w:val="24"/>
        </w:rPr>
        <w:t>项目工程由厂商项目团队内部验收通过后方可交付客户方验收。</w:t>
      </w:r>
    </w:p>
    <w:p>
      <w:pPr>
        <w:pStyle w:val="18"/>
        <w:numPr>
          <w:ilvl w:val="0"/>
          <w:numId w:val="15"/>
        </w:numPr>
        <w:spacing w:beforeLines="50" w:afterLines="50" w:line="480" w:lineRule="exact"/>
        <w:ind w:left="482" w:firstLine="0" w:firstLineChars="0"/>
        <w:rPr>
          <w:rFonts w:ascii="Times New Roman" w:cs="Times New Roman"/>
          <w:sz w:val="24"/>
        </w:rPr>
      </w:pPr>
      <w:r>
        <w:rPr>
          <w:rFonts w:hint="eastAsia" w:ascii="Times New Roman" w:cs="Times New Roman"/>
          <w:sz w:val="24"/>
        </w:rPr>
        <w:t>客户对交付产品验收通过后，产品相关源代码全部移交客户方。</w:t>
      </w:r>
    </w:p>
    <w:p>
      <w:pPr>
        <w:pStyle w:val="3"/>
        <w:numPr>
          <w:ilvl w:val="0"/>
          <w:numId w:val="13"/>
        </w:numPr>
        <w:rPr>
          <w:rFonts w:hint="eastAsia" w:ascii="黑体" w:hAnsi="黑体" w:eastAsia="黑体"/>
          <w:b w:val="0"/>
        </w:rPr>
      </w:pPr>
      <w:bookmarkStart w:id="35" w:name="_Toc14597"/>
      <w:r>
        <w:rPr>
          <w:rFonts w:hint="eastAsia" w:ascii="黑体" w:hAnsi="黑体" w:eastAsia="黑体"/>
          <w:b w:val="0"/>
        </w:rPr>
        <w:t>界面验收标准</w:t>
      </w:r>
      <w:bookmarkEnd w:id="35"/>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审批系统</w:t>
      </w:r>
      <w:r>
        <w:rPr>
          <w:rFonts w:hint="eastAsia" w:ascii="Times New Roman" w:cs="Times New Roman"/>
          <w:sz w:val="24"/>
        </w:rPr>
        <w:t>界面开发实施标准如下：</w:t>
      </w:r>
    </w:p>
    <w:p>
      <w:pPr>
        <w:pStyle w:val="18"/>
        <w:numPr>
          <w:ilvl w:val="0"/>
          <w:numId w:val="16"/>
        </w:numPr>
        <w:spacing w:beforeLines="50" w:afterLines="50" w:line="480" w:lineRule="exact"/>
        <w:ind w:firstLineChars="0"/>
        <w:rPr>
          <w:rFonts w:hint="eastAsia" w:ascii="Times New Roman" w:cs="Times New Roman"/>
          <w:sz w:val="24"/>
        </w:rPr>
      </w:pPr>
      <w:r>
        <w:rPr>
          <w:rFonts w:hint="eastAsia" w:ascii="Times New Roman" w:cs="Times New Roman"/>
          <w:sz w:val="24"/>
        </w:rPr>
        <w:t>界面简洁美观，操作简单。</w:t>
      </w:r>
    </w:p>
    <w:p>
      <w:pPr>
        <w:pStyle w:val="18"/>
        <w:numPr>
          <w:ilvl w:val="0"/>
          <w:numId w:val="16"/>
        </w:numPr>
        <w:spacing w:beforeLines="50" w:afterLines="50" w:line="480" w:lineRule="exact"/>
        <w:ind w:firstLineChars="0"/>
        <w:rPr>
          <w:rFonts w:hint="eastAsia" w:ascii="Times New Roman" w:cs="Times New Roman"/>
          <w:sz w:val="24"/>
        </w:rPr>
      </w:pPr>
      <w:r>
        <w:rPr>
          <w:rFonts w:hint="eastAsia" w:ascii="Times New Roman" w:cs="Times New Roman"/>
          <w:sz w:val="24"/>
        </w:rPr>
        <w:t>系统稳定，无重大BUG。</w:t>
      </w:r>
    </w:p>
    <w:p>
      <w:pPr>
        <w:pStyle w:val="18"/>
        <w:numPr>
          <w:ilvl w:val="0"/>
          <w:numId w:val="16"/>
        </w:numPr>
        <w:spacing w:beforeLines="50" w:afterLines="50" w:line="480" w:lineRule="exact"/>
        <w:ind w:firstLineChars="0"/>
        <w:rPr>
          <w:rFonts w:ascii="Times New Roman" w:cs="Times New Roman"/>
          <w:sz w:val="24"/>
        </w:rPr>
      </w:pPr>
      <w:r>
        <w:rPr>
          <w:rFonts w:hint="eastAsia" w:ascii="Times New Roman" w:cs="Times New Roman"/>
          <w:sz w:val="24"/>
        </w:rPr>
        <w:t>功能操作有相关提醒。</w:t>
      </w:r>
    </w:p>
    <w:p>
      <w:pPr>
        <w:pStyle w:val="3"/>
        <w:numPr>
          <w:ilvl w:val="0"/>
          <w:numId w:val="13"/>
        </w:numPr>
        <w:rPr>
          <w:rFonts w:ascii="黑体" w:hAnsi="黑体" w:eastAsia="黑体"/>
          <w:b w:val="0"/>
        </w:rPr>
      </w:pPr>
      <w:bookmarkStart w:id="36" w:name="_Toc8869"/>
      <w:r>
        <w:rPr>
          <w:rFonts w:hint="eastAsia" w:ascii="黑体" w:hAnsi="黑体" w:eastAsia="黑体"/>
          <w:b w:val="0"/>
        </w:rPr>
        <w:t>功能验收标准</w:t>
      </w:r>
      <w:bookmarkEnd w:id="36"/>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lang w:eastAsia="zh-CN"/>
        </w:rPr>
        <w:t>审批</w:t>
      </w:r>
      <w:r>
        <w:rPr>
          <w:rFonts w:hint="eastAsia" w:ascii="Times New Roman" w:cs="Times New Roman"/>
          <w:sz w:val="24"/>
        </w:rPr>
        <w:t>系统严格遵照华夏信用卡中心</w:t>
      </w:r>
      <w:r>
        <w:rPr>
          <w:rFonts w:hint="eastAsia" w:ascii="Times New Roman" w:hAnsi="Times New Roman" w:cs="Times New Roman"/>
          <w:sz w:val="24"/>
        </w:rPr>
        <w:t>风险管理部提出的</w:t>
      </w:r>
      <w:r>
        <w:rPr>
          <w:rFonts w:hint="eastAsia" w:ascii="Times New Roman" w:cs="Times New Roman"/>
          <w:sz w:val="24"/>
        </w:rPr>
        <w:t>《</w:t>
      </w:r>
      <w:r>
        <w:rPr>
          <w:rFonts w:hint="eastAsia" w:ascii="Times New Roman" w:cs="Times New Roman"/>
          <w:sz w:val="24"/>
          <w:lang w:val="en-US" w:eastAsia="zh-CN"/>
        </w:rPr>
        <w:t>新增互联网多头借贷信息采购项目V1.2.doc</w:t>
      </w:r>
      <w:r>
        <w:rPr>
          <w:rFonts w:hint="eastAsia" w:ascii="Times New Roman" w:cs="Times New Roman"/>
          <w:sz w:val="24"/>
        </w:rPr>
        <w:t>》文档规格标准要求，进行项目开发实施。</w:t>
      </w:r>
    </w:p>
    <w:p>
      <w:pPr>
        <w:spacing w:beforeLines="50" w:afterLines="50" w:line="480" w:lineRule="exact"/>
        <w:ind w:firstLine="480" w:firstLineChars="200"/>
        <w:rPr>
          <w:rFonts w:hint="eastAsia" w:ascii="Times New Roman" w:cs="Times New Roman"/>
          <w:sz w:val="24"/>
        </w:rPr>
      </w:pPr>
      <w:r>
        <w:rPr>
          <w:rFonts w:hint="eastAsia" w:ascii="Times New Roman" w:cs="Times New Roman"/>
          <w:sz w:val="24"/>
        </w:rPr>
        <w:t>项目合作厂商（上海中软华腾软件系统有限公司）开发团队进行内部验证通过后交付客户方进行验证测试。客户方针对第三方查询模块系统功能验证标准如下：</w:t>
      </w:r>
    </w:p>
    <w:p>
      <w:pPr>
        <w:pStyle w:val="18"/>
        <w:numPr>
          <w:ilvl w:val="0"/>
          <w:numId w:val="17"/>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系统功能涵盖项目需求书中提出的功能点</w:t>
      </w:r>
    </w:p>
    <w:p>
      <w:pPr>
        <w:pStyle w:val="18"/>
        <w:numPr>
          <w:ilvl w:val="0"/>
          <w:numId w:val="17"/>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系统功能满足项目需求书的功能要求，无功能项缺失。</w:t>
      </w:r>
    </w:p>
    <w:p>
      <w:pPr>
        <w:pStyle w:val="18"/>
        <w:numPr>
          <w:ilvl w:val="0"/>
          <w:numId w:val="17"/>
        </w:numPr>
        <w:spacing w:beforeLines="50" w:afterLines="50" w:line="480" w:lineRule="exact"/>
        <w:ind w:firstLineChars="0"/>
        <w:rPr>
          <w:rFonts w:hint="eastAsia" w:ascii="Times New Roman" w:cs="Times New Roman"/>
          <w:sz w:val="24"/>
        </w:rPr>
      </w:pPr>
      <w:r>
        <w:rPr>
          <w:rFonts w:hint="eastAsia" w:ascii="Times New Roman" w:cs="Times New Roman"/>
          <w:sz w:val="24"/>
        </w:rPr>
        <w:t>系统功能无重大缺陷，满足正常业务流程操作。</w:t>
      </w:r>
    </w:p>
    <w:p>
      <w:pPr>
        <w:pStyle w:val="18"/>
        <w:numPr>
          <w:ilvl w:val="0"/>
          <w:numId w:val="17"/>
        </w:numPr>
        <w:spacing w:beforeLines="50" w:afterLines="50" w:line="480" w:lineRule="exact"/>
        <w:ind w:firstLineChars="0"/>
        <w:rPr>
          <w:rFonts w:hint="eastAsia" w:ascii="Times New Roman" w:cs="Times New Roman"/>
          <w:sz w:val="24"/>
        </w:rPr>
      </w:pPr>
      <w:r>
        <w:rPr>
          <w:rFonts w:hint="eastAsia" w:ascii="Times New Roman" w:cs="Times New Roman"/>
          <w:sz w:val="24"/>
        </w:rPr>
        <w:t>系统性能满足业务日常使用要求</w:t>
      </w:r>
    </w:p>
    <w:p>
      <w:pPr>
        <w:pStyle w:val="18"/>
        <w:numPr>
          <w:ilvl w:val="0"/>
          <w:numId w:val="17"/>
        </w:numPr>
        <w:spacing w:beforeLines="50" w:afterLines="50" w:line="480" w:lineRule="exact"/>
        <w:ind w:firstLineChars="0"/>
        <w:rPr>
          <w:rFonts w:ascii="Times New Roman" w:cs="Times New Roman"/>
          <w:sz w:val="24"/>
        </w:rPr>
      </w:pPr>
      <w:r>
        <w:rPr>
          <w:rFonts w:hint="eastAsia" w:ascii="Times New Roman" w:cs="Times New Roman"/>
          <w:sz w:val="24"/>
        </w:rPr>
        <w:t>系统运行兼容目前主流浏览器标准</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微软简仿宋">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B4BDC9"/>
    <w:multiLevelType w:val="singleLevel"/>
    <w:tmpl w:val="B5B4BDC9"/>
    <w:lvl w:ilvl="0" w:tentative="0">
      <w:start w:val="1"/>
      <w:numFmt w:val="bullet"/>
      <w:lvlText w:val=""/>
      <w:lvlJc w:val="left"/>
      <w:pPr>
        <w:ind w:left="420" w:hanging="420"/>
      </w:pPr>
      <w:rPr>
        <w:rFonts w:hint="default" w:ascii="Wingdings" w:hAnsi="Wingdings"/>
      </w:rPr>
    </w:lvl>
  </w:abstractNum>
  <w:abstractNum w:abstractNumId="1">
    <w:nsid w:val="BA631AB2"/>
    <w:multiLevelType w:val="singleLevel"/>
    <w:tmpl w:val="BA631AB2"/>
    <w:lvl w:ilvl="0" w:tentative="0">
      <w:start w:val="1"/>
      <w:numFmt w:val="decimal"/>
      <w:suff w:val="nothing"/>
      <w:lvlText w:val="%1、"/>
      <w:lvlJc w:val="left"/>
    </w:lvl>
  </w:abstractNum>
  <w:abstractNum w:abstractNumId="2">
    <w:nsid w:val="BD5DB1C1"/>
    <w:multiLevelType w:val="multilevel"/>
    <w:tmpl w:val="BD5DB1C1"/>
    <w:lvl w:ilvl="0" w:tentative="0">
      <w:start w:val="1"/>
      <w:numFmt w:val="decimal"/>
      <w:lvlText w:val="%1."/>
      <w:lvlJc w:val="left"/>
      <w:pPr>
        <w:tabs>
          <w:tab w:val="left" w:pos="312"/>
        </w:tabs>
        <w:ind w:left="0" w:firstLine="0"/>
      </w:pPr>
      <w:rPr>
        <w:rFonts w:hint="eastAsia"/>
      </w:rPr>
    </w:lvl>
    <w:lvl w:ilvl="1" w:tentative="0">
      <w:start w:val="1"/>
      <w:numFmt w:val="decimal"/>
      <w:lvlText w:val="%1.%2."/>
      <w:lvlJc w:val="left"/>
      <w:pPr>
        <w:tabs>
          <w:tab w:val="left" w:pos="312"/>
        </w:tabs>
        <w:ind w:left="0" w:firstLine="0"/>
      </w:pPr>
      <w:rPr>
        <w:rFonts w:hint="default"/>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3">
    <w:nsid w:val="F011ACA1"/>
    <w:multiLevelType w:val="multilevel"/>
    <w:tmpl w:val="F011ACA1"/>
    <w:lvl w:ilvl="0" w:tentative="0">
      <w:start w:val="1"/>
      <w:numFmt w:val="decimal"/>
      <w:lvlText w:val="3.3.%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18936537"/>
    <w:multiLevelType w:val="multilevel"/>
    <w:tmpl w:val="1893653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216A1867"/>
    <w:multiLevelType w:val="multilevel"/>
    <w:tmpl w:val="216A1867"/>
    <w:lvl w:ilvl="0" w:tentative="0">
      <w:start w:val="1"/>
      <w:numFmt w:val="decimal"/>
      <w:lvlText w:val="4.%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6">
    <w:nsid w:val="21E80470"/>
    <w:multiLevelType w:val="multilevel"/>
    <w:tmpl w:val="21E8047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34387B0A"/>
    <w:multiLevelType w:val="multilevel"/>
    <w:tmpl w:val="34387B0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3BAA2DED"/>
    <w:multiLevelType w:val="multilevel"/>
    <w:tmpl w:val="3BAA2DED"/>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pStyle w:val="6"/>
      <w:lvlText w:val="3.5.1.%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3BED3629"/>
    <w:multiLevelType w:val="multilevel"/>
    <w:tmpl w:val="3BED3629"/>
    <w:lvl w:ilvl="0" w:tentative="0">
      <w:start w:val="1"/>
      <w:numFmt w:val="bullet"/>
      <w:lvlText w:val=""/>
      <w:lvlJc w:val="left"/>
      <w:pPr>
        <w:ind w:left="840" w:hanging="360"/>
      </w:pPr>
      <w:rPr>
        <w:rFonts w:hint="default" w:ascii="Wingdings" w:hAnsi="Wingding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3FE02BEE"/>
    <w:multiLevelType w:val="multilevel"/>
    <w:tmpl w:val="3FE02BEE"/>
    <w:lvl w:ilvl="0" w:tentative="0">
      <w:start w:val="1"/>
      <w:numFmt w:val="decimal"/>
      <w:lvlText w:val="3.%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4B930183"/>
    <w:multiLevelType w:val="multilevel"/>
    <w:tmpl w:val="4B930183"/>
    <w:lvl w:ilvl="0" w:tentative="0">
      <w:start w:val="1"/>
      <w:numFmt w:val="decimal"/>
      <w:lvlText w:val="3.4.%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2">
    <w:nsid w:val="4DCA7654"/>
    <w:multiLevelType w:val="multilevel"/>
    <w:tmpl w:val="4DCA765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3">
    <w:nsid w:val="4EE688CC"/>
    <w:multiLevelType w:val="singleLevel"/>
    <w:tmpl w:val="4EE688CC"/>
    <w:lvl w:ilvl="0" w:tentative="0">
      <w:start w:val="1"/>
      <w:numFmt w:val="bullet"/>
      <w:lvlText w:val=""/>
      <w:lvlJc w:val="left"/>
      <w:pPr>
        <w:ind w:left="420" w:hanging="420"/>
      </w:pPr>
      <w:rPr>
        <w:rFonts w:hint="default" w:ascii="Wingdings" w:hAnsi="Wingdings"/>
      </w:rPr>
    </w:lvl>
  </w:abstractNum>
  <w:abstractNum w:abstractNumId="14">
    <w:nsid w:val="52095FA9"/>
    <w:multiLevelType w:val="multilevel"/>
    <w:tmpl w:val="52095FA9"/>
    <w:lvl w:ilvl="0" w:tentative="0">
      <w:start w:val="1"/>
      <w:numFmt w:val="decimal"/>
      <w:lvlText w:val="2.%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5">
    <w:nsid w:val="65C510E4"/>
    <w:multiLevelType w:val="multilevel"/>
    <w:tmpl w:val="65C510E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6">
    <w:nsid w:val="663E33A6"/>
    <w:multiLevelType w:val="multilevel"/>
    <w:tmpl w:val="663E33A6"/>
    <w:lvl w:ilvl="0" w:tentative="0">
      <w:start w:val="1"/>
      <w:numFmt w:val="decimal"/>
      <w:lvlText w:val="1.%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8"/>
  </w:num>
  <w:num w:numId="2">
    <w:abstractNumId w:val="2"/>
  </w:num>
  <w:num w:numId="3">
    <w:abstractNumId w:val="16"/>
  </w:num>
  <w:num w:numId="4">
    <w:abstractNumId w:val="1"/>
  </w:num>
  <w:num w:numId="5">
    <w:abstractNumId w:val="14"/>
  </w:num>
  <w:num w:numId="6">
    <w:abstractNumId w:val="13"/>
  </w:num>
  <w:num w:numId="7">
    <w:abstractNumId w:val="6"/>
  </w:num>
  <w:num w:numId="8">
    <w:abstractNumId w:val="10"/>
  </w:num>
  <w:num w:numId="9">
    <w:abstractNumId w:val="3"/>
  </w:num>
  <w:num w:numId="10">
    <w:abstractNumId w:val="0"/>
  </w:num>
  <w:num w:numId="11">
    <w:abstractNumId w:val="7"/>
  </w:num>
  <w:num w:numId="12">
    <w:abstractNumId w:val="11"/>
  </w:num>
  <w:num w:numId="13">
    <w:abstractNumId w:val="5"/>
  </w:num>
  <w:num w:numId="14">
    <w:abstractNumId w:val="4"/>
  </w:num>
  <w:num w:numId="15">
    <w:abstractNumId w:val="15"/>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F7D89"/>
    <w:rsid w:val="000412F8"/>
    <w:rsid w:val="000616CA"/>
    <w:rsid w:val="00061BE0"/>
    <w:rsid w:val="00065F51"/>
    <w:rsid w:val="0008065F"/>
    <w:rsid w:val="000B397D"/>
    <w:rsid w:val="000D48A6"/>
    <w:rsid w:val="000E2DC2"/>
    <w:rsid w:val="000E5456"/>
    <w:rsid w:val="00125620"/>
    <w:rsid w:val="00140863"/>
    <w:rsid w:val="001F7D89"/>
    <w:rsid w:val="00220402"/>
    <w:rsid w:val="00232A8D"/>
    <w:rsid w:val="002C4A0A"/>
    <w:rsid w:val="0030652D"/>
    <w:rsid w:val="003124FE"/>
    <w:rsid w:val="0038046B"/>
    <w:rsid w:val="00392442"/>
    <w:rsid w:val="003B1BB2"/>
    <w:rsid w:val="003B71D2"/>
    <w:rsid w:val="004027C0"/>
    <w:rsid w:val="00433BC1"/>
    <w:rsid w:val="00475B52"/>
    <w:rsid w:val="004C358D"/>
    <w:rsid w:val="005341F4"/>
    <w:rsid w:val="00544953"/>
    <w:rsid w:val="00561B20"/>
    <w:rsid w:val="00595852"/>
    <w:rsid w:val="005A1B7F"/>
    <w:rsid w:val="00634B76"/>
    <w:rsid w:val="00641173"/>
    <w:rsid w:val="00677A6B"/>
    <w:rsid w:val="006810BA"/>
    <w:rsid w:val="0069520F"/>
    <w:rsid w:val="006B5359"/>
    <w:rsid w:val="006D7574"/>
    <w:rsid w:val="006F5A3F"/>
    <w:rsid w:val="006F6C48"/>
    <w:rsid w:val="00736A6B"/>
    <w:rsid w:val="00743690"/>
    <w:rsid w:val="00754EC8"/>
    <w:rsid w:val="00791C3F"/>
    <w:rsid w:val="007A764A"/>
    <w:rsid w:val="007B3945"/>
    <w:rsid w:val="00852354"/>
    <w:rsid w:val="008744EF"/>
    <w:rsid w:val="008A7FA2"/>
    <w:rsid w:val="009276B0"/>
    <w:rsid w:val="00927A53"/>
    <w:rsid w:val="00932C3C"/>
    <w:rsid w:val="00950596"/>
    <w:rsid w:val="009650ED"/>
    <w:rsid w:val="00966EA6"/>
    <w:rsid w:val="00977C2E"/>
    <w:rsid w:val="0099469B"/>
    <w:rsid w:val="009A3B6A"/>
    <w:rsid w:val="009C705C"/>
    <w:rsid w:val="009C7823"/>
    <w:rsid w:val="00A031A0"/>
    <w:rsid w:val="00A32EC5"/>
    <w:rsid w:val="00A56277"/>
    <w:rsid w:val="00A73730"/>
    <w:rsid w:val="00AE7CF7"/>
    <w:rsid w:val="00B0595B"/>
    <w:rsid w:val="00B070BC"/>
    <w:rsid w:val="00B47FCF"/>
    <w:rsid w:val="00B6630B"/>
    <w:rsid w:val="00B932B5"/>
    <w:rsid w:val="00BA3DD0"/>
    <w:rsid w:val="00BB3144"/>
    <w:rsid w:val="00C04DFB"/>
    <w:rsid w:val="00C13C5B"/>
    <w:rsid w:val="00C24AD0"/>
    <w:rsid w:val="00C320C4"/>
    <w:rsid w:val="00C41889"/>
    <w:rsid w:val="00C644F0"/>
    <w:rsid w:val="00C8412F"/>
    <w:rsid w:val="00CD14A1"/>
    <w:rsid w:val="00D100FB"/>
    <w:rsid w:val="00D1571D"/>
    <w:rsid w:val="00D660E1"/>
    <w:rsid w:val="00D72DAC"/>
    <w:rsid w:val="00D96543"/>
    <w:rsid w:val="00DA2BFD"/>
    <w:rsid w:val="00DA51FA"/>
    <w:rsid w:val="00DE00A8"/>
    <w:rsid w:val="00DF19B7"/>
    <w:rsid w:val="00E5259E"/>
    <w:rsid w:val="00E61AB5"/>
    <w:rsid w:val="00E61D30"/>
    <w:rsid w:val="00E766A4"/>
    <w:rsid w:val="00E82B0E"/>
    <w:rsid w:val="00ED21A9"/>
    <w:rsid w:val="00EE6ACD"/>
    <w:rsid w:val="00EF1EBC"/>
    <w:rsid w:val="00F10B48"/>
    <w:rsid w:val="00F203E0"/>
    <w:rsid w:val="00F47468"/>
    <w:rsid w:val="00F64A94"/>
    <w:rsid w:val="00F6720E"/>
    <w:rsid w:val="00F91E49"/>
    <w:rsid w:val="00F96E17"/>
    <w:rsid w:val="00FB2A7B"/>
    <w:rsid w:val="00FB54ED"/>
    <w:rsid w:val="01061B1B"/>
    <w:rsid w:val="01210815"/>
    <w:rsid w:val="01273BC3"/>
    <w:rsid w:val="01E333CB"/>
    <w:rsid w:val="01E37E15"/>
    <w:rsid w:val="01E4700A"/>
    <w:rsid w:val="01F8284F"/>
    <w:rsid w:val="01F82BC4"/>
    <w:rsid w:val="01F83E78"/>
    <w:rsid w:val="020060DE"/>
    <w:rsid w:val="0209727D"/>
    <w:rsid w:val="02233586"/>
    <w:rsid w:val="022E6707"/>
    <w:rsid w:val="02650B1B"/>
    <w:rsid w:val="029C00E9"/>
    <w:rsid w:val="02CE5AFC"/>
    <w:rsid w:val="02D31F70"/>
    <w:rsid w:val="02DC38E2"/>
    <w:rsid w:val="02F430B2"/>
    <w:rsid w:val="03031F1F"/>
    <w:rsid w:val="030F10A9"/>
    <w:rsid w:val="03354538"/>
    <w:rsid w:val="03373A55"/>
    <w:rsid w:val="0340637E"/>
    <w:rsid w:val="035A4ED5"/>
    <w:rsid w:val="0376555A"/>
    <w:rsid w:val="04055591"/>
    <w:rsid w:val="041D15D2"/>
    <w:rsid w:val="042639FC"/>
    <w:rsid w:val="048564F2"/>
    <w:rsid w:val="04A44059"/>
    <w:rsid w:val="04B464A9"/>
    <w:rsid w:val="04D262C1"/>
    <w:rsid w:val="04DE6004"/>
    <w:rsid w:val="053C36FF"/>
    <w:rsid w:val="053E0498"/>
    <w:rsid w:val="056E6B8E"/>
    <w:rsid w:val="057D0C63"/>
    <w:rsid w:val="05835115"/>
    <w:rsid w:val="059578E8"/>
    <w:rsid w:val="05BA07CC"/>
    <w:rsid w:val="05C0270A"/>
    <w:rsid w:val="06043A6D"/>
    <w:rsid w:val="06112DB4"/>
    <w:rsid w:val="06232194"/>
    <w:rsid w:val="06240687"/>
    <w:rsid w:val="0625146A"/>
    <w:rsid w:val="06363C0A"/>
    <w:rsid w:val="063934CB"/>
    <w:rsid w:val="063E1759"/>
    <w:rsid w:val="064F0832"/>
    <w:rsid w:val="06604EB4"/>
    <w:rsid w:val="066A05E9"/>
    <w:rsid w:val="067C152F"/>
    <w:rsid w:val="06CB755D"/>
    <w:rsid w:val="06F1325F"/>
    <w:rsid w:val="072E07B9"/>
    <w:rsid w:val="07582564"/>
    <w:rsid w:val="0767454E"/>
    <w:rsid w:val="07706648"/>
    <w:rsid w:val="07AD037D"/>
    <w:rsid w:val="07C56096"/>
    <w:rsid w:val="07E02B1C"/>
    <w:rsid w:val="07F74C93"/>
    <w:rsid w:val="081237E4"/>
    <w:rsid w:val="0820007A"/>
    <w:rsid w:val="0820720B"/>
    <w:rsid w:val="082F5497"/>
    <w:rsid w:val="087F2EA8"/>
    <w:rsid w:val="088F4EBD"/>
    <w:rsid w:val="089539FE"/>
    <w:rsid w:val="08BA41D6"/>
    <w:rsid w:val="08CB76A5"/>
    <w:rsid w:val="08E06FC4"/>
    <w:rsid w:val="08E50AA1"/>
    <w:rsid w:val="08E86B16"/>
    <w:rsid w:val="08EA727C"/>
    <w:rsid w:val="0990568D"/>
    <w:rsid w:val="09D23701"/>
    <w:rsid w:val="09EF3D0C"/>
    <w:rsid w:val="09F740DE"/>
    <w:rsid w:val="0A067EB8"/>
    <w:rsid w:val="0A242106"/>
    <w:rsid w:val="0A345C6A"/>
    <w:rsid w:val="0A384D9A"/>
    <w:rsid w:val="0A731CDC"/>
    <w:rsid w:val="0A8E49E6"/>
    <w:rsid w:val="0AC65A71"/>
    <w:rsid w:val="0AEC783C"/>
    <w:rsid w:val="0AF10DD1"/>
    <w:rsid w:val="0B0003A4"/>
    <w:rsid w:val="0B082A09"/>
    <w:rsid w:val="0B33632E"/>
    <w:rsid w:val="0B4F3D50"/>
    <w:rsid w:val="0BBC76C3"/>
    <w:rsid w:val="0BD446E5"/>
    <w:rsid w:val="0BED423F"/>
    <w:rsid w:val="0BFE48E2"/>
    <w:rsid w:val="0C162072"/>
    <w:rsid w:val="0C3A6FA1"/>
    <w:rsid w:val="0C427888"/>
    <w:rsid w:val="0C57499A"/>
    <w:rsid w:val="0C9416A6"/>
    <w:rsid w:val="0CA01F29"/>
    <w:rsid w:val="0CCB6189"/>
    <w:rsid w:val="0CF41D67"/>
    <w:rsid w:val="0D5172DD"/>
    <w:rsid w:val="0D525C60"/>
    <w:rsid w:val="0DAF0D7C"/>
    <w:rsid w:val="0DDD4BC1"/>
    <w:rsid w:val="0DF24E27"/>
    <w:rsid w:val="0DF64151"/>
    <w:rsid w:val="0E157274"/>
    <w:rsid w:val="0E563C33"/>
    <w:rsid w:val="0E7411A9"/>
    <w:rsid w:val="0EB62996"/>
    <w:rsid w:val="0EE26B38"/>
    <w:rsid w:val="0F032A88"/>
    <w:rsid w:val="0F0355D7"/>
    <w:rsid w:val="0F1C02A4"/>
    <w:rsid w:val="0F454F39"/>
    <w:rsid w:val="0F4B0B05"/>
    <w:rsid w:val="0F903787"/>
    <w:rsid w:val="0FCE6974"/>
    <w:rsid w:val="0FD72EFB"/>
    <w:rsid w:val="0FEC60DC"/>
    <w:rsid w:val="10006340"/>
    <w:rsid w:val="1019610F"/>
    <w:rsid w:val="10467D9B"/>
    <w:rsid w:val="104E11D6"/>
    <w:rsid w:val="107B48EE"/>
    <w:rsid w:val="107D2B56"/>
    <w:rsid w:val="10A06C78"/>
    <w:rsid w:val="10AE6F12"/>
    <w:rsid w:val="10C41149"/>
    <w:rsid w:val="10D52EBA"/>
    <w:rsid w:val="10D56D1D"/>
    <w:rsid w:val="11156F31"/>
    <w:rsid w:val="11414292"/>
    <w:rsid w:val="11431E29"/>
    <w:rsid w:val="114C315B"/>
    <w:rsid w:val="11724823"/>
    <w:rsid w:val="11A178D0"/>
    <w:rsid w:val="11C07DA4"/>
    <w:rsid w:val="11C803D3"/>
    <w:rsid w:val="11D82052"/>
    <w:rsid w:val="11DD15A8"/>
    <w:rsid w:val="11EA513D"/>
    <w:rsid w:val="12106556"/>
    <w:rsid w:val="123728EE"/>
    <w:rsid w:val="12432578"/>
    <w:rsid w:val="12996598"/>
    <w:rsid w:val="12BC4502"/>
    <w:rsid w:val="12CD1ABB"/>
    <w:rsid w:val="12D34E87"/>
    <w:rsid w:val="130975B8"/>
    <w:rsid w:val="13412720"/>
    <w:rsid w:val="135917B6"/>
    <w:rsid w:val="138C05DF"/>
    <w:rsid w:val="13971D67"/>
    <w:rsid w:val="13AD6935"/>
    <w:rsid w:val="13DB142E"/>
    <w:rsid w:val="13FC30E9"/>
    <w:rsid w:val="141E4B6F"/>
    <w:rsid w:val="14492034"/>
    <w:rsid w:val="148734F9"/>
    <w:rsid w:val="14B269B5"/>
    <w:rsid w:val="14B7115E"/>
    <w:rsid w:val="14C05BB6"/>
    <w:rsid w:val="150961F8"/>
    <w:rsid w:val="150E397E"/>
    <w:rsid w:val="15381B53"/>
    <w:rsid w:val="15477252"/>
    <w:rsid w:val="159E521D"/>
    <w:rsid w:val="15AF1D5A"/>
    <w:rsid w:val="15BA43BA"/>
    <w:rsid w:val="160D13F0"/>
    <w:rsid w:val="163D60CD"/>
    <w:rsid w:val="164F7D57"/>
    <w:rsid w:val="165E058A"/>
    <w:rsid w:val="167B0EFE"/>
    <w:rsid w:val="168E36BA"/>
    <w:rsid w:val="16A23943"/>
    <w:rsid w:val="16BF64F1"/>
    <w:rsid w:val="16DA6326"/>
    <w:rsid w:val="16E5782F"/>
    <w:rsid w:val="17166582"/>
    <w:rsid w:val="178829DC"/>
    <w:rsid w:val="179D6665"/>
    <w:rsid w:val="17B754C1"/>
    <w:rsid w:val="17BC30C1"/>
    <w:rsid w:val="17D45BC8"/>
    <w:rsid w:val="180D0526"/>
    <w:rsid w:val="18107171"/>
    <w:rsid w:val="181426CA"/>
    <w:rsid w:val="1829145D"/>
    <w:rsid w:val="188666E6"/>
    <w:rsid w:val="188A7530"/>
    <w:rsid w:val="188C4BA1"/>
    <w:rsid w:val="18BD58FE"/>
    <w:rsid w:val="18DB1908"/>
    <w:rsid w:val="18FC477A"/>
    <w:rsid w:val="19347620"/>
    <w:rsid w:val="194263E6"/>
    <w:rsid w:val="19785761"/>
    <w:rsid w:val="197E6DDA"/>
    <w:rsid w:val="198C27C6"/>
    <w:rsid w:val="19A54691"/>
    <w:rsid w:val="19AF4748"/>
    <w:rsid w:val="19BC3DC1"/>
    <w:rsid w:val="19C83561"/>
    <w:rsid w:val="19E9473E"/>
    <w:rsid w:val="1A22675A"/>
    <w:rsid w:val="1A2E02FF"/>
    <w:rsid w:val="1A48382B"/>
    <w:rsid w:val="1AA468A5"/>
    <w:rsid w:val="1AD87BB1"/>
    <w:rsid w:val="1AE531D1"/>
    <w:rsid w:val="1B13009D"/>
    <w:rsid w:val="1B134F01"/>
    <w:rsid w:val="1B2C01F0"/>
    <w:rsid w:val="1B3558DD"/>
    <w:rsid w:val="1B3A5248"/>
    <w:rsid w:val="1B517FD3"/>
    <w:rsid w:val="1B6C5CF6"/>
    <w:rsid w:val="1B83562D"/>
    <w:rsid w:val="1B8F491C"/>
    <w:rsid w:val="1BC36C10"/>
    <w:rsid w:val="1C033E2C"/>
    <w:rsid w:val="1C107F53"/>
    <w:rsid w:val="1C1B35B4"/>
    <w:rsid w:val="1C326AD0"/>
    <w:rsid w:val="1C455632"/>
    <w:rsid w:val="1CA40E21"/>
    <w:rsid w:val="1CBE30C7"/>
    <w:rsid w:val="1CF53F16"/>
    <w:rsid w:val="1CFB62D9"/>
    <w:rsid w:val="1D1E39C3"/>
    <w:rsid w:val="1D2811F6"/>
    <w:rsid w:val="1D4277B0"/>
    <w:rsid w:val="1D503D38"/>
    <w:rsid w:val="1D6F49C9"/>
    <w:rsid w:val="1D8C41B2"/>
    <w:rsid w:val="1DBF10FC"/>
    <w:rsid w:val="1DE105FD"/>
    <w:rsid w:val="1E062E89"/>
    <w:rsid w:val="1E067842"/>
    <w:rsid w:val="1E526122"/>
    <w:rsid w:val="1E621899"/>
    <w:rsid w:val="1E864199"/>
    <w:rsid w:val="1EA063DB"/>
    <w:rsid w:val="1EA22A7E"/>
    <w:rsid w:val="1EE84B20"/>
    <w:rsid w:val="1F152B02"/>
    <w:rsid w:val="1F1C109B"/>
    <w:rsid w:val="1F2C05F5"/>
    <w:rsid w:val="1F410F5C"/>
    <w:rsid w:val="1F713926"/>
    <w:rsid w:val="1F852E70"/>
    <w:rsid w:val="1FA40C64"/>
    <w:rsid w:val="1FB418A4"/>
    <w:rsid w:val="1FDB61FB"/>
    <w:rsid w:val="2008681F"/>
    <w:rsid w:val="200A391D"/>
    <w:rsid w:val="200C31AE"/>
    <w:rsid w:val="20146FEE"/>
    <w:rsid w:val="2028116B"/>
    <w:rsid w:val="202E1537"/>
    <w:rsid w:val="20345F84"/>
    <w:rsid w:val="205139CD"/>
    <w:rsid w:val="20983CE6"/>
    <w:rsid w:val="20A9499E"/>
    <w:rsid w:val="20D46BC9"/>
    <w:rsid w:val="20F35ECB"/>
    <w:rsid w:val="20FB62CE"/>
    <w:rsid w:val="2126455E"/>
    <w:rsid w:val="21275239"/>
    <w:rsid w:val="21302E05"/>
    <w:rsid w:val="215477E7"/>
    <w:rsid w:val="2161553D"/>
    <w:rsid w:val="217A6725"/>
    <w:rsid w:val="217B35A6"/>
    <w:rsid w:val="219351C1"/>
    <w:rsid w:val="21BD3B4A"/>
    <w:rsid w:val="21F73F5B"/>
    <w:rsid w:val="220B4B63"/>
    <w:rsid w:val="2217593A"/>
    <w:rsid w:val="224F3EC8"/>
    <w:rsid w:val="227109CF"/>
    <w:rsid w:val="227D43AE"/>
    <w:rsid w:val="22A11193"/>
    <w:rsid w:val="22A230CE"/>
    <w:rsid w:val="22A74345"/>
    <w:rsid w:val="22BC3A1C"/>
    <w:rsid w:val="22CB5F69"/>
    <w:rsid w:val="22EA706B"/>
    <w:rsid w:val="22F85BE5"/>
    <w:rsid w:val="23343B5F"/>
    <w:rsid w:val="23732931"/>
    <w:rsid w:val="23835FA7"/>
    <w:rsid w:val="238424A1"/>
    <w:rsid w:val="239212B0"/>
    <w:rsid w:val="23936EBE"/>
    <w:rsid w:val="23A66978"/>
    <w:rsid w:val="23FA68CE"/>
    <w:rsid w:val="24314DC2"/>
    <w:rsid w:val="243477FA"/>
    <w:rsid w:val="243716C6"/>
    <w:rsid w:val="244F2431"/>
    <w:rsid w:val="248E27FF"/>
    <w:rsid w:val="24A05FDE"/>
    <w:rsid w:val="24AA4A1A"/>
    <w:rsid w:val="24EC2C09"/>
    <w:rsid w:val="25147DEF"/>
    <w:rsid w:val="251C56D0"/>
    <w:rsid w:val="25240080"/>
    <w:rsid w:val="252E1D81"/>
    <w:rsid w:val="257E5821"/>
    <w:rsid w:val="25891AE5"/>
    <w:rsid w:val="2592273D"/>
    <w:rsid w:val="25BA6D61"/>
    <w:rsid w:val="25BF3F0A"/>
    <w:rsid w:val="25D17F99"/>
    <w:rsid w:val="26385D3D"/>
    <w:rsid w:val="265D7B35"/>
    <w:rsid w:val="26654E17"/>
    <w:rsid w:val="266C7E87"/>
    <w:rsid w:val="26734DAB"/>
    <w:rsid w:val="26903D23"/>
    <w:rsid w:val="269F1B3C"/>
    <w:rsid w:val="26C551E2"/>
    <w:rsid w:val="272C2448"/>
    <w:rsid w:val="27303924"/>
    <w:rsid w:val="27326739"/>
    <w:rsid w:val="2735768C"/>
    <w:rsid w:val="273B7C89"/>
    <w:rsid w:val="27521916"/>
    <w:rsid w:val="27677723"/>
    <w:rsid w:val="277A186F"/>
    <w:rsid w:val="27967B53"/>
    <w:rsid w:val="28ED0FF1"/>
    <w:rsid w:val="2922439A"/>
    <w:rsid w:val="29293BDC"/>
    <w:rsid w:val="2938522E"/>
    <w:rsid w:val="295A6A58"/>
    <w:rsid w:val="296E016C"/>
    <w:rsid w:val="29777C03"/>
    <w:rsid w:val="2981253D"/>
    <w:rsid w:val="29D811EC"/>
    <w:rsid w:val="29E962BB"/>
    <w:rsid w:val="29FE3816"/>
    <w:rsid w:val="2A0B787E"/>
    <w:rsid w:val="2A1109A7"/>
    <w:rsid w:val="2A114AFE"/>
    <w:rsid w:val="2A4E19CA"/>
    <w:rsid w:val="2ABA1B69"/>
    <w:rsid w:val="2ABB4D34"/>
    <w:rsid w:val="2AE857AE"/>
    <w:rsid w:val="2AE90926"/>
    <w:rsid w:val="2B1564A9"/>
    <w:rsid w:val="2B4F0871"/>
    <w:rsid w:val="2B53604E"/>
    <w:rsid w:val="2B6C6D85"/>
    <w:rsid w:val="2B9320DF"/>
    <w:rsid w:val="2BA81BB3"/>
    <w:rsid w:val="2BB03405"/>
    <w:rsid w:val="2BB554D9"/>
    <w:rsid w:val="2BCC4E91"/>
    <w:rsid w:val="2C0E34E5"/>
    <w:rsid w:val="2C1F5516"/>
    <w:rsid w:val="2C304FD8"/>
    <w:rsid w:val="2C3C31DE"/>
    <w:rsid w:val="2C4F26C6"/>
    <w:rsid w:val="2C537586"/>
    <w:rsid w:val="2CB404C3"/>
    <w:rsid w:val="2CD23DC7"/>
    <w:rsid w:val="2CDB1718"/>
    <w:rsid w:val="2CE06EAC"/>
    <w:rsid w:val="2D58544F"/>
    <w:rsid w:val="2D6420CF"/>
    <w:rsid w:val="2D77737C"/>
    <w:rsid w:val="2D7B00D7"/>
    <w:rsid w:val="2DA119E6"/>
    <w:rsid w:val="2DAB0132"/>
    <w:rsid w:val="2DDF05C5"/>
    <w:rsid w:val="2DEF5A14"/>
    <w:rsid w:val="2E012B81"/>
    <w:rsid w:val="2E1565D6"/>
    <w:rsid w:val="2E166397"/>
    <w:rsid w:val="2E236B89"/>
    <w:rsid w:val="2E2C02D1"/>
    <w:rsid w:val="2E2F1B35"/>
    <w:rsid w:val="2E555017"/>
    <w:rsid w:val="2E6606D0"/>
    <w:rsid w:val="2E871C46"/>
    <w:rsid w:val="2E916447"/>
    <w:rsid w:val="2E9524AA"/>
    <w:rsid w:val="2EB5044D"/>
    <w:rsid w:val="2EC33EEF"/>
    <w:rsid w:val="2ECE330E"/>
    <w:rsid w:val="2F223BDB"/>
    <w:rsid w:val="2F26654D"/>
    <w:rsid w:val="2F303C06"/>
    <w:rsid w:val="2F4E530A"/>
    <w:rsid w:val="2F5E4419"/>
    <w:rsid w:val="2F605B84"/>
    <w:rsid w:val="2F7B6710"/>
    <w:rsid w:val="2F945D68"/>
    <w:rsid w:val="2FB57123"/>
    <w:rsid w:val="2FBF340B"/>
    <w:rsid w:val="300F1FB7"/>
    <w:rsid w:val="303342D0"/>
    <w:rsid w:val="303E6426"/>
    <w:rsid w:val="305A6E99"/>
    <w:rsid w:val="30794D19"/>
    <w:rsid w:val="307E6965"/>
    <w:rsid w:val="30833BE8"/>
    <w:rsid w:val="30CA52E2"/>
    <w:rsid w:val="30D12795"/>
    <w:rsid w:val="313D3ADC"/>
    <w:rsid w:val="3153124A"/>
    <w:rsid w:val="3168190E"/>
    <w:rsid w:val="317109D3"/>
    <w:rsid w:val="318C22D8"/>
    <w:rsid w:val="3223407C"/>
    <w:rsid w:val="32262C47"/>
    <w:rsid w:val="32345D8E"/>
    <w:rsid w:val="323922C9"/>
    <w:rsid w:val="323D5F81"/>
    <w:rsid w:val="32584B85"/>
    <w:rsid w:val="325A486F"/>
    <w:rsid w:val="326B5D53"/>
    <w:rsid w:val="32870177"/>
    <w:rsid w:val="32A74C5D"/>
    <w:rsid w:val="32B1314E"/>
    <w:rsid w:val="32B74E56"/>
    <w:rsid w:val="32E55F50"/>
    <w:rsid w:val="32ED63C3"/>
    <w:rsid w:val="331547F6"/>
    <w:rsid w:val="33162F38"/>
    <w:rsid w:val="33196E43"/>
    <w:rsid w:val="33292A88"/>
    <w:rsid w:val="332B67F5"/>
    <w:rsid w:val="335C2FFA"/>
    <w:rsid w:val="33AB62CC"/>
    <w:rsid w:val="33B2359C"/>
    <w:rsid w:val="33B42F39"/>
    <w:rsid w:val="33C03C8B"/>
    <w:rsid w:val="33CA00BA"/>
    <w:rsid w:val="33D31BF0"/>
    <w:rsid w:val="33EF0B49"/>
    <w:rsid w:val="33F467BD"/>
    <w:rsid w:val="343562DD"/>
    <w:rsid w:val="3452273B"/>
    <w:rsid w:val="34562018"/>
    <w:rsid w:val="34767FD8"/>
    <w:rsid w:val="347E2656"/>
    <w:rsid w:val="34DB5E8F"/>
    <w:rsid w:val="34EA54E1"/>
    <w:rsid w:val="3522148C"/>
    <w:rsid w:val="352C4753"/>
    <w:rsid w:val="352F3E48"/>
    <w:rsid w:val="356F4A7F"/>
    <w:rsid w:val="35BE7D70"/>
    <w:rsid w:val="35C1339A"/>
    <w:rsid w:val="35D807EA"/>
    <w:rsid w:val="35FD1D91"/>
    <w:rsid w:val="362D6FEF"/>
    <w:rsid w:val="36651E14"/>
    <w:rsid w:val="36823BA1"/>
    <w:rsid w:val="36B934E5"/>
    <w:rsid w:val="36BD30CB"/>
    <w:rsid w:val="36CB3F61"/>
    <w:rsid w:val="36D33374"/>
    <w:rsid w:val="36F5130E"/>
    <w:rsid w:val="370065F6"/>
    <w:rsid w:val="3720399A"/>
    <w:rsid w:val="37353CE8"/>
    <w:rsid w:val="373A73CB"/>
    <w:rsid w:val="374307CC"/>
    <w:rsid w:val="37607C55"/>
    <w:rsid w:val="376A61ED"/>
    <w:rsid w:val="376C5D35"/>
    <w:rsid w:val="37D5512D"/>
    <w:rsid w:val="380736C4"/>
    <w:rsid w:val="38AF5254"/>
    <w:rsid w:val="38E60076"/>
    <w:rsid w:val="39092B81"/>
    <w:rsid w:val="390C1B11"/>
    <w:rsid w:val="394D2F26"/>
    <w:rsid w:val="395D0045"/>
    <w:rsid w:val="39775B3F"/>
    <w:rsid w:val="39A623FB"/>
    <w:rsid w:val="39AE3E12"/>
    <w:rsid w:val="39EB0AF2"/>
    <w:rsid w:val="39EF56BE"/>
    <w:rsid w:val="39F95A0F"/>
    <w:rsid w:val="39FD0B1D"/>
    <w:rsid w:val="3A0C744E"/>
    <w:rsid w:val="3A165207"/>
    <w:rsid w:val="3A29734A"/>
    <w:rsid w:val="3A4A4E86"/>
    <w:rsid w:val="3A4E5603"/>
    <w:rsid w:val="3A7010B9"/>
    <w:rsid w:val="3A7810B8"/>
    <w:rsid w:val="3A7E781E"/>
    <w:rsid w:val="3AA34F36"/>
    <w:rsid w:val="3AB22B1F"/>
    <w:rsid w:val="3B427569"/>
    <w:rsid w:val="3B574CBE"/>
    <w:rsid w:val="3B663E02"/>
    <w:rsid w:val="3B6C50DB"/>
    <w:rsid w:val="3B6D1ECF"/>
    <w:rsid w:val="3B7E3341"/>
    <w:rsid w:val="3B941BC2"/>
    <w:rsid w:val="3B9949B8"/>
    <w:rsid w:val="3B9A099A"/>
    <w:rsid w:val="3B9D2217"/>
    <w:rsid w:val="3BC77227"/>
    <w:rsid w:val="3BCC6E9B"/>
    <w:rsid w:val="3BFC2317"/>
    <w:rsid w:val="3C132434"/>
    <w:rsid w:val="3C1A507C"/>
    <w:rsid w:val="3C940DF0"/>
    <w:rsid w:val="3C9845DA"/>
    <w:rsid w:val="3D4B2136"/>
    <w:rsid w:val="3DA71A77"/>
    <w:rsid w:val="3DB65A5A"/>
    <w:rsid w:val="3DB90BB3"/>
    <w:rsid w:val="3DD175FA"/>
    <w:rsid w:val="3E283BC9"/>
    <w:rsid w:val="3E5E18D7"/>
    <w:rsid w:val="3E5F5548"/>
    <w:rsid w:val="3E66375F"/>
    <w:rsid w:val="3E691335"/>
    <w:rsid w:val="3E710CA1"/>
    <w:rsid w:val="3E7B2C5A"/>
    <w:rsid w:val="3EEB7808"/>
    <w:rsid w:val="3EF01541"/>
    <w:rsid w:val="3EF37D17"/>
    <w:rsid w:val="3F012498"/>
    <w:rsid w:val="3F2B6466"/>
    <w:rsid w:val="3F463666"/>
    <w:rsid w:val="3F5D13FB"/>
    <w:rsid w:val="3F6659FE"/>
    <w:rsid w:val="3F7B75BD"/>
    <w:rsid w:val="3F852FC5"/>
    <w:rsid w:val="3F9275DB"/>
    <w:rsid w:val="3F9E71C1"/>
    <w:rsid w:val="3FB3751C"/>
    <w:rsid w:val="3FB63610"/>
    <w:rsid w:val="3FCE1906"/>
    <w:rsid w:val="40217E14"/>
    <w:rsid w:val="40377251"/>
    <w:rsid w:val="404B15FD"/>
    <w:rsid w:val="406C77AF"/>
    <w:rsid w:val="408543BC"/>
    <w:rsid w:val="409B49E4"/>
    <w:rsid w:val="409E53B3"/>
    <w:rsid w:val="40B81B59"/>
    <w:rsid w:val="40BC2C01"/>
    <w:rsid w:val="40EB1EA5"/>
    <w:rsid w:val="41070E86"/>
    <w:rsid w:val="41256F55"/>
    <w:rsid w:val="41371136"/>
    <w:rsid w:val="416E23E0"/>
    <w:rsid w:val="41717714"/>
    <w:rsid w:val="41803F8F"/>
    <w:rsid w:val="41A41F5E"/>
    <w:rsid w:val="41A8385D"/>
    <w:rsid w:val="41C01E2D"/>
    <w:rsid w:val="41C664F5"/>
    <w:rsid w:val="41D34DCC"/>
    <w:rsid w:val="41D63050"/>
    <w:rsid w:val="420D64FB"/>
    <w:rsid w:val="421F2E78"/>
    <w:rsid w:val="422164C0"/>
    <w:rsid w:val="422B02FB"/>
    <w:rsid w:val="42404718"/>
    <w:rsid w:val="427460A5"/>
    <w:rsid w:val="428D1D2F"/>
    <w:rsid w:val="42A05110"/>
    <w:rsid w:val="42A454D0"/>
    <w:rsid w:val="42BE1E33"/>
    <w:rsid w:val="42C72F44"/>
    <w:rsid w:val="42CE6524"/>
    <w:rsid w:val="42EC0EF8"/>
    <w:rsid w:val="433334C5"/>
    <w:rsid w:val="435B44EB"/>
    <w:rsid w:val="43606837"/>
    <w:rsid w:val="437F64D1"/>
    <w:rsid w:val="43B76D61"/>
    <w:rsid w:val="43BF072D"/>
    <w:rsid w:val="43CF0DA5"/>
    <w:rsid w:val="43D013C2"/>
    <w:rsid w:val="440F43B6"/>
    <w:rsid w:val="441A1ABE"/>
    <w:rsid w:val="441B5035"/>
    <w:rsid w:val="44461919"/>
    <w:rsid w:val="446829D5"/>
    <w:rsid w:val="44761CFD"/>
    <w:rsid w:val="44876D58"/>
    <w:rsid w:val="44B46C34"/>
    <w:rsid w:val="44CD3337"/>
    <w:rsid w:val="44E03D0E"/>
    <w:rsid w:val="452F566F"/>
    <w:rsid w:val="459E3A7C"/>
    <w:rsid w:val="45A66D27"/>
    <w:rsid w:val="45FE52AD"/>
    <w:rsid w:val="460C023E"/>
    <w:rsid w:val="46465AE5"/>
    <w:rsid w:val="46715489"/>
    <w:rsid w:val="46945D71"/>
    <w:rsid w:val="46A045A2"/>
    <w:rsid w:val="46A07611"/>
    <w:rsid w:val="46AE7653"/>
    <w:rsid w:val="46DB5EEB"/>
    <w:rsid w:val="4720760D"/>
    <w:rsid w:val="47207CE2"/>
    <w:rsid w:val="47344212"/>
    <w:rsid w:val="474A46E2"/>
    <w:rsid w:val="475C141D"/>
    <w:rsid w:val="478D59C0"/>
    <w:rsid w:val="47A81026"/>
    <w:rsid w:val="48095568"/>
    <w:rsid w:val="48603492"/>
    <w:rsid w:val="487074A3"/>
    <w:rsid w:val="491930FB"/>
    <w:rsid w:val="49552DDF"/>
    <w:rsid w:val="49681E8C"/>
    <w:rsid w:val="499F1A74"/>
    <w:rsid w:val="49B81B09"/>
    <w:rsid w:val="4A7E77F6"/>
    <w:rsid w:val="4A813F7A"/>
    <w:rsid w:val="4A8B4E93"/>
    <w:rsid w:val="4A8B6540"/>
    <w:rsid w:val="4ABA5F4E"/>
    <w:rsid w:val="4B120637"/>
    <w:rsid w:val="4B1E629E"/>
    <w:rsid w:val="4B3F464E"/>
    <w:rsid w:val="4B7F342C"/>
    <w:rsid w:val="4BD708C5"/>
    <w:rsid w:val="4C887A92"/>
    <w:rsid w:val="4CA33EDE"/>
    <w:rsid w:val="4CA84C01"/>
    <w:rsid w:val="4CB11801"/>
    <w:rsid w:val="4CB2512B"/>
    <w:rsid w:val="4D0315A7"/>
    <w:rsid w:val="4D14336A"/>
    <w:rsid w:val="4D3E1EB6"/>
    <w:rsid w:val="4D92162E"/>
    <w:rsid w:val="4D9B553B"/>
    <w:rsid w:val="4DCF2CBD"/>
    <w:rsid w:val="4DD56151"/>
    <w:rsid w:val="4DEF5532"/>
    <w:rsid w:val="4DFB4198"/>
    <w:rsid w:val="4E06548C"/>
    <w:rsid w:val="4E142D40"/>
    <w:rsid w:val="4E240127"/>
    <w:rsid w:val="4E311D1F"/>
    <w:rsid w:val="4E4A2643"/>
    <w:rsid w:val="4E626CD6"/>
    <w:rsid w:val="4E724CF0"/>
    <w:rsid w:val="4ED476E5"/>
    <w:rsid w:val="4EE42E37"/>
    <w:rsid w:val="4F086116"/>
    <w:rsid w:val="4F1B0113"/>
    <w:rsid w:val="4F3110E2"/>
    <w:rsid w:val="4F411A72"/>
    <w:rsid w:val="4F4E2363"/>
    <w:rsid w:val="4F54256B"/>
    <w:rsid w:val="4F560203"/>
    <w:rsid w:val="4F707A37"/>
    <w:rsid w:val="4F730159"/>
    <w:rsid w:val="4FB47CF1"/>
    <w:rsid w:val="4FBC66F5"/>
    <w:rsid w:val="50291DD0"/>
    <w:rsid w:val="502B35EA"/>
    <w:rsid w:val="505E3B93"/>
    <w:rsid w:val="506A1F34"/>
    <w:rsid w:val="506C2DC6"/>
    <w:rsid w:val="5073265E"/>
    <w:rsid w:val="509C2CA9"/>
    <w:rsid w:val="50E14068"/>
    <w:rsid w:val="51022778"/>
    <w:rsid w:val="51292E3E"/>
    <w:rsid w:val="51310592"/>
    <w:rsid w:val="5131422D"/>
    <w:rsid w:val="513F082E"/>
    <w:rsid w:val="51550FDC"/>
    <w:rsid w:val="515A63F4"/>
    <w:rsid w:val="517D3F4D"/>
    <w:rsid w:val="51827D19"/>
    <w:rsid w:val="519224B3"/>
    <w:rsid w:val="519F2FB7"/>
    <w:rsid w:val="51D601BD"/>
    <w:rsid w:val="52042CE4"/>
    <w:rsid w:val="520D3522"/>
    <w:rsid w:val="523834CF"/>
    <w:rsid w:val="5246178A"/>
    <w:rsid w:val="52552B03"/>
    <w:rsid w:val="5276109D"/>
    <w:rsid w:val="52A744D5"/>
    <w:rsid w:val="52BA6D95"/>
    <w:rsid w:val="52FE3F2D"/>
    <w:rsid w:val="530F3A45"/>
    <w:rsid w:val="53365152"/>
    <w:rsid w:val="538C240C"/>
    <w:rsid w:val="538C605A"/>
    <w:rsid w:val="53A370D7"/>
    <w:rsid w:val="543015A4"/>
    <w:rsid w:val="543D4466"/>
    <w:rsid w:val="54414B1F"/>
    <w:rsid w:val="545B53FF"/>
    <w:rsid w:val="5470471A"/>
    <w:rsid w:val="5472592B"/>
    <w:rsid w:val="5478070B"/>
    <w:rsid w:val="54841655"/>
    <w:rsid w:val="54B63BAF"/>
    <w:rsid w:val="551B39E9"/>
    <w:rsid w:val="5555285B"/>
    <w:rsid w:val="55D0771B"/>
    <w:rsid w:val="56146019"/>
    <w:rsid w:val="565830E6"/>
    <w:rsid w:val="567565AB"/>
    <w:rsid w:val="567E19A6"/>
    <w:rsid w:val="56AF680A"/>
    <w:rsid w:val="56B752B0"/>
    <w:rsid w:val="56B97FF9"/>
    <w:rsid w:val="56D178F8"/>
    <w:rsid w:val="574B6B40"/>
    <w:rsid w:val="575713DF"/>
    <w:rsid w:val="575933C5"/>
    <w:rsid w:val="577E1F1F"/>
    <w:rsid w:val="577F4CCF"/>
    <w:rsid w:val="5780016A"/>
    <w:rsid w:val="57B908EB"/>
    <w:rsid w:val="57E12F10"/>
    <w:rsid w:val="57EE4492"/>
    <w:rsid w:val="582F0F01"/>
    <w:rsid w:val="58450297"/>
    <w:rsid w:val="584C7888"/>
    <w:rsid w:val="587121CB"/>
    <w:rsid w:val="58760A83"/>
    <w:rsid w:val="58812C68"/>
    <w:rsid w:val="58881A07"/>
    <w:rsid w:val="58C05C7D"/>
    <w:rsid w:val="5912349A"/>
    <w:rsid w:val="59196F19"/>
    <w:rsid w:val="593914C8"/>
    <w:rsid w:val="5972316D"/>
    <w:rsid w:val="5974749E"/>
    <w:rsid w:val="598504E3"/>
    <w:rsid w:val="59D84C0C"/>
    <w:rsid w:val="5A034AD1"/>
    <w:rsid w:val="5A3D27A8"/>
    <w:rsid w:val="5A57465F"/>
    <w:rsid w:val="5A626287"/>
    <w:rsid w:val="5AA320DF"/>
    <w:rsid w:val="5AA94CE0"/>
    <w:rsid w:val="5ACD2283"/>
    <w:rsid w:val="5AD870B3"/>
    <w:rsid w:val="5AEE64FE"/>
    <w:rsid w:val="5B397B1C"/>
    <w:rsid w:val="5B3B12EF"/>
    <w:rsid w:val="5B5C4D5C"/>
    <w:rsid w:val="5B5D43C9"/>
    <w:rsid w:val="5B74013D"/>
    <w:rsid w:val="5BA12DCD"/>
    <w:rsid w:val="5BE5486C"/>
    <w:rsid w:val="5C0C4092"/>
    <w:rsid w:val="5C3540EA"/>
    <w:rsid w:val="5C407157"/>
    <w:rsid w:val="5C517B93"/>
    <w:rsid w:val="5C760542"/>
    <w:rsid w:val="5C7C137F"/>
    <w:rsid w:val="5C801FDF"/>
    <w:rsid w:val="5C8178E2"/>
    <w:rsid w:val="5C9A78C6"/>
    <w:rsid w:val="5CA666AB"/>
    <w:rsid w:val="5CA83D21"/>
    <w:rsid w:val="5CD16EF5"/>
    <w:rsid w:val="5CE54BAA"/>
    <w:rsid w:val="5D091CF3"/>
    <w:rsid w:val="5D1336A6"/>
    <w:rsid w:val="5D256796"/>
    <w:rsid w:val="5D303535"/>
    <w:rsid w:val="5D333EFC"/>
    <w:rsid w:val="5D3D2372"/>
    <w:rsid w:val="5D423E47"/>
    <w:rsid w:val="5D635174"/>
    <w:rsid w:val="5D67424E"/>
    <w:rsid w:val="5D7B3B21"/>
    <w:rsid w:val="5DAB16BD"/>
    <w:rsid w:val="5DDD65BC"/>
    <w:rsid w:val="5DE84E6A"/>
    <w:rsid w:val="5DFA401E"/>
    <w:rsid w:val="5E050DB6"/>
    <w:rsid w:val="5E0A2799"/>
    <w:rsid w:val="5E0C5517"/>
    <w:rsid w:val="5E234F51"/>
    <w:rsid w:val="5E2472B3"/>
    <w:rsid w:val="5E2511AA"/>
    <w:rsid w:val="5E5061E2"/>
    <w:rsid w:val="5E601E3D"/>
    <w:rsid w:val="5EAB6677"/>
    <w:rsid w:val="5EDE486C"/>
    <w:rsid w:val="5EE47E76"/>
    <w:rsid w:val="5EE50C14"/>
    <w:rsid w:val="5EE849D4"/>
    <w:rsid w:val="5EEF6A19"/>
    <w:rsid w:val="5EF82366"/>
    <w:rsid w:val="5F0755C2"/>
    <w:rsid w:val="5F20048B"/>
    <w:rsid w:val="5F352101"/>
    <w:rsid w:val="5F4C6E64"/>
    <w:rsid w:val="5F503380"/>
    <w:rsid w:val="5F516DA6"/>
    <w:rsid w:val="5F837672"/>
    <w:rsid w:val="5F903E6A"/>
    <w:rsid w:val="5F9540CF"/>
    <w:rsid w:val="5F9B3E0F"/>
    <w:rsid w:val="5FB0285C"/>
    <w:rsid w:val="5FB964DB"/>
    <w:rsid w:val="5FC83B98"/>
    <w:rsid w:val="5FCE4B8C"/>
    <w:rsid w:val="5FEF3154"/>
    <w:rsid w:val="5FFF543E"/>
    <w:rsid w:val="60424DB8"/>
    <w:rsid w:val="60574DAD"/>
    <w:rsid w:val="60705D10"/>
    <w:rsid w:val="60795F45"/>
    <w:rsid w:val="6087574C"/>
    <w:rsid w:val="60A256CD"/>
    <w:rsid w:val="60A66DAE"/>
    <w:rsid w:val="60C46895"/>
    <w:rsid w:val="60DB6A86"/>
    <w:rsid w:val="60FE106B"/>
    <w:rsid w:val="612101A1"/>
    <w:rsid w:val="612D42DC"/>
    <w:rsid w:val="612D688F"/>
    <w:rsid w:val="61841879"/>
    <w:rsid w:val="61870630"/>
    <w:rsid w:val="61DD7C4F"/>
    <w:rsid w:val="622A2D27"/>
    <w:rsid w:val="622D5AA5"/>
    <w:rsid w:val="623C0FB9"/>
    <w:rsid w:val="624A28F8"/>
    <w:rsid w:val="62521F61"/>
    <w:rsid w:val="625B564A"/>
    <w:rsid w:val="62620AEA"/>
    <w:rsid w:val="627A4EDA"/>
    <w:rsid w:val="62833B04"/>
    <w:rsid w:val="62B24504"/>
    <w:rsid w:val="62D465C9"/>
    <w:rsid w:val="62F6089C"/>
    <w:rsid w:val="63090D50"/>
    <w:rsid w:val="63321301"/>
    <w:rsid w:val="637137D3"/>
    <w:rsid w:val="63777EDF"/>
    <w:rsid w:val="63885949"/>
    <w:rsid w:val="63F5756B"/>
    <w:rsid w:val="63FE63EB"/>
    <w:rsid w:val="63FF5445"/>
    <w:rsid w:val="640C4610"/>
    <w:rsid w:val="642152DF"/>
    <w:rsid w:val="6459719B"/>
    <w:rsid w:val="64686A11"/>
    <w:rsid w:val="647B4125"/>
    <w:rsid w:val="64871F89"/>
    <w:rsid w:val="64AA7977"/>
    <w:rsid w:val="64CD19AD"/>
    <w:rsid w:val="64F869E6"/>
    <w:rsid w:val="65051BF9"/>
    <w:rsid w:val="65257144"/>
    <w:rsid w:val="652B5BC4"/>
    <w:rsid w:val="65354A11"/>
    <w:rsid w:val="65560E6E"/>
    <w:rsid w:val="65631828"/>
    <w:rsid w:val="6574054D"/>
    <w:rsid w:val="65A03093"/>
    <w:rsid w:val="65A03F71"/>
    <w:rsid w:val="65B255A2"/>
    <w:rsid w:val="65B81BD5"/>
    <w:rsid w:val="65C37D40"/>
    <w:rsid w:val="65C574C1"/>
    <w:rsid w:val="65C921D3"/>
    <w:rsid w:val="65CC59C1"/>
    <w:rsid w:val="663A6386"/>
    <w:rsid w:val="663E552E"/>
    <w:rsid w:val="665019FF"/>
    <w:rsid w:val="66503B45"/>
    <w:rsid w:val="668024E2"/>
    <w:rsid w:val="66964708"/>
    <w:rsid w:val="67023858"/>
    <w:rsid w:val="673F1569"/>
    <w:rsid w:val="6742203A"/>
    <w:rsid w:val="6762491F"/>
    <w:rsid w:val="677500A9"/>
    <w:rsid w:val="679B4A99"/>
    <w:rsid w:val="67D47ADD"/>
    <w:rsid w:val="67D621AC"/>
    <w:rsid w:val="67E3620F"/>
    <w:rsid w:val="67E446FD"/>
    <w:rsid w:val="67FC2106"/>
    <w:rsid w:val="68287F36"/>
    <w:rsid w:val="682C0A61"/>
    <w:rsid w:val="69184CAA"/>
    <w:rsid w:val="691D1246"/>
    <w:rsid w:val="694A50A8"/>
    <w:rsid w:val="698515CC"/>
    <w:rsid w:val="69C46AE4"/>
    <w:rsid w:val="6A105618"/>
    <w:rsid w:val="6A2E1772"/>
    <w:rsid w:val="6A4062D4"/>
    <w:rsid w:val="6A5827A1"/>
    <w:rsid w:val="6A737E1A"/>
    <w:rsid w:val="6A7A3441"/>
    <w:rsid w:val="6A9D1CE7"/>
    <w:rsid w:val="6ACF049F"/>
    <w:rsid w:val="6AEB633F"/>
    <w:rsid w:val="6B1B2311"/>
    <w:rsid w:val="6B2430C0"/>
    <w:rsid w:val="6B441700"/>
    <w:rsid w:val="6B4818CF"/>
    <w:rsid w:val="6B595DC3"/>
    <w:rsid w:val="6B820A40"/>
    <w:rsid w:val="6BDE1657"/>
    <w:rsid w:val="6BFD7332"/>
    <w:rsid w:val="6C047AB4"/>
    <w:rsid w:val="6C1179A5"/>
    <w:rsid w:val="6C142927"/>
    <w:rsid w:val="6C2A39DB"/>
    <w:rsid w:val="6C3E17DB"/>
    <w:rsid w:val="6C542EBA"/>
    <w:rsid w:val="6C614663"/>
    <w:rsid w:val="6CB61333"/>
    <w:rsid w:val="6CBB67E8"/>
    <w:rsid w:val="6CD24CF9"/>
    <w:rsid w:val="6CFD09FE"/>
    <w:rsid w:val="6D432577"/>
    <w:rsid w:val="6D577BA4"/>
    <w:rsid w:val="6D661EB9"/>
    <w:rsid w:val="6D671EA4"/>
    <w:rsid w:val="6D6F11AF"/>
    <w:rsid w:val="6D910282"/>
    <w:rsid w:val="6DF91C8C"/>
    <w:rsid w:val="6E1832B0"/>
    <w:rsid w:val="6E255DD9"/>
    <w:rsid w:val="6E264BBF"/>
    <w:rsid w:val="6E3B59BC"/>
    <w:rsid w:val="6E5F09B7"/>
    <w:rsid w:val="6E6E4147"/>
    <w:rsid w:val="6E93558C"/>
    <w:rsid w:val="6E9423E9"/>
    <w:rsid w:val="6E9B2460"/>
    <w:rsid w:val="6EA20315"/>
    <w:rsid w:val="6EBA5B88"/>
    <w:rsid w:val="6EBF73E2"/>
    <w:rsid w:val="6EC53336"/>
    <w:rsid w:val="6F036088"/>
    <w:rsid w:val="6F066AE4"/>
    <w:rsid w:val="6F347A88"/>
    <w:rsid w:val="6F4F2817"/>
    <w:rsid w:val="6FCC3ACC"/>
    <w:rsid w:val="6FD77C05"/>
    <w:rsid w:val="6FDD2226"/>
    <w:rsid w:val="6FF27EF5"/>
    <w:rsid w:val="6FF8259E"/>
    <w:rsid w:val="7014301D"/>
    <w:rsid w:val="70176AEF"/>
    <w:rsid w:val="70253E5E"/>
    <w:rsid w:val="70263C9D"/>
    <w:rsid w:val="703666C7"/>
    <w:rsid w:val="70463156"/>
    <w:rsid w:val="70495A3B"/>
    <w:rsid w:val="706A2BC9"/>
    <w:rsid w:val="706F49E7"/>
    <w:rsid w:val="707D16A8"/>
    <w:rsid w:val="709C03BC"/>
    <w:rsid w:val="70A11BF6"/>
    <w:rsid w:val="70B72073"/>
    <w:rsid w:val="70DF1E05"/>
    <w:rsid w:val="70FF58FF"/>
    <w:rsid w:val="7125298D"/>
    <w:rsid w:val="7170016B"/>
    <w:rsid w:val="71957FF7"/>
    <w:rsid w:val="71A33D58"/>
    <w:rsid w:val="71E43553"/>
    <w:rsid w:val="71E57463"/>
    <w:rsid w:val="721E7AAF"/>
    <w:rsid w:val="726D1C8F"/>
    <w:rsid w:val="727A4793"/>
    <w:rsid w:val="72974204"/>
    <w:rsid w:val="72AD6080"/>
    <w:rsid w:val="72B04EBD"/>
    <w:rsid w:val="72BA5833"/>
    <w:rsid w:val="72DA760E"/>
    <w:rsid w:val="72F93DF5"/>
    <w:rsid w:val="7303205D"/>
    <w:rsid w:val="73125B4F"/>
    <w:rsid w:val="731A784D"/>
    <w:rsid w:val="73386936"/>
    <w:rsid w:val="73835F5F"/>
    <w:rsid w:val="73894C83"/>
    <w:rsid w:val="73B029F4"/>
    <w:rsid w:val="73D372C0"/>
    <w:rsid w:val="73D46E01"/>
    <w:rsid w:val="740A1312"/>
    <w:rsid w:val="740E5650"/>
    <w:rsid w:val="74387F12"/>
    <w:rsid w:val="744149B9"/>
    <w:rsid w:val="74511081"/>
    <w:rsid w:val="74863609"/>
    <w:rsid w:val="749C2049"/>
    <w:rsid w:val="74AF2F52"/>
    <w:rsid w:val="74CE7EF8"/>
    <w:rsid w:val="74D35C5D"/>
    <w:rsid w:val="74E7705C"/>
    <w:rsid w:val="74F03BA4"/>
    <w:rsid w:val="751970D8"/>
    <w:rsid w:val="754B7E36"/>
    <w:rsid w:val="757418C2"/>
    <w:rsid w:val="757960BE"/>
    <w:rsid w:val="75BF6CE4"/>
    <w:rsid w:val="75CA190E"/>
    <w:rsid w:val="75DB29A6"/>
    <w:rsid w:val="76017373"/>
    <w:rsid w:val="7643795A"/>
    <w:rsid w:val="766347EE"/>
    <w:rsid w:val="7673156D"/>
    <w:rsid w:val="76D4787E"/>
    <w:rsid w:val="76E01E2C"/>
    <w:rsid w:val="76E55346"/>
    <w:rsid w:val="770E3170"/>
    <w:rsid w:val="771324F9"/>
    <w:rsid w:val="771D5DF4"/>
    <w:rsid w:val="77345BAC"/>
    <w:rsid w:val="774923D0"/>
    <w:rsid w:val="776F25CB"/>
    <w:rsid w:val="77840799"/>
    <w:rsid w:val="77C75F12"/>
    <w:rsid w:val="77DB5AF4"/>
    <w:rsid w:val="782721AF"/>
    <w:rsid w:val="784952F6"/>
    <w:rsid w:val="7862441B"/>
    <w:rsid w:val="788500CD"/>
    <w:rsid w:val="789E29AD"/>
    <w:rsid w:val="78C8768D"/>
    <w:rsid w:val="78D10941"/>
    <w:rsid w:val="78D34251"/>
    <w:rsid w:val="79227FB8"/>
    <w:rsid w:val="79266917"/>
    <w:rsid w:val="79286303"/>
    <w:rsid w:val="79572732"/>
    <w:rsid w:val="796879B2"/>
    <w:rsid w:val="79696A6B"/>
    <w:rsid w:val="798F535F"/>
    <w:rsid w:val="79AD6F8F"/>
    <w:rsid w:val="79C571FD"/>
    <w:rsid w:val="79D27067"/>
    <w:rsid w:val="79D6447F"/>
    <w:rsid w:val="7A021FFE"/>
    <w:rsid w:val="7A0E67A0"/>
    <w:rsid w:val="7A0F506F"/>
    <w:rsid w:val="7A1C0E8A"/>
    <w:rsid w:val="7A256B28"/>
    <w:rsid w:val="7A301DE5"/>
    <w:rsid w:val="7AAF16E7"/>
    <w:rsid w:val="7AB40809"/>
    <w:rsid w:val="7AC23C92"/>
    <w:rsid w:val="7AD66A1F"/>
    <w:rsid w:val="7AE02448"/>
    <w:rsid w:val="7AF03251"/>
    <w:rsid w:val="7B2F0382"/>
    <w:rsid w:val="7B315ACA"/>
    <w:rsid w:val="7B4D63AF"/>
    <w:rsid w:val="7B7E0078"/>
    <w:rsid w:val="7B844C9A"/>
    <w:rsid w:val="7B966780"/>
    <w:rsid w:val="7B981F52"/>
    <w:rsid w:val="7BA325FF"/>
    <w:rsid w:val="7BA50B7B"/>
    <w:rsid w:val="7BC54DED"/>
    <w:rsid w:val="7BE81741"/>
    <w:rsid w:val="7C151088"/>
    <w:rsid w:val="7C2009E4"/>
    <w:rsid w:val="7C321FA5"/>
    <w:rsid w:val="7C34563B"/>
    <w:rsid w:val="7C564076"/>
    <w:rsid w:val="7C7E22FE"/>
    <w:rsid w:val="7C8E4669"/>
    <w:rsid w:val="7C9F16BB"/>
    <w:rsid w:val="7CBE394B"/>
    <w:rsid w:val="7CC37080"/>
    <w:rsid w:val="7CCC058C"/>
    <w:rsid w:val="7CD12D2F"/>
    <w:rsid w:val="7CDC2C0F"/>
    <w:rsid w:val="7CDD7232"/>
    <w:rsid w:val="7CFE398C"/>
    <w:rsid w:val="7D186818"/>
    <w:rsid w:val="7D4005F4"/>
    <w:rsid w:val="7D5C4A3C"/>
    <w:rsid w:val="7D95197E"/>
    <w:rsid w:val="7D981D30"/>
    <w:rsid w:val="7D9C4188"/>
    <w:rsid w:val="7DB54D25"/>
    <w:rsid w:val="7DBB0A4B"/>
    <w:rsid w:val="7DD81444"/>
    <w:rsid w:val="7DFF2007"/>
    <w:rsid w:val="7E0870E5"/>
    <w:rsid w:val="7E0D1A1F"/>
    <w:rsid w:val="7E147045"/>
    <w:rsid w:val="7E2B549E"/>
    <w:rsid w:val="7E320111"/>
    <w:rsid w:val="7E3B449B"/>
    <w:rsid w:val="7E5F3EEE"/>
    <w:rsid w:val="7E872580"/>
    <w:rsid w:val="7E975F59"/>
    <w:rsid w:val="7EB4627A"/>
    <w:rsid w:val="7ECA1AA1"/>
    <w:rsid w:val="7ECA1DA6"/>
    <w:rsid w:val="7EE12594"/>
    <w:rsid w:val="7F0B0DB9"/>
    <w:rsid w:val="7F550625"/>
    <w:rsid w:val="7F841FF8"/>
    <w:rsid w:val="7F9E6F0A"/>
    <w:rsid w:val="7FB843CC"/>
    <w:rsid w:val="7FCB7A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3"/>
    <w:link w:val="23"/>
    <w:qFormat/>
    <w:uiPriority w:val="9"/>
    <w:pPr>
      <w:keepNext/>
      <w:keepLines/>
      <w:spacing w:before="340" w:after="330" w:line="578" w:lineRule="auto"/>
      <w:outlineLvl w:val="0"/>
    </w:pPr>
    <w:rPr>
      <w:b/>
      <w:bCs/>
      <w:kern w:val="44"/>
      <w:sz w:val="44"/>
      <w:szCs w:val="44"/>
    </w:rPr>
  </w:style>
  <w:style w:type="paragraph" w:styleId="3">
    <w:name w:val="heading 2"/>
    <w:basedOn w:val="2"/>
    <w:next w:val="4"/>
    <w:link w:val="25"/>
    <w:unhideWhenUsed/>
    <w:qFormat/>
    <w:uiPriority w:val="9"/>
    <w:pPr>
      <w:keepNext/>
      <w:keepLines/>
      <w:spacing w:before="260" w:after="260" w:line="416" w:lineRule="auto"/>
      <w:outlineLvl w:val="1"/>
    </w:pPr>
    <w:rPr>
      <w:rFonts w:ascii="Cambria" w:hAnsi="Cambria" w:eastAsia="宋体" w:cs="黑体"/>
      <w:sz w:val="32"/>
      <w:szCs w:val="32"/>
    </w:rPr>
  </w:style>
  <w:style w:type="paragraph" w:styleId="5">
    <w:name w:val="heading 3"/>
    <w:basedOn w:val="1"/>
    <w:next w:val="1"/>
    <w:link w:val="26"/>
    <w:unhideWhenUsed/>
    <w:qFormat/>
    <w:uiPriority w:val="9"/>
    <w:pPr>
      <w:keepNext/>
      <w:keepLines/>
      <w:spacing w:before="260" w:after="260" w:line="416" w:lineRule="auto"/>
      <w:outlineLvl w:val="2"/>
    </w:pPr>
    <w:rPr>
      <w:rFonts w:ascii="Calibri" w:hAnsi="Calibri" w:eastAsia="宋体" w:cs="黑体"/>
      <w:sz w:val="32"/>
      <w:szCs w:val="32"/>
    </w:rPr>
  </w:style>
  <w:style w:type="paragraph" w:styleId="6">
    <w:name w:val="heading 4"/>
    <w:basedOn w:val="5"/>
    <w:next w:val="4"/>
    <w:qFormat/>
    <w:uiPriority w:val="0"/>
    <w:pPr>
      <w:numPr>
        <w:ilvl w:val="3"/>
        <w:numId w:val="1"/>
      </w:numPr>
      <w:tabs>
        <w:tab w:val="left" w:pos="360"/>
        <w:tab w:val="left" w:pos="432"/>
      </w:tabs>
      <w:spacing w:before="280" w:after="290" w:line="374" w:lineRule="auto"/>
      <w:outlineLvl w:val="3"/>
    </w:pPr>
    <w:rPr>
      <w:sz w:val="32"/>
      <w:szCs w:val="28"/>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27"/>
    <w:qFormat/>
    <w:uiPriority w:val="0"/>
    <w:pPr>
      <w:spacing w:line="360" w:lineRule="auto"/>
      <w:ind w:firstLine="200" w:firstLineChars="200"/>
    </w:pPr>
    <w:rPr>
      <w:rFonts w:ascii="Times New Roman" w:hAnsi="Times New Roman" w:eastAsia="宋体" w:cs="Times New Roman"/>
      <w:sz w:val="24"/>
    </w:rPr>
  </w:style>
  <w:style w:type="paragraph" w:styleId="7">
    <w:name w:val="Document Map"/>
    <w:basedOn w:val="1"/>
    <w:link w:val="24"/>
    <w:qFormat/>
    <w:uiPriority w:val="0"/>
    <w:rPr>
      <w:rFonts w:ascii="宋体" w:eastAsia="宋体"/>
      <w:sz w:val="18"/>
      <w:szCs w:val="18"/>
    </w:rPr>
  </w:style>
  <w:style w:type="paragraph" w:styleId="8">
    <w:name w:val="toc 3"/>
    <w:basedOn w:val="1"/>
    <w:next w:val="1"/>
    <w:unhideWhenUsed/>
    <w:qFormat/>
    <w:uiPriority w:val="39"/>
    <w:pPr>
      <w:ind w:left="420"/>
      <w:jc w:val="left"/>
    </w:pPr>
    <w:rPr>
      <w:i/>
      <w:iCs/>
      <w:sz w:val="20"/>
      <w:szCs w:val="20"/>
    </w:rPr>
  </w:style>
  <w:style w:type="paragraph" w:styleId="9">
    <w:name w:val="footer"/>
    <w:basedOn w:val="1"/>
    <w:link w:val="22"/>
    <w:qFormat/>
    <w:uiPriority w:val="0"/>
    <w:pPr>
      <w:tabs>
        <w:tab w:val="center" w:pos="4153"/>
        <w:tab w:val="right" w:pos="8306"/>
      </w:tabs>
      <w:snapToGrid w:val="0"/>
      <w:jc w:val="left"/>
    </w:pPr>
    <w:rPr>
      <w:sz w:val="18"/>
      <w:szCs w:val="18"/>
    </w:rPr>
  </w:style>
  <w:style w:type="paragraph" w:styleId="10">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spacing w:before="120" w:after="120"/>
      <w:jc w:val="left"/>
    </w:pPr>
    <w:rPr>
      <w:b/>
      <w:bCs/>
      <w:caps/>
      <w:sz w:val="20"/>
      <w:szCs w:val="20"/>
    </w:rPr>
  </w:style>
  <w:style w:type="paragraph" w:styleId="12">
    <w:name w:val="toc 2"/>
    <w:basedOn w:val="1"/>
    <w:next w:val="1"/>
    <w:unhideWhenUsed/>
    <w:qFormat/>
    <w:uiPriority w:val="39"/>
    <w:pPr>
      <w:ind w:left="210"/>
      <w:jc w:val="left"/>
    </w:pPr>
    <w:rPr>
      <w:smallCaps/>
      <w:sz w:val="20"/>
      <w:szCs w:val="20"/>
    </w:rPr>
  </w:style>
  <w:style w:type="paragraph" w:styleId="13">
    <w:name w:val="Title"/>
    <w:basedOn w:val="1"/>
    <w:next w:val="1"/>
    <w:qFormat/>
    <w:uiPriority w:val="0"/>
    <w:pPr>
      <w:spacing w:before="240" w:after="60"/>
      <w:jc w:val="center"/>
      <w:outlineLvl w:val="0"/>
    </w:pPr>
    <w:rPr>
      <w:rFonts w:ascii="Calibri Light" w:hAnsi="Calibri Light"/>
      <w:b/>
      <w:bCs/>
      <w:sz w:val="32"/>
      <w:szCs w:val="32"/>
    </w:rPr>
  </w:style>
  <w:style w:type="character" w:styleId="15">
    <w:name w:val="Hyperlink"/>
    <w:basedOn w:val="14"/>
    <w:unhideWhenUsed/>
    <w:qFormat/>
    <w:uiPriority w:val="99"/>
    <w:rPr>
      <w:color w:val="0563C1"/>
      <w:u w:val="single"/>
    </w:rPr>
  </w:style>
  <w:style w:type="table" w:styleId="17">
    <w:name w:val="Table Grid"/>
    <w:basedOn w:val="16"/>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List Paragraph"/>
    <w:basedOn w:val="1"/>
    <w:unhideWhenUsed/>
    <w:qFormat/>
    <w:uiPriority w:val="34"/>
    <w:pPr>
      <w:ind w:firstLine="420" w:firstLineChars="200"/>
    </w:pPr>
  </w:style>
  <w:style w:type="paragraph" w:customStyle="1" w:styleId="19">
    <w:name w:val="列出段落1"/>
    <w:basedOn w:val="1"/>
    <w:qFormat/>
    <w:uiPriority w:val="34"/>
    <w:pPr>
      <w:ind w:firstLine="420" w:firstLineChars="200"/>
    </w:pPr>
    <w:rPr>
      <w:rFonts w:ascii="Calibri" w:hAnsi="Calibri" w:eastAsia="宋体" w:cs="黑体"/>
      <w:szCs w:val="22"/>
    </w:rPr>
  </w:style>
  <w:style w:type="paragraph" w:customStyle="1" w:styleId="20">
    <w:name w:val="列出段落"/>
    <w:basedOn w:val="1"/>
    <w:qFormat/>
    <w:uiPriority w:val="34"/>
    <w:pPr>
      <w:ind w:firstLine="420" w:firstLineChars="200"/>
    </w:pPr>
  </w:style>
  <w:style w:type="character" w:customStyle="1" w:styleId="21">
    <w:name w:val="页眉 Char"/>
    <w:basedOn w:val="14"/>
    <w:link w:val="10"/>
    <w:qFormat/>
    <w:uiPriority w:val="0"/>
    <w:rPr>
      <w:kern w:val="2"/>
      <w:sz w:val="18"/>
      <w:szCs w:val="18"/>
    </w:rPr>
  </w:style>
  <w:style w:type="character" w:customStyle="1" w:styleId="22">
    <w:name w:val="页脚 Char"/>
    <w:basedOn w:val="14"/>
    <w:link w:val="9"/>
    <w:qFormat/>
    <w:uiPriority w:val="0"/>
    <w:rPr>
      <w:kern w:val="2"/>
      <w:sz w:val="18"/>
      <w:szCs w:val="18"/>
    </w:rPr>
  </w:style>
  <w:style w:type="character" w:customStyle="1" w:styleId="23">
    <w:name w:val="标题 1 Char"/>
    <w:basedOn w:val="14"/>
    <w:link w:val="2"/>
    <w:qFormat/>
    <w:uiPriority w:val="0"/>
    <w:rPr>
      <w:b/>
      <w:bCs/>
      <w:kern w:val="44"/>
      <w:sz w:val="44"/>
      <w:szCs w:val="44"/>
    </w:rPr>
  </w:style>
  <w:style w:type="character" w:customStyle="1" w:styleId="24">
    <w:name w:val="文档结构图 Char"/>
    <w:basedOn w:val="14"/>
    <w:link w:val="7"/>
    <w:qFormat/>
    <w:uiPriority w:val="0"/>
    <w:rPr>
      <w:rFonts w:ascii="宋体" w:eastAsia="宋体"/>
      <w:kern w:val="2"/>
      <w:sz w:val="18"/>
      <w:szCs w:val="18"/>
    </w:rPr>
  </w:style>
  <w:style w:type="character" w:customStyle="1" w:styleId="25">
    <w:name w:val="标题 2 Char"/>
    <w:basedOn w:val="14"/>
    <w:link w:val="3"/>
    <w:qFormat/>
    <w:uiPriority w:val="9"/>
    <w:rPr>
      <w:rFonts w:ascii="Cambria" w:hAnsi="Cambria" w:eastAsia="宋体" w:cs="黑体"/>
      <w:b/>
      <w:bCs/>
      <w:kern w:val="2"/>
      <w:sz w:val="32"/>
      <w:szCs w:val="32"/>
    </w:rPr>
  </w:style>
  <w:style w:type="character" w:customStyle="1" w:styleId="26">
    <w:name w:val="标题 3 Char"/>
    <w:basedOn w:val="14"/>
    <w:link w:val="5"/>
    <w:qFormat/>
    <w:uiPriority w:val="9"/>
    <w:rPr>
      <w:rFonts w:ascii="Calibri" w:hAnsi="Calibri" w:eastAsia="宋体" w:cs="黑体"/>
      <w:b/>
      <w:bCs/>
      <w:kern w:val="2"/>
      <w:sz w:val="32"/>
      <w:szCs w:val="32"/>
    </w:rPr>
  </w:style>
  <w:style w:type="character" w:customStyle="1" w:styleId="27">
    <w:name w:val="正文缩进 Char2"/>
    <w:link w:val="4"/>
    <w:qFormat/>
    <w:locked/>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971</Words>
  <Characters>5540</Characters>
  <Lines>46</Lines>
  <Paragraphs>12</Paragraphs>
  <TotalTime>5</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LZG</dc:creator>
  <cp:lastModifiedBy>gaohui</cp:lastModifiedBy>
  <dcterms:modified xsi:type="dcterms:W3CDTF">2020-09-09T07:37:58Z</dcterms:modified>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