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hint="eastAsia"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hint="eastAsia" w:ascii="黑体" w:hAnsi="黑体" w:eastAsia="黑体"/>
          <w:sz w:val="44"/>
          <w:szCs w:val="44"/>
        </w:rPr>
      </w:pPr>
      <w:r>
        <w:rPr>
          <w:rFonts w:hint="eastAsia" w:ascii="黑体" w:hAnsi="黑体" w:eastAsia="黑体"/>
          <w:sz w:val="44"/>
          <w:szCs w:val="44"/>
          <w:lang w:val="en-US" w:eastAsia="zh-CN"/>
        </w:rPr>
        <w:t>风险审核系统预审建模建设项目-预审系统</w:t>
      </w:r>
      <w:r>
        <w:rPr>
          <w:rFonts w:hint="eastAsia" w:ascii="黑体" w:hAnsi="黑体" w:eastAsia="黑体"/>
          <w:sz w:val="44"/>
          <w:szCs w:val="44"/>
        </w:rPr>
        <w:t>软件需求规格说明书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cs="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cs="黑体"/>
          <w:sz w:val="32"/>
          <w:szCs w:val="32"/>
        </w:rPr>
      </w:pPr>
    </w:p>
    <w:p>
      <w:pPr>
        <w:widowControl/>
        <w:jc w:val="center"/>
        <w:rPr>
          <w:rFonts w:ascii="黑体" w:hAnsi="黑体" w:eastAsia="黑体" w:cs="黑体"/>
          <w:sz w:val="36"/>
          <w:szCs w:val="36"/>
        </w:rPr>
      </w:pPr>
      <w:r>
        <w:rPr>
          <w:rFonts w:hint="eastAsia" w:ascii="黑体" w:hAnsi="黑体" w:eastAsia="黑体" w:cs="黑体"/>
          <w:sz w:val="36"/>
          <w:szCs w:val="36"/>
        </w:rPr>
        <w:t>上海中软华腾软件系统有限公司</w:t>
      </w:r>
    </w:p>
    <w:p>
      <w:pPr>
        <w:widowControl/>
        <w:jc w:val="center"/>
        <w:rPr>
          <w:rFonts w:ascii="黑体" w:hAnsi="黑体" w:eastAsia="黑体" w:cs="黑体"/>
          <w:sz w:val="36"/>
          <w:szCs w:val="36"/>
        </w:rPr>
      </w:pPr>
      <w:r>
        <w:rPr>
          <w:rFonts w:hint="eastAsia" w:ascii="黑体" w:hAnsi="黑体" w:eastAsia="黑体" w:cs="黑体"/>
          <w:sz w:val="36"/>
          <w:szCs w:val="36"/>
        </w:rPr>
        <w:t>20</w:t>
      </w:r>
      <w:r>
        <w:rPr>
          <w:rFonts w:hint="eastAsia" w:ascii="黑体" w:hAnsi="黑体" w:eastAsia="黑体" w:cs="黑体"/>
          <w:sz w:val="36"/>
          <w:szCs w:val="36"/>
          <w:lang w:val="en-US" w:eastAsia="zh-CN"/>
        </w:rPr>
        <w:t>20</w:t>
      </w:r>
      <w:r>
        <w:rPr>
          <w:rFonts w:hint="eastAsia" w:ascii="黑体" w:hAnsi="黑体" w:eastAsia="黑体" w:cs="黑体"/>
          <w:sz w:val="36"/>
          <w:szCs w:val="36"/>
        </w:rPr>
        <w:t>年0</w:t>
      </w:r>
      <w:r>
        <w:rPr>
          <w:rFonts w:hint="eastAsia" w:ascii="黑体" w:hAnsi="黑体" w:eastAsia="黑体" w:cs="黑体"/>
          <w:sz w:val="36"/>
          <w:szCs w:val="36"/>
          <w:lang w:val="en-US" w:eastAsia="zh-CN"/>
        </w:rPr>
        <w:t>6</w:t>
      </w:r>
      <w:r>
        <w:rPr>
          <w:rFonts w:hint="eastAsia" w:ascii="黑体" w:hAnsi="黑体" w:eastAsia="黑体" w:cs="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TOC \o "1-5" \f \h \z \u </w:instrText>
      </w:r>
      <w:r>
        <w:rPr>
          <w:rFonts w:hint="eastAsia" w:ascii="黑体" w:hAnsi="黑体" w:eastAsia="黑体" w:cs="黑体"/>
          <w:sz w:val="24"/>
          <w:szCs w:val="24"/>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_Toc17687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引言</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_Toc17687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_Toc21295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编写目的</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_Toc21295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_Toc24911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项目背景</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_Toc24911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_Toc11047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术语缩写</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_Toc11047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_Toc22700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参考资料</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_Toc22700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_Toc14308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项目概述</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_Toc14308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_Toc2070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产品描述</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_Toc2070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_Toc7778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产品功能</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_Toc7778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_Toc5507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用户场景</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_Toc5507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_Toc22020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一般约束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_Toc22020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_Toc26374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.5. </w:t>
      </w:r>
      <w:r>
        <w:rPr>
          <w:rFonts w:hint="eastAsia" w:ascii="黑体" w:hAnsi="黑体" w:eastAsia="黑体" w:cs="黑体"/>
          <w:kern w:val="2"/>
          <w:szCs w:val="24"/>
          <w:lang w:val="en-US" w:eastAsia="zh-CN" w:bidi="ar-SA"/>
        </w:rPr>
        <w:t>假设与依据</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_Toc26374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_Toc12253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具体要求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_Toc12253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_Toc18287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功能清单</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_Toc18287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_Toc14694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功能需求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_Toc14694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_Toc19631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.2.1. </w:t>
      </w:r>
      <w:r>
        <w:rPr>
          <w:rFonts w:hint="eastAsia" w:ascii="黑体" w:hAnsi="黑体" w:eastAsia="黑体" w:cs="黑体"/>
          <w:kern w:val="2"/>
          <w:szCs w:val="30"/>
          <w:lang w:val="en-US" w:eastAsia="zh-CN" w:bidi="ar-SA"/>
        </w:rPr>
        <w:t>流程设计</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_Toc19631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_Toc23992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.2.2. </w:t>
      </w:r>
      <w:r>
        <w:rPr>
          <w:rFonts w:hint="eastAsia" w:ascii="黑体" w:hAnsi="黑体" w:eastAsia="黑体" w:cs="黑体"/>
          <w:kern w:val="2"/>
          <w:szCs w:val="30"/>
          <w:lang w:val="en-US" w:eastAsia="zh-CN" w:bidi="ar-SA"/>
        </w:rPr>
        <w:t>预审模块内流程</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_Toc23992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_Toc30370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.2.3. </w:t>
      </w:r>
      <w:r>
        <w:rPr>
          <w:rFonts w:hint="eastAsia" w:ascii="黑体" w:hAnsi="黑体" w:eastAsia="黑体" w:cs="黑体"/>
          <w:kern w:val="2"/>
          <w:szCs w:val="30"/>
          <w:lang w:val="en-US" w:eastAsia="zh-CN" w:bidi="ar-SA"/>
        </w:rPr>
        <w:t>预审人工环节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_Toc30370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_Toc452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.2.4. </w:t>
      </w:r>
      <w:r>
        <w:rPr>
          <w:rFonts w:hint="eastAsia" w:ascii="黑体" w:hAnsi="黑体" w:eastAsia="黑体" w:cs="黑体"/>
          <w:kern w:val="2"/>
          <w:szCs w:val="30"/>
          <w:lang w:val="en-US" w:eastAsia="zh-CN" w:bidi="ar-SA"/>
        </w:rPr>
        <w:t>审批系统配套升级改造</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_Toc452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_Toc28912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.2.5. </w:t>
      </w:r>
      <w:r>
        <w:rPr>
          <w:rFonts w:hint="eastAsia" w:ascii="黑体" w:hAnsi="黑体" w:eastAsia="黑体" w:cs="黑体"/>
          <w:kern w:val="2"/>
          <w:szCs w:val="30"/>
          <w:lang w:val="en-US" w:eastAsia="zh-CN" w:bidi="ar-SA"/>
        </w:rPr>
        <w:t>风险案件协查</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_Toc28912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9</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_Toc31521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外部接口需求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_Toc31521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10</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_Toc31008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.3.1. </w:t>
      </w:r>
      <w:r>
        <w:rPr>
          <w:rFonts w:hint="eastAsia" w:ascii="黑体" w:hAnsi="黑体" w:eastAsia="黑体" w:cs="黑体"/>
          <w:kern w:val="2"/>
          <w:szCs w:val="30"/>
          <w:lang w:val="en-US" w:eastAsia="zh-CN" w:bidi="ar-SA"/>
        </w:rPr>
        <w:t>用户接口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_Toc31008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10</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_Toc32354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.3.2. </w:t>
      </w:r>
      <w:r>
        <w:rPr>
          <w:rFonts w:hint="eastAsia" w:ascii="黑体" w:hAnsi="黑体" w:eastAsia="黑体" w:cs="黑体"/>
          <w:kern w:val="2"/>
          <w:szCs w:val="30"/>
          <w:lang w:val="en-US" w:eastAsia="zh-CN" w:bidi="ar-SA"/>
        </w:rPr>
        <w:t>硬件接口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_Toc32354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10</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_Toc12816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.3.3. </w:t>
      </w:r>
      <w:r>
        <w:rPr>
          <w:rFonts w:hint="eastAsia" w:ascii="黑体" w:hAnsi="黑体" w:eastAsia="黑体" w:cs="黑体"/>
          <w:kern w:val="2"/>
          <w:szCs w:val="30"/>
          <w:lang w:val="en-US" w:eastAsia="zh-CN" w:bidi="ar-SA"/>
        </w:rPr>
        <w:t>软件接口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_Toc12816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10</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_Toc18713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.3.4. </w:t>
      </w:r>
      <w:r>
        <w:rPr>
          <w:rFonts w:hint="eastAsia" w:ascii="黑体" w:hAnsi="黑体" w:eastAsia="黑体" w:cs="黑体"/>
          <w:kern w:val="2"/>
          <w:szCs w:val="30"/>
          <w:lang w:val="en-US" w:eastAsia="zh-CN" w:bidi="ar-SA"/>
        </w:rPr>
        <w:t>通信接口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_Toc18713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11</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_Toc14451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软件属性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_Toc14451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11</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_Toc11504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.4.1. </w:t>
      </w:r>
      <w:r>
        <w:rPr>
          <w:rFonts w:hint="eastAsia" w:ascii="黑体" w:hAnsi="黑体" w:eastAsia="黑体" w:cs="黑体"/>
          <w:kern w:val="2"/>
          <w:szCs w:val="30"/>
          <w:lang w:val="en-US" w:eastAsia="zh-CN" w:bidi="ar-SA"/>
        </w:rPr>
        <w:t>可用性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_Toc11504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11</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_Toc10249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.4.2. </w:t>
      </w:r>
      <w:r>
        <w:rPr>
          <w:rFonts w:hint="eastAsia" w:ascii="黑体" w:hAnsi="黑体" w:eastAsia="黑体" w:cs="黑体"/>
          <w:kern w:val="2"/>
          <w:szCs w:val="30"/>
          <w:lang w:val="en-US" w:eastAsia="zh-CN" w:bidi="ar-SA"/>
        </w:rPr>
        <w:t>安全性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_Toc10249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11</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_Toc3195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.4.3. </w:t>
      </w:r>
      <w:r>
        <w:rPr>
          <w:rFonts w:hint="eastAsia" w:ascii="黑体" w:hAnsi="黑体" w:eastAsia="黑体" w:cs="黑体"/>
          <w:kern w:val="2"/>
          <w:szCs w:val="30"/>
          <w:lang w:val="en-US" w:eastAsia="zh-CN" w:bidi="ar-SA"/>
        </w:rPr>
        <w:t>可维护性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_Toc3195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11</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_Toc32672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_Toc32672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11</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_Toc8114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文档验收标准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_Toc8114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11</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_Toc551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软件验收标准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_Toc551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12</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_Toc17722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界面验收标准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_Toc17722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12</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_Toc25947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功能验收标准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_Toc25947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12</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r>
        <w:rPr>
          <w:rFonts w:hint="eastAsia" w:ascii="黑体" w:hAnsi="黑体" w:eastAsia="黑体" w:cs="黑体"/>
          <w:kern w:val="2"/>
          <w:szCs w:val="24"/>
          <w:lang w:val="en-US" w:eastAsia="zh-CN" w:bidi="ar-SA"/>
        </w:rPr>
        <w:fldChar w:fldCharType="end"/>
      </w:r>
    </w:p>
    <w:p>
      <w:pPr>
        <w:widowControl/>
        <w:jc w:val="left"/>
      </w:pPr>
      <w:r>
        <w:br w:type="page"/>
      </w:r>
    </w:p>
    <w:p>
      <w:pPr>
        <w:pStyle w:val="2"/>
        <w:numPr>
          <w:ilvl w:val="0"/>
          <w:numId w:val="1"/>
        </w:numPr>
        <w:snapToGrid w:val="0"/>
        <w:spacing w:beforeLines="100" w:afterLines="100" w:line="1000" w:lineRule="exact"/>
        <w:rPr>
          <w:rFonts w:ascii="黑体" w:hAnsi="黑体" w:eastAsia="黑体" w:cs="黑体"/>
          <w:b w:val="0"/>
          <w:sz w:val="36"/>
          <w:szCs w:val="36"/>
        </w:rPr>
      </w:pPr>
      <w:bookmarkStart w:id="0" w:name="_Toc17687"/>
      <w:r>
        <w:rPr>
          <w:rFonts w:hint="eastAsia" w:ascii="黑体" w:hAnsi="黑体" w:eastAsia="黑体" w:cs="黑体"/>
          <w:b w:val="0"/>
          <w:sz w:val="36"/>
          <w:szCs w:val="36"/>
        </w:rPr>
        <w:t>引言</w:t>
      </w:r>
      <w:bookmarkEnd w:id="0"/>
    </w:p>
    <w:p>
      <w:pPr>
        <w:pStyle w:val="3"/>
        <w:numPr>
          <w:ilvl w:val="0"/>
          <w:numId w:val="2"/>
        </w:numPr>
        <w:rPr>
          <w:rFonts w:ascii="黑体" w:hAnsi="黑体" w:eastAsia="黑体"/>
          <w:b w:val="0"/>
        </w:rPr>
      </w:pPr>
      <w:bookmarkStart w:id="1" w:name="_Toc21295"/>
      <w:r>
        <w:rPr>
          <w:rFonts w:hint="eastAsia" w:ascii="黑体" w:hAnsi="黑体" w:eastAsia="黑体"/>
          <w:b w:val="0"/>
        </w:rPr>
        <w:t>编写目的</w:t>
      </w:r>
      <w:bookmarkEnd w:id="1"/>
    </w:p>
    <w:p>
      <w:pPr>
        <w:spacing w:beforeLines="50" w:afterLines="50" w:line="48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为明确软件需求、规划项目、确认进度、组织软件开发并测试而撰写本文档。同时，详细分析项目总体需求，可以作为软件开发工作的基础和依据以及确认测试和验收的依据。</w:t>
      </w:r>
    </w:p>
    <w:p>
      <w:pPr>
        <w:pStyle w:val="3"/>
        <w:numPr>
          <w:ilvl w:val="0"/>
          <w:numId w:val="2"/>
        </w:numPr>
        <w:rPr>
          <w:rFonts w:ascii="黑体" w:hAnsi="黑体" w:eastAsia="黑体"/>
          <w:b w:val="0"/>
        </w:rPr>
      </w:pPr>
      <w:bookmarkStart w:id="2" w:name="_Toc17982168"/>
      <w:bookmarkStart w:id="3" w:name="_Toc24911"/>
      <w:r>
        <w:rPr>
          <w:rFonts w:hint="eastAsia" w:ascii="黑体" w:hAnsi="黑体" w:eastAsia="黑体"/>
          <w:b w:val="0"/>
        </w:rPr>
        <w:t>项目背景</w:t>
      </w:r>
      <w:bookmarkEnd w:id="2"/>
      <w:bookmarkEnd w:id="3"/>
    </w:p>
    <w:p>
      <w:pPr>
        <w:spacing w:beforeLines="50" w:afterLines="50" w:line="480" w:lineRule="exact"/>
        <w:ind w:firstLine="480" w:firstLineChars="200"/>
        <w:rPr>
          <w:rFonts w:hint="eastAsia" w:ascii="Times New Roman" w:hAnsi="Times New Roman" w:eastAsia="宋体" w:cs="Times New Roman"/>
          <w:sz w:val="24"/>
          <w:lang w:eastAsia="zh-CN"/>
        </w:rPr>
      </w:pPr>
      <w:r>
        <w:rPr>
          <w:rFonts w:hint="eastAsia" w:ascii="Times New Roman" w:hAnsi="Times New Roman" w:cs="Times New Roman"/>
          <w:sz w:val="24"/>
        </w:rPr>
        <w:t>项目名称：华夏银行信用卡</w:t>
      </w:r>
      <w:r>
        <w:rPr>
          <w:rFonts w:hint="eastAsia" w:ascii="Times New Roman" w:hAnsi="Times New Roman" w:cs="Times New Roman"/>
          <w:sz w:val="24"/>
          <w:lang w:val="en-US" w:eastAsia="zh-CN"/>
        </w:rPr>
        <w:t>风险审核系统预审建模建设项目-预审系统</w:t>
      </w:r>
      <w:r>
        <w:rPr>
          <w:rFonts w:hint="eastAsia" w:ascii="Times New Roman" w:hAnsi="Times New Roman" w:cs="Times New Roman"/>
          <w:sz w:val="24"/>
          <w:lang w:eastAsia="zh-CN"/>
        </w:rPr>
        <w:t>项目</w:t>
      </w:r>
    </w:p>
    <w:p>
      <w:pPr>
        <w:spacing w:beforeLines="50" w:afterLines="50" w:line="480" w:lineRule="exact"/>
        <w:ind w:firstLine="480" w:firstLineChars="200"/>
        <w:rPr>
          <w:rFonts w:ascii="Times New Roman" w:hAnsi="Times New Roman" w:cs="Times New Roman"/>
          <w:sz w:val="24"/>
        </w:rPr>
      </w:pPr>
      <w:r>
        <w:rPr>
          <w:rFonts w:hint="eastAsia" w:ascii="Times New Roman" w:hAnsi="Times New Roman" w:cs="Times New Roman"/>
          <w:sz w:val="24"/>
        </w:rPr>
        <w:t>项目提出：华夏银行信用卡中心风险管理部</w:t>
      </w:r>
    </w:p>
    <w:p>
      <w:pPr>
        <w:spacing w:beforeLines="50" w:afterLines="50" w:line="480" w:lineRule="exact"/>
        <w:ind w:firstLine="480" w:firstLineChars="200"/>
        <w:rPr>
          <w:rFonts w:ascii="Times New Roman" w:hAnsi="Times New Roman" w:cs="Times New Roman"/>
          <w:sz w:val="24"/>
        </w:rPr>
      </w:pPr>
      <w:r>
        <w:rPr>
          <w:rFonts w:hint="eastAsia" w:ascii="Times New Roman" w:hAnsi="Times New Roman" w:cs="Times New Roman"/>
          <w:sz w:val="24"/>
          <w:szCs w:val="24"/>
          <w:lang w:eastAsia="zh-CN"/>
        </w:rPr>
        <w:t>审批系统自</w:t>
      </w:r>
      <w:r>
        <w:rPr>
          <w:rFonts w:hint="eastAsia" w:ascii="Times New Roman" w:hAnsi="Times New Roman" w:cs="Times New Roman"/>
          <w:sz w:val="24"/>
          <w:szCs w:val="24"/>
          <w:lang w:val="en-US" w:eastAsia="zh-CN"/>
        </w:rPr>
        <w:t>2017年09月投产以来，经过数月实际生产环境运营，已经满足行内日常信用卡操作和审批要求，为进一步提升风险审核系统预审建模建设项目-预审系统操作效率和优化业务流程，业务部门提出业务优化需求，对审批系统进行进一步完善性优化</w:t>
      </w:r>
      <w:r>
        <w:rPr>
          <w:rFonts w:hint="eastAsia" w:ascii="Times New Roman" w:hAnsi="Times New Roman" w:cs="Times New Roman"/>
          <w:sz w:val="24"/>
          <w:szCs w:val="24"/>
        </w:rPr>
        <w:t>。</w:t>
      </w:r>
    </w:p>
    <w:p>
      <w:pPr>
        <w:pStyle w:val="3"/>
        <w:numPr>
          <w:ilvl w:val="0"/>
          <w:numId w:val="2"/>
        </w:numPr>
        <w:rPr>
          <w:rFonts w:ascii="黑体" w:hAnsi="黑体" w:eastAsia="黑体"/>
          <w:b w:val="0"/>
        </w:rPr>
      </w:pPr>
      <w:bookmarkStart w:id="4" w:name="_Toc17982169"/>
      <w:bookmarkStart w:id="5" w:name="_Toc11047"/>
      <w:r>
        <w:rPr>
          <w:rFonts w:hint="eastAsia" w:ascii="黑体" w:hAnsi="黑体" w:eastAsia="黑体"/>
          <w:b w:val="0"/>
        </w:rPr>
        <w:t>术语缩写</w:t>
      </w:r>
      <w:bookmarkEnd w:id="4"/>
      <w:bookmarkEnd w:id="5"/>
    </w:p>
    <w:tbl>
      <w:tblPr>
        <w:tblStyle w:val="17"/>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序号</w:t>
            </w:r>
          </w:p>
        </w:tc>
        <w:tc>
          <w:tcPr>
            <w:tcW w:w="3450"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术语</w:t>
            </w:r>
          </w:p>
        </w:tc>
        <w:tc>
          <w:tcPr>
            <w:tcW w:w="5933"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1</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信用卡审批系统（CAMS， Credit Card Approval Management System）</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第三方查询模块（TQM，Third Party Query Module）</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3</w:t>
            </w:r>
          </w:p>
        </w:tc>
        <w:tc>
          <w:tcPr>
            <w:tcW w:w="3450"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客户</w:t>
            </w:r>
          </w:p>
        </w:tc>
        <w:tc>
          <w:tcPr>
            <w:tcW w:w="5933"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华夏银行信用卡中心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4</w:t>
            </w:r>
          </w:p>
        </w:tc>
        <w:tc>
          <w:tcPr>
            <w:tcW w:w="3450"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厂商</w:t>
            </w:r>
          </w:p>
        </w:tc>
        <w:tc>
          <w:tcPr>
            <w:tcW w:w="5933"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上海中软华腾软件系统有限公司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查询请求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bookmarkStart w:id="6" w:name="_Toc17982170"/>
            <w:r>
              <w:rPr>
                <w:rFonts w:hint="eastAsia" w:ascii="Times New Roman" w:hAnsi="Times New Roman" w:eastAsia="宋体" w:cs="Times New Roman"/>
                <w:sz w:val="24"/>
                <w:lang w:val="en-US" w:eastAsia="zh-CN"/>
              </w:rPr>
              <w:t>6</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查找请求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2"/>
        </w:numPr>
        <w:rPr>
          <w:rFonts w:ascii="黑体" w:hAnsi="黑体" w:eastAsia="黑体"/>
          <w:b w:val="0"/>
        </w:rPr>
      </w:pPr>
      <w:bookmarkStart w:id="7" w:name="_Toc22700"/>
      <w:r>
        <w:rPr>
          <w:rFonts w:hint="eastAsia" w:ascii="黑体" w:hAnsi="黑体" w:eastAsia="黑体"/>
          <w:b w:val="0"/>
        </w:rPr>
        <w:t>参考资料</w:t>
      </w:r>
      <w:bookmarkEnd w:id="6"/>
      <w:bookmarkEnd w:id="7"/>
    </w:p>
    <w:p>
      <w:pPr>
        <w:spacing w:beforeLines="50" w:afterLines="50" w:line="480" w:lineRule="exact"/>
        <w:ind w:firstLine="480" w:firstLineChars="200"/>
        <w:rPr>
          <w:rFonts w:ascii="Times New Roman" w:cs="Times New Roman"/>
          <w:sz w:val="24"/>
        </w:rPr>
      </w:pPr>
      <w:r>
        <w:rPr>
          <w:rFonts w:hint="eastAsia" w:ascii="Times New Roman" w:cs="Times New Roman"/>
          <w:sz w:val="24"/>
        </w:rPr>
        <w:t>本文档编制参考如下需求文档：</w:t>
      </w:r>
    </w:p>
    <w:p>
      <w:pPr>
        <w:numPr>
          <w:ilvl w:val="0"/>
          <w:numId w:val="3"/>
        </w:numPr>
        <w:spacing w:beforeLines="50" w:afterLines="50" w:line="480" w:lineRule="exact"/>
        <w:ind w:left="0" w:leftChars="0" w:firstLine="480" w:firstLineChars="200"/>
        <w:rPr>
          <w:rFonts w:hint="eastAsia" w:ascii="Times New Roman" w:cs="Times New Roman"/>
          <w:sz w:val="24"/>
        </w:rPr>
      </w:pPr>
      <w:r>
        <w:rPr>
          <w:rFonts w:hint="eastAsia" w:ascii="Times New Roman" w:cs="Times New Roman"/>
          <w:sz w:val="24"/>
        </w:rPr>
        <w:t>《</w:t>
      </w:r>
      <w:r>
        <w:rPr>
          <w:rFonts w:hint="eastAsia" w:ascii="Times New Roman" w:cs="Times New Roman"/>
          <w:sz w:val="24"/>
          <w:lang w:val="en-US" w:eastAsia="zh-CN"/>
        </w:rPr>
        <w:t>附件1华夏银行信用卡中心信息科技项目需求书v1.2</w:t>
      </w:r>
      <w:r>
        <w:rPr>
          <w:rFonts w:hint="eastAsia" w:ascii="Times New Roman" w:cs="Times New Roman"/>
          <w:sz w:val="24"/>
        </w:rPr>
        <w:t>》</w:t>
      </w:r>
    </w:p>
    <w:p>
      <w:pPr>
        <w:numPr>
          <w:ilvl w:val="0"/>
          <w:numId w:val="3"/>
        </w:numPr>
        <w:spacing w:beforeLines="50" w:afterLines="50" w:line="480" w:lineRule="exact"/>
        <w:ind w:left="0" w:leftChars="0" w:firstLine="480" w:firstLineChars="200"/>
        <w:rPr>
          <w:rFonts w:hint="eastAsia" w:ascii="Times New Roman" w:cs="Times New Roman"/>
          <w:sz w:val="24"/>
        </w:rPr>
      </w:pPr>
      <w:r>
        <w:rPr>
          <w:rFonts w:hint="eastAsia" w:ascii="Times New Roman" w:cs="Times New Roman"/>
          <w:sz w:val="24"/>
        </w:rPr>
        <w:t>《</w:t>
      </w:r>
      <w:r>
        <w:rPr>
          <w:rFonts w:hint="eastAsia" w:ascii="Times New Roman" w:cs="Times New Roman"/>
          <w:sz w:val="24"/>
          <w:lang w:val="en-US" w:eastAsia="zh-CN"/>
        </w:rPr>
        <w:t>华夏银行信用卡中心预审流程优化需求技术方案V1.1</w:t>
      </w:r>
      <w:r>
        <w:rPr>
          <w:rFonts w:hint="eastAsia" w:ascii="Times New Roman" w:cs="Times New Roman"/>
          <w:sz w:val="24"/>
        </w:rPr>
        <w:t>》</w:t>
      </w:r>
    </w:p>
    <w:p>
      <w:pPr>
        <w:pStyle w:val="2"/>
        <w:numPr>
          <w:ilvl w:val="0"/>
          <w:numId w:val="1"/>
        </w:numPr>
        <w:tabs>
          <w:tab w:val="clear" w:pos="312"/>
        </w:tabs>
        <w:snapToGrid w:val="0"/>
        <w:spacing w:beforeLines="100" w:afterLines="100" w:line="1000" w:lineRule="exact"/>
        <w:ind w:left="720" w:hanging="720"/>
        <w:rPr>
          <w:rFonts w:ascii="黑体" w:hAnsi="黑体" w:eastAsia="黑体" w:cs="黑体"/>
          <w:b w:val="0"/>
          <w:sz w:val="36"/>
          <w:szCs w:val="36"/>
        </w:rPr>
      </w:pPr>
      <w:bookmarkStart w:id="8" w:name="_Toc14308"/>
      <w:r>
        <w:rPr>
          <w:rFonts w:hint="eastAsia" w:ascii="黑体" w:hAnsi="黑体" w:eastAsia="黑体" w:cs="黑体"/>
          <w:b w:val="0"/>
          <w:sz w:val="36"/>
          <w:szCs w:val="36"/>
        </w:rPr>
        <w:t>项目概述</w:t>
      </w:r>
      <w:bookmarkEnd w:id="8"/>
    </w:p>
    <w:p>
      <w:pPr>
        <w:pStyle w:val="3"/>
        <w:numPr>
          <w:ilvl w:val="0"/>
          <w:numId w:val="4"/>
        </w:numPr>
        <w:rPr>
          <w:rFonts w:ascii="黑体" w:hAnsi="黑体" w:eastAsia="黑体"/>
          <w:b w:val="0"/>
        </w:rPr>
      </w:pPr>
      <w:bookmarkStart w:id="9" w:name="_Toc2070"/>
      <w:r>
        <w:rPr>
          <w:rFonts w:hint="eastAsia" w:ascii="黑体" w:hAnsi="黑体" w:eastAsia="黑体"/>
          <w:b w:val="0"/>
        </w:rPr>
        <w:t>产品描述</w:t>
      </w:r>
      <w:bookmarkEnd w:id="9"/>
    </w:p>
    <w:p>
      <w:pPr>
        <w:spacing w:beforeLines="50" w:afterLines="50" w:line="480" w:lineRule="exact"/>
        <w:ind w:firstLine="480" w:firstLineChars="200"/>
        <w:rPr>
          <w:rFonts w:hint="eastAsia" w:ascii="Times New Roman" w:cs="Times New Roman"/>
          <w:sz w:val="24"/>
          <w:lang w:val="en-US" w:eastAsia="zh-CN"/>
        </w:rPr>
      </w:pPr>
      <w:r>
        <w:rPr>
          <w:rFonts w:hint="eastAsia" w:ascii="Times New Roman" w:cs="Times New Roman"/>
          <w:sz w:val="24"/>
          <w:lang w:eastAsia="zh-CN"/>
        </w:rPr>
        <w:t>华夏银行信用卡审批系统是行内信用卡主要申请审核业务系统，承载前端网申进件、</w:t>
      </w:r>
      <w:r>
        <w:rPr>
          <w:rFonts w:hint="eastAsia" w:ascii="Times New Roman" w:cs="Times New Roman"/>
          <w:sz w:val="24"/>
          <w:lang w:val="en-US" w:eastAsia="zh-CN"/>
        </w:rPr>
        <w:t>PAD进件、纸制进件三类渠道信用卡申请件处理任务，通过对接决策系统、反欺诈系统提供业务审批参考依据，加强审批欺诈风险控制。同时，利用第三方数据源征信查询结果，提升征信核查效率和业务操作效率，是行内信用卡业务处理重要系统之一。</w:t>
      </w:r>
    </w:p>
    <w:p>
      <w:pPr>
        <w:spacing w:beforeLines="50" w:afterLines="50" w:line="480" w:lineRule="exact"/>
        <w:ind w:firstLine="480" w:firstLineChars="200"/>
        <w:rPr>
          <w:rFonts w:hint="default" w:ascii="Times New Roman" w:cs="Times New Roman"/>
          <w:sz w:val="24"/>
          <w:lang w:val="en-US" w:eastAsia="zh-CN"/>
        </w:rPr>
      </w:pPr>
      <w:r>
        <w:rPr>
          <w:rFonts w:hint="eastAsia" w:ascii="Times New Roman" w:cs="Times New Roman"/>
          <w:sz w:val="24"/>
          <w:lang w:val="en-US" w:eastAsia="zh-CN"/>
        </w:rPr>
        <w:t>通过搭建预审模块，对录入端后送的申请件进行初步筛选，并进行分类，预审模块将筛选后，对申请件所打标签后送至审核系统，以更好辅助信用卡审批工作，提高自动化审批程度。</w:t>
      </w:r>
    </w:p>
    <w:p>
      <w:pPr>
        <w:pStyle w:val="3"/>
        <w:numPr>
          <w:ilvl w:val="0"/>
          <w:numId w:val="4"/>
        </w:numPr>
        <w:rPr>
          <w:rFonts w:ascii="黑体" w:hAnsi="黑体" w:eastAsia="黑体"/>
          <w:b w:val="0"/>
        </w:rPr>
      </w:pPr>
      <w:bookmarkStart w:id="10" w:name="_Toc7778"/>
      <w:r>
        <w:rPr>
          <w:rFonts w:hint="eastAsia" w:ascii="黑体" w:hAnsi="黑体" w:eastAsia="黑体"/>
          <w:b w:val="0"/>
        </w:rPr>
        <w:t>产品功能</w:t>
      </w:r>
      <w:bookmarkEnd w:id="10"/>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val="en-US" w:eastAsia="zh-CN"/>
        </w:rPr>
        <w:t>预审</w:t>
      </w:r>
      <w:r>
        <w:rPr>
          <w:rFonts w:hint="eastAsia" w:ascii="Times New Roman" w:cs="Times New Roman"/>
          <w:sz w:val="24"/>
          <w:lang w:eastAsia="zh-CN"/>
        </w:rPr>
        <w:t>系统功能优化功能如下</w:t>
      </w:r>
      <w:r>
        <w:rPr>
          <w:rFonts w:hint="eastAsia" w:ascii="Times New Roman" w:cs="Times New Roman"/>
          <w:sz w:val="24"/>
        </w:rPr>
        <w:t>：</w:t>
      </w:r>
    </w:p>
    <w:p>
      <w:pPr>
        <w:pStyle w:val="18"/>
        <w:numPr>
          <w:ilvl w:val="0"/>
          <w:numId w:val="5"/>
        </w:numPr>
        <w:spacing w:beforeLines="50" w:afterLines="50" w:line="480" w:lineRule="exact"/>
        <w:ind w:firstLineChars="0"/>
        <w:rPr>
          <w:rFonts w:hint="eastAsia" w:ascii="Times New Roman" w:cs="Times New Roman"/>
          <w:sz w:val="24"/>
        </w:rPr>
      </w:pPr>
      <w:r>
        <w:rPr>
          <w:rFonts w:hint="eastAsia" w:ascii="Times New Roman" w:cs="Times New Roman"/>
          <w:sz w:val="24"/>
          <w:lang w:val="en-US" w:eastAsia="zh-CN"/>
        </w:rPr>
        <w:t>流程设计</w:t>
      </w:r>
    </w:p>
    <w:p>
      <w:pPr>
        <w:pStyle w:val="18"/>
        <w:numPr>
          <w:ilvl w:val="0"/>
          <w:numId w:val="5"/>
        </w:numPr>
        <w:spacing w:beforeLines="50" w:afterLines="50" w:line="480" w:lineRule="exact"/>
        <w:ind w:firstLineChars="0"/>
        <w:rPr>
          <w:rFonts w:hint="eastAsia" w:ascii="Times New Roman" w:cs="Times New Roman"/>
          <w:sz w:val="24"/>
        </w:rPr>
      </w:pPr>
      <w:bookmarkStart w:id="11" w:name="_Toc16692"/>
      <w:r>
        <w:rPr>
          <w:rFonts w:hint="eastAsia" w:ascii="Times New Roman" w:cs="Times New Roman"/>
          <w:sz w:val="24"/>
          <w:lang w:val="en-US" w:eastAsia="zh-CN"/>
        </w:rPr>
        <w:t>预审模块内流程</w:t>
      </w:r>
      <w:bookmarkEnd w:id="11"/>
      <w:r>
        <w:rPr>
          <w:rFonts w:hint="eastAsia" w:ascii="Times New Roman" w:cs="Times New Roman"/>
          <w:sz w:val="24"/>
          <w:lang w:val="en-US" w:eastAsia="zh-CN"/>
        </w:rPr>
        <w:t xml:space="preserve"> </w:t>
      </w:r>
    </w:p>
    <w:p>
      <w:pPr>
        <w:pStyle w:val="18"/>
        <w:numPr>
          <w:ilvl w:val="0"/>
          <w:numId w:val="5"/>
        </w:numPr>
        <w:spacing w:beforeLines="50" w:afterLines="50" w:line="480" w:lineRule="exact"/>
        <w:ind w:firstLineChars="0"/>
        <w:rPr>
          <w:rFonts w:hint="eastAsia" w:ascii="Times New Roman" w:cs="Times New Roman"/>
          <w:sz w:val="24"/>
        </w:rPr>
      </w:pPr>
      <w:r>
        <w:rPr>
          <w:rFonts w:hint="eastAsia" w:ascii="Times New Roman" w:cs="Times New Roman"/>
          <w:sz w:val="24"/>
          <w:lang w:val="en-US" w:eastAsia="zh-CN"/>
        </w:rPr>
        <w:t>预审人工环节</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审批系统功能优化功能如下</w:t>
      </w:r>
      <w:r>
        <w:rPr>
          <w:rFonts w:hint="eastAsia" w:ascii="Times New Roman" w:cs="Times New Roman"/>
          <w:sz w:val="24"/>
        </w:rPr>
        <w:t>：</w:t>
      </w:r>
    </w:p>
    <w:p>
      <w:pPr>
        <w:pStyle w:val="18"/>
        <w:numPr>
          <w:numId w:val="0"/>
        </w:numPr>
        <w:spacing w:beforeLines="50" w:afterLines="50" w:line="480" w:lineRule="exact"/>
        <w:ind w:left="480" w:leftChars="0"/>
        <w:rPr>
          <w:rFonts w:hint="eastAsia" w:ascii="Times New Roman" w:cs="Times New Roman"/>
          <w:sz w:val="24"/>
          <w:lang w:val="en-US" w:eastAsia="zh-CN"/>
        </w:rPr>
      </w:pPr>
      <w:bookmarkStart w:id="12" w:name="_Toc19170"/>
      <w:r>
        <w:rPr>
          <w:rFonts w:hint="eastAsia" w:ascii="Times New Roman" w:cs="Times New Roman"/>
          <w:sz w:val="24"/>
          <w:lang w:val="en-US" w:eastAsia="zh-CN"/>
        </w:rPr>
        <w:t>1、审批系统配套升级改造</w:t>
      </w:r>
      <w:bookmarkEnd w:id="12"/>
    </w:p>
    <w:p>
      <w:pPr>
        <w:pStyle w:val="18"/>
        <w:numPr>
          <w:numId w:val="0"/>
        </w:numPr>
        <w:spacing w:beforeLines="50" w:afterLines="50" w:line="480" w:lineRule="exact"/>
        <w:ind w:left="480" w:leftChars="0"/>
        <w:rPr>
          <w:rFonts w:hint="eastAsia" w:ascii="Times New Roman" w:cs="Times New Roman"/>
          <w:sz w:val="24"/>
          <w:lang w:val="en-US" w:eastAsia="zh-CN"/>
        </w:rPr>
      </w:pPr>
      <w:r>
        <w:rPr>
          <w:rFonts w:hint="eastAsia" w:ascii="Times New Roman" w:cs="Times New Roman"/>
          <w:sz w:val="24"/>
          <w:lang w:val="en-US" w:eastAsia="zh-CN"/>
        </w:rPr>
        <w:t>2、风险案件协查</w:t>
      </w:r>
    </w:p>
    <w:p>
      <w:pPr>
        <w:pStyle w:val="3"/>
        <w:numPr>
          <w:ilvl w:val="0"/>
          <w:numId w:val="4"/>
        </w:numPr>
        <w:rPr>
          <w:rFonts w:ascii="黑体" w:hAnsi="黑体" w:eastAsia="黑体"/>
          <w:b w:val="0"/>
        </w:rPr>
      </w:pPr>
      <w:bookmarkStart w:id="13" w:name="_Toc5507"/>
      <w:r>
        <w:rPr>
          <w:rFonts w:hint="eastAsia" w:ascii="黑体" w:hAnsi="黑体" w:eastAsia="黑体"/>
          <w:b w:val="0"/>
        </w:rPr>
        <w:t>用户场景</w:t>
      </w:r>
      <w:bookmarkEnd w:id="13"/>
    </w:p>
    <w:p>
      <w:pPr>
        <w:numPr>
          <w:ilvl w:val="0"/>
          <w:numId w:val="6"/>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审批系统</w:t>
      </w:r>
    </w:p>
    <w:p>
      <w:pPr>
        <w:spacing w:beforeLines="50" w:afterLines="50" w:line="480" w:lineRule="exact"/>
        <w:ind w:firstLine="480" w:firstLineChars="200"/>
        <w:rPr>
          <w:rFonts w:hint="eastAsia" w:ascii="Times New Roman" w:cs="Times New Roman"/>
          <w:sz w:val="24"/>
          <w:lang w:eastAsia="zh-CN"/>
        </w:rPr>
      </w:pPr>
      <w:r>
        <w:rPr>
          <w:rFonts w:hint="eastAsia" w:ascii="Times New Roman" w:cs="Times New Roman"/>
          <w:sz w:val="24"/>
        </w:rPr>
        <w:t>业务操作人员日常操作使用场景</w:t>
      </w:r>
      <w:r>
        <w:rPr>
          <w:rFonts w:hint="eastAsia" w:ascii="Times New Roman" w:cs="Times New Roman"/>
          <w:sz w:val="24"/>
          <w:lang w:eastAsia="zh-CN"/>
        </w:rPr>
        <w:t>与现有审批系统操作保持一致。</w:t>
      </w:r>
    </w:p>
    <w:p>
      <w:pPr>
        <w:numPr>
          <w:ilvl w:val="0"/>
          <w:numId w:val="6"/>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第三方查询模块</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通过对华夏银行信用卡中心业务操作人员日常操作行为分析，以及与业务需求方深入沟通，总结第三方查询模块系统使用用户场景如下：</w:t>
      </w:r>
    </w:p>
    <w:p>
      <w:pPr>
        <w:pStyle w:val="18"/>
        <w:numPr>
          <w:ilvl w:val="0"/>
          <w:numId w:val="7"/>
        </w:numPr>
        <w:spacing w:beforeLines="50" w:afterLines="50" w:line="480" w:lineRule="exact"/>
        <w:ind w:firstLineChars="0"/>
        <w:rPr>
          <w:rFonts w:hint="eastAsia" w:ascii="Times New Roman" w:cs="Times New Roman"/>
          <w:b/>
          <w:sz w:val="24"/>
        </w:rPr>
      </w:pPr>
      <w:r>
        <w:rPr>
          <w:rFonts w:hint="eastAsia" w:ascii="Times New Roman" w:cs="Times New Roman"/>
          <w:b/>
          <w:sz w:val="24"/>
        </w:rPr>
        <w:t>正常时间段（09:00~17:00）业务查询操作</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操作员拥有查询权限，在此时间范围内的征信数据源查询请求不受限制。</w:t>
      </w:r>
    </w:p>
    <w:p>
      <w:pPr>
        <w:pStyle w:val="18"/>
        <w:numPr>
          <w:ilvl w:val="0"/>
          <w:numId w:val="7"/>
        </w:numPr>
        <w:spacing w:beforeLines="50" w:afterLines="50" w:line="480" w:lineRule="exact"/>
        <w:ind w:firstLineChars="0"/>
        <w:rPr>
          <w:rFonts w:hint="eastAsia" w:ascii="Times New Roman" w:cs="Times New Roman"/>
          <w:b/>
          <w:sz w:val="24"/>
        </w:rPr>
      </w:pPr>
      <w:r>
        <w:rPr>
          <w:rFonts w:hint="eastAsia" w:ascii="Times New Roman" w:cs="Times New Roman"/>
          <w:b/>
          <w:sz w:val="24"/>
        </w:rPr>
        <w:t>非正常时间段（00:01~09:00、17:01~00:00）业务查询操作</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操作员拥有查询权限且由管理员添加了非正常时间查询例外，则在指定例外时间范围内允许查询，否则不允许查询。</w:t>
      </w:r>
    </w:p>
    <w:p>
      <w:pPr>
        <w:spacing w:beforeLines="50" w:afterLines="50" w:line="480" w:lineRule="exact"/>
        <w:ind w:firstLine="480" w:firstLineChars="200"/>
        <w:rPr>
          <w:rFonts w:hint="eastAsia" w:ascii="Times New Roman" w:cs="Times New Roman"/>
          <w:sz w:val="24"/>
          <w:lang w:val="en-US" w:eastAsia="zh-CN"/>
        </w:rPr>
      </w:pPr>
    </w:p>
    <w:p>
      <w:pPr>
        <w:pStyle w:val="3"/>
        <w:numPr>
          <w:ilvl w:val="0"/>
          <w:numId w:val="4"/>
        </w:numPr>
        <w:rPr>
          <w:rFonts w:ascii="黑体" w:hAnsi="黑体" w:eastAsia="黑体"/>
          <w:b w:val="0"/>
        </w:rPr>
      </w:pPr>
      <w:bookmarkStart w:id="14" w:name="_Toc22020"/>
      <w:r>
        <w:rPr>
          <w:rFonts w:hint="eastAsia" w:ascii="黑体" w:hAnsi="黑体" w:eastAsia="黑体"/>
          <w:b w:val="0"/>
        </w:rPr>
        <w:t>一般约束</w:t>
      </w:r>
      <w:bookmarkEnd w:id="14"/>
    </w:p>
    <w:p>
      <w:pPr>
        <w:spacing w:beforeLines="50" w:afterLines="50" w:line="480" w:lineRule="exact"/>
        <w:ind w:firstLine="480" w:firstLineChars="200"/>
        <w:rPr>
          <w:rFonts w:ascii="Times New Roman" w:cs="Times New Roman"/>
          <w:sz w:val="24"/>
        </w:rPr>
      </w:pPr>
      <w:r>
        <w:rPr>
          <w:rFonts w:hint="eastAsia" w:ascii="Times New Roman" w:cs="Times New Roman"/>
          <w:sz w:val="24"/>
        </w:rPr>
        <w:t>第三方查询模块</w:t>
      </w:r>
      <w:r>
        <w:rPr>
          <w:rFonts w:hint="eastAsia" w:ascii="Times New Roman" w:cs="Times New Roman"/>
          <w:sz w:val="24"/>
          <w:lang w:val="en-US" w:eastAsia="zh-CN"/>
        </w:rPr>
        <w:t>和预审</w:t>
      </w:r>
      <w:r>
        <w:rPr>
          <w:rFonts w:hint="eastAsia" w:ascii="Times New Roman" w:cs="Times New Roman"/>
          <w:sz w:val="24"/>
        </w:rPr>
        <w:t>开发实施一般约束如下：</w:t>
      </w:r>
    </w:p>
    <w:p>
      <w:pPr>
        <w:pStyle w:val="19"/>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开发语言：JAVA（1.7）</w:t>
      </w:r>
    </w:p>
    <w:p>
      <w:pPr>
        <w:pStyle w:val="19"/>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开发平台：Eclipse（4.5.2）</w:t>
      </w:r>
    </w:p>
    <w:p>
      <w:pPr>
        <w:pStyle w:val="19"/>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中间件：</w:t>
      </w:r>
      <w:r>
        <w:rPr>
          <w:rFonts w:hint="eastAsia" w:ascii="Times New Roman" w:cs="Times New Roman"/>
          <w:sz w:val="24"/>
          <w:szCs w:val="24"/>
          <w:lang w:val="en-US" w:eastAsia="zh-CN"/>
        </w:rPr>
        <w:t>Dubbo</w:t>
      </w:r>
      <w:r>
        <w:rPr>
          <w:rFonts w:hint="eastAsia" w:ascii="Times New Roman" w:cs="Times New Roman"/>
          <w:sz w:val="24"/>
          <w:szCs w:val="24"/>
        </w:rPr>
        <w:t>（</w:t>
      </w:r>
      <w:r>
        <w:rPr>
          <w:rFonts w:hint="eastAsia" w:ascii="Times New Roman" w:cs="Times New Roman"/>
          <w:sz w:val="24"/>
          <w:szCs w:val="24"/>
          <w:lang w:val="en-US" w:eastAsia="zh-CN"/>
        </w:rPr>
        <w:t>2.6.2</w:t>
      </w:r>
      <w:r>
        <w:rPr>
          <w:rFonts w:hint="eastAsia" w:ascii="Times New Roman" w:cs="Times New Roman"/>
          <w:sz w:val="24"/>
          <w:szCs w:val="24"/>
        </w:rPr>
        <w:t>）、Redis（</w:t>
      </w:r>
      <w:r>
        <w:rPr>
          <w:rFonts w:ascii="Times New Roman" w:cs="Times New Roman"/>
          <w:sz w:val="24"/>
          <w:szCs w:val="24"/>
        </w:rPr>
        <w:t>2.8.20</w:t>
      </w:r>
      <w:r>
        <w:rPr>
          <w:rFonts w:hint="eastAsia" w:ascii="Times New Roman" w:cs="Times New Roman"/>
          <w:sz w:val="24"/>
          <w:szCs w:val="24"/>
        </w:rPr>
        <w:t>）、Tomcat（</w:t>
      </w:r>
      <w:r>
        <w:rPr>
          <w:rFonts w:ascii="Times New Roman" w:cs="Times New Roman"/>
          <w:sz w:val="24"/>
          <w:szCs w:val="24"/>
        </w:rPr>
        <w:t>7.0.94</w:t>
      </w:r>
      <w:r>
        <w:rPr>
          <w:rFonts w:hint="eastAsia" w:ascii="Times New Roman" w:cs="Times New Roman"/>
          <w:sz w:val="24"/>
          <w:szCs w:val="24"/>
        </w:rPr>
        <w:t>）</w:t>
      </w:r>
    </w:p>
    <w:p>
      <w:pPr>
        <w:pStyle w:val="19"/>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数据库：Oracle 11g</w:t>
      </w:r>
    </w:p>
    <w:p>
      <w:pPr>
        <w:pStyle w:val="3"/>
        <w:numPr>
          <w:ilvl w:val="0"/>
          <w:numId w:val="4"/>
        </w:numPr>
        <w:rPr>
          <w:rFonts w:ascii="黑体" w:hAnsi="黑体" w:eastAsia="黑体"/>
          <w:b w:val="0"/>
        </w:rPr>
      </w:pPr>
      <w:bookmarkStart w:id="15" w:name="_Toc26374"/>
      <w:r>
        <w:rPr>
          <w:rFonts w:hint="eastAsia" w:ascii="黑体" w:hAnsi="黑体" w:eastAsia="黑体"/>
          <w:b w:val="0"/>
        </w:rPr>
        <w:t>假设与依据</w:t>
      </w:r>
      <w:bookmarkEnd w:id="15"/>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审批</w:t>
      </w:r>
      <w:r>
        <w:rPr>
          <w:rFonts w:hint="eastAsia" w:ascii="Times New Roman" w:cs="Times New Roman"/>
          <w:sz w:val="24"/>
        </w:rPr>
        <w:t>系统开发实施前，假设项目团队人员已经知悉所要开发的需求功能以及明确业务需求要求，其开发实施依据业务团队提供的《附件1华夏银行信用卡中心信息科技项目需求书v1.2》需求文档，非需求文档内业务需求不在开发实施范围内，项目团队有权拒绝开发实施。</w:t>
      </w:r>
    </w:p>
    <w:p>
      <w:pPr>
        <w:pStyle w:val="2"/>
        <w:numPr>
          <w:ilvl w:val="0"/>
          <w:numId w:val="1"/>
        </w:numPr>
        <w:tabs>
          <w:tab w:val="clear" w:pos="312"/>
        </w:tabs>
        <w:snapToGrid w:val="0"/>
        <w:spacing w:beforeLines="100" w:afterLines="100" w:line="1000" w:lineRule="exact"/>
        <w:ind w:left="720" w:hanging="720"/>
        <w:rPr>
          <w:rFonts w:hint="eastAsia" w:ascii="黑体" w:hAnsi="黑体" w:eastAsia="黑体" w:cs="黑体"/>
          <w:b w:val="0"/>
          <w:sz w:val="36"/>
          <w:szCs w:val="36"/>
          <w:lang w:val="en-US" w:eastAsia="zh-CN"/>
        </w:rPr>
      </w:pPr>
      <w:bookmarkStart w:id="16" w:name="_Toc12253"/>
      <w:r>
        <w:rPr>
          <w:rFonts w:hint="eastAsia" w:ascii="黑体" w:hAnsi="黑体" w:eastAsia="黑体" w:cs="黑体"/>
          <w:b w:val="0"/>
          <w:sz w:val="36"/>
          <w:szCs w:val="36"/>
          <w:lang w:val="en-US" w:eastAsia="zh-CN"/>
        </w:rPr>
        <w:t>具体要求</w:t>
      </w:r>
      <w:bookmarkEnd w:id="16"/>
    </w:p>
    <w:p>
      <w:pPr>
        <w:pStyle w:val="3"/>
        <w:numPr>
          <w:ilvl w:val="0"/>
          <w:numId w:val="9"/>
        </w:numPr>
        <w:rPr>
          <w:rFonts w:hint="eastAsia" w:ascii="黑体" w:hAnsi="黑体" w:eastAsia="黑体"/>
          <w:b w:val="0"/>
        </w:rPr>
      </w:pPr>
      <w:bookmarkStart w:id="17" w:name="_Toc18287"/>
      <w:r>
        <w:rPr>
          <w:rFonts w:hint="eastAsia" w:ascii="黑体" w:hAnsi="黑体" w:eastAsia="黑体"/>
          <w:b w:val="0"/>
        </w:rPr>
        <w:t>功能清单</w:t>
      </w:r>
      <w:bookmarkEnd w:id="17"/>
    </w:p>
    <w:tbl>
      <w:tblPr>
        <w:tblStyle w:val="1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1"/>
        <w:gridCol w:w="3660"/>
        <w:gridCol w:w="3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651" w:type="dxa"/>
            <w:shd w:val="clear" w:color="auto" w:fill="D8D8D8"/>
            <w:vAlign w:val="center"/>
          </w:tcPr>
          <w:p>
            <w:pPr>
              <w:spacing w:line="240" w:lineRule="atLeast"/>
              <w:jc w:val="center"/>
              <w:rPr>
                <w:rFonts w:hint="eastAsia" w:ascii="黑体" w:hAnsi="黑体" w:eastAsia="黑体" w:cs="Times New Roman"/>
                <w:sz w:val="24"/>
              </w:rPr>
            </w:pPr>
            <w:r>
              <w:rPr>
                <w:rFonts w:hint="eastAsia" w:ascii="黑体" w:hAnsi="黑体" w:eastAsia="黑体" w:cs="Times New Roman"/>
                <w:sz w:val="24"/>
              </w:rPr>
              <w:t>系统名称</w:t>
            </w:r>
          </w:p>
        </w:tc>
        <w:tc>
          <w:tcPr>
            <w:tcW w:w="3660" w:type="dxa"/>
            <w:shd w:val="clear" w:color="auto" w:fill="D8D8D8"/>
            <w:vAlign w:val="center"/>
          </w:tcPr>
          <w:p>
            <w:pPr>
              <w:spacing w:line="240" w:lineRule="atLeast"/>
              <w:jc w:val="center"/>
              <w:rPr>
                <w:rFonts w:hint="eastAsia" w:ascii="黑体" w:hAnsi="黑体" w:eastAsia="黑体" w:cs="Times New Roman"/>
                <w:sz w:val="24"/>
              </w:rPr>
            </w:pPr>
            <w:r>
              <w:rPr>
                <w:rFonts w:hint="eastAsia" w:ascii="黑体" w:hAnsi="黑体" w:eastAsia="黑体" w:cs="Times New Roman"/>
                <w:sz w:val="24"/>
              </w:rPr>
              <w:t>一级功能名称</w:t>
            </w:r>
          </w:p>
        </w:tc>
        <w:tc>
          <w:tcPr>
            <w:tcW w:w="3895" w:type="dxa"/>
            <w:shd w:val="clear" w:color="auto" w:fill="D8D8D8"/>
            <w:vAlign w:val="center"/>
          </w:tcPr>
          <w:p>
            <w:pPr>
              <w:jc w:val="center"/>
              <w:rPr>
                <w:rFonts w:hint="eastAsia" w:ascii="黑体" w:hAnsi="黑体" w:eastAsia="黑体" w:cs="Times New Roman"/>
                <w:sz w:val="24"/>
              </w:rPr>
            </w:pPr>
            <w:r>
              <w:rPr>
                <w:rFonts w:hint="eastAsia" w:ascii="黑体" w:hAnsi="黑体" w:eastAsia="黑体" w:cs="Times New Roman"/>
                <w:sz w:val="24"/>
              </w:rPr>
              <w:t>二级功能名称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restart"/>
            <w:vAlign w:val="center"/>
          </w:tcPr>
          <w:p>
            <w:pPr>
              <w:spacing w:line="24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预审</w:t>
            </w:r>
            <w:r>
              <w:rPr>
                <w:rFonts w:hint="eastAsia" w:ascii="Times New Roman" w:hAnsi="Times New Roman" w:eastAsia="宋体" w:cs="Times New Roman"/>
                <w:sz w:val="24"/>
                <w:lang w:eastAsia="zh-CN"/>
              </w:rPr>
              <w:t>系统</w:t>
            </w: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流程设计</w:t>
            </w:r>
          </w:p>
        </w:tc>
        <w:tc>
          <w:tcPr>
            <w:tcW w:w="3895" w:type="dxa"/>
            <w:vAlign w:val="top"/>
          </w:tcPr>
          <w:p>
            <w:pPr>
              <w:spacing w:line="240" w:lineRule="atLeast"/>
              <w:rPr>
                <w:rFonts w:hint="eastAsia"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ascii="Times New Roman" w:hAnsi="Times New Roman" w:eastAsia="宋体" w:cs="Times New Roman"/>
                <w:sz w:val="24"/>
              </w:rPr>
            </w:pPr>
            <w:r>
              <w:rPr>
                <w:rFonts w:hint="eastAsia" w:ascii="Times New Roman" w:hAnsi="Times New Roman" w:eastAsia="宋体" w:cs="Times New Roman"/>
                <w:sz w:val="24"/>
              </w:rPr>
              <w:t>预审模块内流程</w:t>
            </w:r>
          </w:p>
        </w:tc>
        <w:tc>
          <w:tcPr>
            <w:tcW w:w="3895" w:type="dxa"/>
            <w:vAlign w:val="top"/>
          </w:tcPr>
          <w:p>
            <w:pPr>
              <w:spacing w:line="240" w:lineRule="atLeast"/>
              <w:rPr>
                <w:rFonts w:hint="eastAsia"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预审人工环节</w:t>
            </w:r>
          </w:p>
        </w:tc>
        <w:tc>
          <w:tcPr>
            <w:tcW w:w="3895" w:type="dxa"/>
            <w:vAlign w:val="center"/>
          </w:tcPr>
          <w:p>
            <w:pPr>
              <w:spacing w:line="240" w:lineRule="atLeast"/>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人工预审流程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预审调查功能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预审操作界面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预审补件功能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预审欺诈调查功能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申请件查询页面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预审质检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参数管理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系统管理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不良营销员查询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restart"/>
            <w:vAlign w:val="center"/>
          </w:tcPr>
          <w:p>
            <w:pPr>
              <w:spacing w:line="240" w:lineRule="atLeast"/>
              <w:jc w:val="center"/>
              <w:rPr>
                <w:rFonts w:ascii="Times New Roman" w:hAnsi="Times New Roman" w:eastAsia="宋体" w:cs="Times New Roman"/>
                <w:sz w:val="24"/>
              </w:rPr>
            </w:pPr>
            <w:r>
              <w:rPr>
                <w:rFonts w:hint="eastAsia" w:ascii="Times New Roman" w:hAnsi="Times New Roman" w:eastAsia="宋体" w:cs="Times New Roman"/>
                <w:sz w:val="24"/>
                <w:lang w:val="en-US" w:eastAsia="zh-CN"/>
              </w:rPr>
              <w:t>审批</w:t>
            </w:r>
            <w:r>
              <w:rPr>
                <w:rFonts w:hint="eastAsia" w:ascii="Times New Roman" w:hAnsi="Times New Roman" w:eastAsia="宋体" w:cs="Times New Roman"/>
                <w:sz w:val="24"/>
                <w:lang w:eastAsia="zh-CN"/>
              </w:rPr>
              <w:t>系统</w:t>
            </w: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审批系统配套升级改造</w:t>
            </w:r>
          </w:p>
        </w:tc>
        <w:tc>
          <w:tcPr>
            <w:tcW w:w="3895" w:type="dxa"/>
            <w:vAlign w:val="center"/>
          </w:tcPr>
          <w:p>
            <w:pPr>
              <w:spacing w:line="240" w:lineRule="atLeast"/>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申请信息必填项校验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存量客户查询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反欺诈策略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决策策略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三方查询策略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征信策略修改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标准卡分件环节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操作员未完成队列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系统决策TAB页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风险案件协查</w:t>
            </w:r>
          </w:p>
        </w:tc>
        <w:tc>
          <w:tcPr>
            <w:tcW w:w="3895" w:type="dxa"/>
            <w:vAlign w:val="top"/>
          </w:tcPr>
          <w:p>
            <w:pPr>
              <w:spacing w:line="240" w:lineRule="atLeast"/>
              <w:rPr>
                <w:rFonts w:hint="eastAsia" w:ascii="Times New Roman" w:hAnsi="Times New Roman" w:eastAsia="宋体" w:cs="Times New Roman"/>
                <w:sz w:val="24"/>
                <w:lang w:eastAsia="zh-CN"/>
              </w:rPr>
            </w:pPr>
          </w:p>
        </w:tc>
      </w:tr>
    </w:tbl>
    <w:p>
      <w:pPr>
        <w:pStyle w:val="3"/>
        <w:numPr>
          <w:ilvl w:val="0"/>
          <w:numId w:val="9"/>
        </w:numPr>
        <w:rPr>
          <w:rFonts w:hint="eastAsia" w:ascii="黑体" w:hAnsi="黑体" w:eastAsia="黑体"/>
          <w:b w:val="0"/>
        </w:rPr>
      </w:pPr>
      <w:bookmarkStart w:id="18" w:name="_Toc14694"/>
      <w:r>
        <w:rPr>
          <w:rFonts w:hint="eastAsia" w:ascii="黑体" w:hAnsi="黑体" w:eastAsia="黑体"/>
          <w:b w:val="0"/>
        </w:rPr>
        <w:t>功能需求</w:t>
      </w:r>
      <w:bookmarkEnd w:id="18"/>
    </w:p>
    <w:p>
      <w:pPr>
        <w:pStyle w:val="4"/>
        <w:numPr>
          <w:ilvl w:val="0"/>
          <w:numId w:val="10"/>
        </w:numPr>
        <w:ind w:left="720" w:leftChars="0" w:hanging="720" w:firstLineChars="0"/>
        <w:rPr>
          <w:rFonts w:hint="eastAsia" w:ascii="黑体" w:hAnsi="黑体" w:eastAsia="黑体"/>
          <w:b w:val="0"/>
          <w:sz w:val="30"/>
          <w:szCs w:val="30"/>
        </w:rPr>
      </w:pPr>
      <w:bookmarkStart w:id="19" w:name="_Toc19631"/>
      <w:r>
        <w:rPr>
          <w:rFonts w:hint="eastAsia" w:ascii="黑体" w:hAnsi="黑体" w:eastAsia="黑体"/>
          <w:b w:val="0"/>
          <w:sz w:val="30"/>
          <w:szCs w:val="30"/>
        </w:rPr>
        <w:t>流程设计</w:t>
      </w:r>
      <w:bookmarkEnd w:id="19"/>
    </w:p>
    <w:p>
      <w:pPr>
        <w:pStyle w:val="5"/>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PAD或网申/纸质——规则/录入——预审模块——审核</w:t>
      </w:r>
    </w:p>
    <w:p>
      <w:pPr>
        <w:pStyle w:val="5"/>
        <w:ind w:firstLine="56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在反欺诈决策二、反欺诈决策三、反欺诈决策五环节与反欺诈系统交互时，反欺诈决策结果为A的申请件无需与与反欺诈系统交互；在反欺诈决策三环节与反欺诈系统进行交互时，网申件无需与反欺诈系统交互。</w:t>
      </w:r>
    </w:p>
    <w:p>
      <w:pPr>
        <w:pStyle w:val="4"/>
        <w:numPr>
          <w:ilvl w:val="0"/>
          <w:numId w:val="10"/>
        </w:numPr>
        <w:ind w:left="720" w:leftChars="0" w:hanging="720" w:firstLineChars="0"/>
        <w:rPr>
          <w:rFonts w:hint="eastAsia" w:ascii="黑体" w:hAnsi="黑体" w:eastAsia="黑体"/>
          <w:b w:val="0"/>
          <w:sz w:val="30"/>
          <w:szCs w:val="30"/>
        </w:rPr>
      </w:pPr>
      <w:bookmarkStart w:id="20" w:name="_Toc23992"/>
      <w:r>
        <w:rPr>
          <w:rFonts w:hint="eastAsia" w:ascii="黑体" w:hAnsi="黑体" w:eastAsia="黑体"/>
          <w:b w:val="0"/>
          <w:sz w:val="30"/>
          <w:szCs w:val="30"/>
        </w:rPr>
        <w:t>预审模块内流程</w:t>
      </w:r>
      <w:bookmarkEnd w:id="20"/>
    </w:p>
    <w:p>
      <w:p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预审系统构建。</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（1）校验必填项</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（2）废件直接归档，其他申请件存量客户信息查询</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（3）预审模块将申请信息、存量客户信息发送至反欺诈系统，经反欺诈规则校验后产生反欺诈决策结果</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（4）反欺诈决策结果传输至预审模块</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（5）预审模块将申请信息、存量客户信息及反欺诈决策结果传输至决策系统，经规则校验后产生决策结果</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（6）决策结果传输至预审模块</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（7）预审模块根据决策结果判断直接核准、直接拒绝或继续流转</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（8）继续流转的申请件预审模块向三方查询平台发起查询（第一梯队）</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（9）预审模块将申请信息、三方第一梯队查询结果发送至反欺诈系统，经反欺诈规则校验后产生反欺诈决策结果</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（10）反欺诈决策结果传输至预审模块</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（11）预审模块将申请信息、三方信息及反欺诈决策结果传输至决策系统，经规则校验后产生决策结果</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（12）决策结果传输至预审模块</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（13）预审模块根据决策结果判断直接核准、直接拒绝或继续流转</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（14）预审模块将三方第二梯队查询结果发送至反欺诈系统，经反欺诈规则校验后生产反欺诈决策结果</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（15）反欺诈决策结果传输至预审模块</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（16）预审模块将申请信息、三方信息、分行是否开通预审功能（匹配逻辑）、及反欺诈决策结果传输至决策系统，经规则校验后生产决</w:t>
      </w:r>
      <w:bookmarkStart w:id="38" w:name="_GoBack"/>
      <w:bookmarkEnd w:id="38"/>
      <w:r>
        <w:rPr>
          <w:rFonts w:hint="eastAsia" w:ascii="Calibri" w:hAnsi="Calibri" w:eastAsia="宋体" w:cs="黑体"/>
          <w:kern w:val="2"/>
          <w:sz w:val="24"/>
          <w:szCs w:val="24"/>
          <w:lang w:val="en-US" w:eastAsia="zh-CN" w:bidi="ar-SA"/>
        </w:rPr>
        <w:t>策结果</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（17）决策结果传输至预审模块</w:t>
      </w:r>
    </w:p>
    <w:p>
      <w:pPr>
        <w:tabs>
          <w:tab w:val="left" w:pos="200"/>
          <w:tab w:val="left" w:pos="420"/>
        </w:tabs>
        <w:spacing w:line="360" w:lineRule="auto"/>
        <w:ind w:left="359" w:leftChars="171"/>
        <w:jc w:val="left"/>
        <w:rPr>
          <w:rFonts w:hint="eastAsia" w:ascii="Times New Roman" w:cs="Times New Roman"/>
          <w:sz w:val="24"/>
          <w:szCs w:val="24"/>
          <w:lang w:val="en-US" w:eastAsia="zh-CN"/>
        </w:rPr>
      </w:pPr>
      <w:r>
        <w:rPr>
          <w:rFonts w:hint="eastAsia" w:ascii="Calibri" w:hAnsi="Calibri" w:eastAsia="宋体" w:cs="黑体"/>
          <w:kern w:val="2"/>
          <w:sz w:val="24"/>
          <w:szCs w:val="24"/>
          <w:lang w:val="en-US" w:eastAsia="zh-CN" w:bidi="ar-SA"/>
        </w:rPr>
        <w:t>（18）预审模块根据决策结果判断直接核准、直接拒绝、流转至人工或跳过人工继续流转</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21" w:name="_Toc30370"/>
      <w:r>
        <w:rPr>
          <w:rFonts w:hint="eastAsia" w:ascii="黑体" w:hAnsi="黑体" w:eastAsia="黑体"/>
          <w:b w:val="0"/>
          <w:sz w:val="30"/>
          <w:szCs w:val="30"/>
          <w:lang w:val="en-US" w:eastAsia="zh-CN"/>
        </w:rPr>
        <w:t>预审人工环节</w:t>
      </w:r>
      <w:bookmarkEnd w:id="21"/>
    </w:p>
    <w:p>
      <w:pPr>
        <w:spacing w:beforeLines="50" w:afterLines="50" w:line="480" w:lineRule="exact"/>
        <w:ind w:firstLine="480" w:firstLineChars="200"/>
        <w:rPr>
          <w:rFonts w:hint="eastAsia"/>
          <w:sz w:val="24"/>
          <w:szCs w:val="24"/>
          <w:lang w:eastAsia="zh-CN"/>
        </w:rPr>
      </w:pPr>
      <w:r>
        <w:rPr>
          <w:rFonts w:hint="eastAsia"/>
          <w:sz w:val="24"/>
          <w:szCs w:val="24"/>
          <w:lang w:eastAsia="zh-CN"/>
        </w:rPr>
        <w:t>预审人工</w:t>
      </w:r>
      <w:r>
        <w:rPr>
          <w:rFonts w:hint="eastAsia"/>
          <w:sz w:val="24"/>
          <w:szCs w:val="24"/>
          <w:lang w:val="en-US" w:eastAsia="zh-CN"/>
        </w:rPr>
        <w:t>处理的</w:t>
      </w:r>
      <w:r>
        <w:rPr>
          <w:rFonts w:hint="eastAsia"/>
          <w:sz w:val="24"/>
          <w:szCs w:val="24"/>
          <w:lang w:eastAsia="zh-CN"/>
        </w:rPr>
        <w:t>环节功能。</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预审人工环节</w:t>
      </w:r>
      <w:r>
        <w:rPr>
          <w:rFonts w:hint="eastAsia" w:ascii="Times New Roman" w:cs="Times New Roman"/>
          <w:sz w:val="24"/>
          <w:szCs w:val="24"/>
        </w:rPr>
        <w:t>包含功能如下：</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人工预审流程</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预审调查功能</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预审操作界面</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预审补件功能</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预审欺诈调查功能</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申请件查询页面</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预审质检</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参数管理</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系统管理</w:t>
      </w:r>
    </w:p>
    <w:p>
      <w:pPr>
        <w:pStyle w:val="19"/>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不良营销员查询</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22" w:name="_Toc452"/>
      <w:r>
        <w:rPr>
          <w:rFonts w:hint="eastAsia" w:ascii="黑体" w:hAnsi="黑体" w:eastAsia="黑体"/>
          <w:b w:val="0"/>
          <w:sz w:val="30"/>
          <w:szCs w:val="30"/>
          <w:lang w:val="en-US" w:eastAsia="zh-CN"/>
        </w:rPr>
        <w:t>审批系统配套升级改造</w:t>
      </w:r>
      <w:bookmarkEnd w:id="22"/>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审批系统配合预审系统上线进行相关配套的功能修改</w:t>
      </w:r>
      <w:r>
        <w:rPr>
          <w:rFonts w:hint="eastAsia" w:ascii="Calibri" w:hAnsi="Calibri" w:cs="黑体"/>
          <w:kern w:val="2"/>
          <w:sz w:val="24"/>
          <w:szCs w:val="24"/>
          <w:lang w:val="en-US" w:eastAsia="zh-CN" w:bidi="ar-SA"/>
        </w:rPr>
        <w:t>。</w:t>
      </w:r>
    </w:p>
    <w:p>
      <w:pPr>
        <w:spacing w:beforeLines="50" w:afterLines="50" w:line="480" w:lineRule="exact"/>
        <w:ind w:firstLine="480" w:firstLineChars="200"/>
        <w:rPr>
          <w:rFonts w:hint="eastAsia"/>
          <w:sz w:val="24"/>
          <w:szCs w:val="24"/>
          <w:lang w:eastAsia="zh-CN"/>
        </w:rPr>
      </w:pP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审批系统配套升级改造</w:t>
      </w:r>
      <w:r>
        <w:rPr>
          <w:rFonts w:hint="eastAsia" w:ascii="Times New Roman" w:cs="Times New Roman"/>
          <w:sz w:val="24"/>
          <w:szCs w:val="24"/>
        </w:rPr>
        <w:t>包含功能如下：</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申请信息必填项校验</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存量客户查询</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反欺诈策略</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决策策略</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三方查询策略</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征信策略修改</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标准卡分件环节</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操作员未完成队列</w:t>
      </w:r>
    </w:p>
    <w:p>
      <w:pPr>
        <w:pStyle w:val="19"/>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系统决策TAB页</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23" w:name="_Toc28912"/>
      <w:r>
        <w:rPr>
          <w:rFonts w:hint="eastAsia" w:ascii="黑体" w:hAnsi="黑体" w:eastAsia="黑体"/>
          <w:b w:val="0"/>
          <w:sz w:val="30"/>
          <w:szCs w:val="30"/>
          <w:lang w:val="en-US" w:eastAsia="zh-CN"/>
        </w:rPr>
        <w:t>风险案件协查</w:t>
      </w:r>
      <w:bookmarkEnd w:id="23"/>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贷前风险案件协查。贷前风险案件协查流程：发起协查（审核系统）→处理协查（预审模块）→接收协查结果（审核系统）</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1.发起贷前案件协查</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在审核系统欺诈征信环节的欺诈调查TAB页中“欺诈调查结果”栏位增加“派发协查”勾选项，页面底部增加 “派发协查”按钮，当勾选“派发协查”选项后按钮可点选，其他情况下置灰。点击后可选择相应分行（业务字典配置），选择分行，点击发送，提示是否发送协查，发起协查后，预审模块根据选择的组别码，系统自动分配至对应的“组别码”代表的组的贷前风险案件协查队列中。</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2.分中心处理贷前案件协查</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预审模块增加“分中心贷前欺诈协查队列”卡中心欺诈调查及欺诈审批环节派发的欺诈协查申请件进入此菜单。</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队列申请件，页面展示时需增加卡中心提报回复页签、提报欺诈页签，协查过程及结论在预审欺诈调查操作页记录，页面增加上传影像功能，可上传PDF及图片格式内容，预审模块实时将上传内容传输给影像系统此申请件二次影像列表，相关系统可实时调取。</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页面下方增加“返回卡中心欺诈”按钮，点击后申请件回到派发人员的“贷前案件协查返回队列”，协查备注需可在“欺诈协查返回队列”申请件页面正常展示。</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 接收案件协查结果</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审核系统欺诈调查未完成队列，展示内容增加是否发起欺诈协查标识项，派发给风险室进行协查的申请件，风险室提交后，进入派发人员的欺诈未完成队列，“是否发起欺诈协查”栏位显示“是”，点击后可以看到协查天数（只计算工作日，算法为回复协查日期减派发协查日期）。</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该队列展示内容：申请件编码、用户姓名、证件号码、单位中文名称、进件日期、是否发起欺诈协查、分组天数、进入队列天数、快速审批标识、预审操作员姓名、备注。</w:t>
      </w:r>
    </w:p>
    <w:p>
      <w:pPr>
        <w:pStyle w:val="5"/>
        <w:spacing w:before="156" w:beforeLines="50" w:after="156" w:afterLines="50" w:line="360" w:lineRule="exact"/>
        <w:ind w:firstLine="538"/>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协查回复内容展示在提报回复查看页面，包括回复时间、回复人员和回复内容。</w:t>
      </w:r>
    </w:p>
    <w:p>
      <w:pPr>
        <w:pStyle w:val="3"/>
        <w:numPr>
          <w:ilvl w:val="0"/>
          <w:numId w:val="9"/>
        </w:numPr>
        <w:rPr>
          <w:rFonts w:ascii="黑体" w:hAnsi="黑体" w:eastAsia="黑体"/>
          <w:b w:val="0"/>
        </w:rPr>
      </w:pPr>
      <w:bookmarkStart w:id="24" w:name="_Toc31521"/>
      <w:r>
        <w:rPr>
          <w:rFonts w:hint="eastAsia" w:ascii="黑体" w:hAnsi="黑体" w:eastAsia="黑体"/>
          <w:b w:val="0"/>
        </w:rPr>
        <w:t>外部接口需求</w:t>
      </w:r>
      <w:bookmarkEnd w:id="24"/>
    </w:p>
    <w:p>
      <w:pPr>
        <w:pStyle w:val="4"/>
        <w:numPr>
          <w:ilvl w:val="0"/>
          <w:numId w:val="12"/>
        </w:numPr>
        <w:rPr>
          <w:rFonts w:hint="eastAsia" w:ascii="黑体" w:hAnsi="黑体" w:eastAsia="黑体"/>
          <w:b w:val="0"/>
          <w:sz w:val="30"/>
          <w:szCs w:val="30"/>
        </w:rPr>
      </w:pPr>
      <w:bookmarkStart w:id="25" w:name="_Toc31008"/>
      <w:r>
        <w:rPr>
          <w:rFonts w:hint="eastAsia" w:ascii="黑体" w:hAnsi="黑体" w:eastAsia="黑体"/>
          <w:b w:val="0"/>
          <w:sz w:val="30"/>
          <w:szCs w:val="30"/>
        </w:rPr>
        <w:t>用户接口</w:t>
      </w:r>
      <w:bookmarkEnd w:id="25"/>
    </w:p>
    <w:p>
      <w:pPr>
        <w:spacing w:beforeLines="50" w:afterLines="50" w:line="480" w:lineRule="exact"/>
        <w:ind w:firstLine="480" w:firstLineChars="200"/>
        <w:rPr>
          <w:rFonts w:ascii="Times New Roman" w:cs="Times New Roman"/>
          <w:sz w:val="24"/>
        </w:rPr>
      </w:pPr>
      <w:r>
        <w:rPr>
          <w:rFonts w:hint="eastAsia" w:ascii="Times New Roman" w:cs="Times New Roman"/>
          <w:sz w:val="24"/>
        </w:rPr>
        <w:t>无</w:t>
      </w:r>
    </w:p>
    <w:p>
      <w:pPr>
        <w:pStyle w:val="4"/>
        <w:numPr>
          <w:ilvl w:val="0"/>
          <w:numId w:val="12"/>
        </w:numPr>
        <w:rPr>
          <w:rFonts w:hint="eastAsia" w:ascii="黑体" w:hAnsi="黑体" w:eastAsia="黑体"/>
          <w:b w:val="0"/>
          <w:sz w:val="30"/>
          <w:szCs w:val="30"/>
        </w:rPr>
      </w:pPr>
      <w:bookmarkStart w:id="26" w:name="_Toc32354"/>
      <w:r>
        <w:rPr>
          <w:rFonts w:hint="eastAsia" w:ascii="黑体" w:hAnsi="黑体" w:eastAsia="黑体"/>
          <w:b w:val="0"/>
          <w:sz w:val="30"/>
          <w:szCs w:val="30"/>
        </w:rPr>
        <w:t>硬件接口</w:t>
      </w:r>
      <w:bookmarkEnd w:id="26"/>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无</w:t>
      </w:r>
    </w:p>
    <w:p>
      <w:pPr>
        <w:pStyle w:val="4"/>
        <w:numPr>
          <w:ilvl w:val="0"/>
          <w:numId w:val="12"/>
        </w:numPr>
        <w:rPr>
          <w:rFonts w:hint="eastAsia" w:ascii="黑体" w:hAnsi="黑体" w:eastAsia="黑体"/>
          <w:b w:val="0"/>
          <w:sz w:val="30"/>
          <w:szCs w:val="30"/>
        </w:rPr>
      </w:pPr>
      <w:bookmarkStart w:id="27" w:name="_Toc12816"/>
      <w:r>
        <w:rPr>
          <w:rFonts w:hint="eastAsia" w:ascii="黑体" w:hAnsi="黑体" w:eastAsia="黑体"/>
          <w:b w:val="0"/>
          <w:sz w:val="30"/>
          <w:szCs w:val="30"/>
        </w:rPr>
        <w:t>软件接口</w:t>
      </w:r>
      <w:bookmarkEnd w:id="27"/>
    </w:p>
    <w:p>
      <w:pPr>
        <w:spacing w:beforeLines="50" w:afterLines="50" w:line="480" w:lineRule="exact"/>
        <w:ind w:firstLine="480" w:firstLineChars="200"/>
        <w:rPr>
          <w:rFonts w:hint="eastAsia" w:ascii="Times New Roman" w:eastAsia="宋体" w:cs="Times New Roman"/>
          <w:sz w:val="24"/>
          <w:lang w:val="en-US" w:eastAsia="zh-CN"/>
        </w:rPr>
      </w:pPr>
      <w:r>
        <w:rPr>
          <w:rFonts w:hint="eastAsia" w:ascii="Times New Roman" w:cs="Times New Roman"/>
          <w:sz w:val="24"/>
        </w:rPr>
        <w:t>联机软件接口均采用WebService方式进行交互，遵循统一报文接口标准</w:t>
      </w:r>
      <w:r>
        <w:rPr>
          <w:rFonts w:hint="eastAsia" w:ascii="Times New Roman" w:cs="Times New Roman"/>
          <w:sz w:val="24"/>
          <w:lang w:eastAsia="zh-CN"/>
        </w:rPr>
        <w:t>。</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主要交互渠道接口包括：</w:t>
      </w:r>
    </w:p>
    <w:p>
      <w:pPr>
        <w:pStyle w:val="18"/>
        <w:numPr>
          <w:ilvl w:val="0"/>
          <w:numId w:val="13"/>
        </w:numPr>
        <w:spacing w:beforeLines="50" w:afterLines="50" w:line="480" w:lineRule="exact"/>
        <w:ind w:firstLineChars="0"/>
        <w:rPr>
          <w:rFonts w:hint="eastAsia" w:ascii="Times New Roman" w:cs="Times New Roman"/>
          <w:sz w:val="24"/>
        </w:rPr>
      </w:pPr>
      <w:r>
        <w:rPr>
          <w:rFonts w:hint="eastAsia" w:ascii="Times New Roman" w:cs="Times New Roman"/>
          <w:sz w:val="24"/>
        </w:rPr>
        <w:t>审批系统</w:t>
      </w:r>
      <w:r>
        <w:rPr>
          <w:rFonts w:hint="eastAsia" w:ascii="Times New Roman" w:cs="Times New Roman"/>
          <w:sz w:val="24"/>
          <w:lang w:eastAsia="zh-CN"/>
        </w:rPr>
        <w:t>与</w:t>
      </w:r>
      <w:r>
        <w:rPr>
          <w:rFonts w:hint="eastAsia" w:ascii="Times New Roman" w:cs="Times New Roman"/>
          <w:sz w:val="24"/>
          <w:lang w:val="en-US" w:eastAsia="zh-CN"/>
        </w:rPr>
        <w:t>预审系统</w:t>
      </w:r>
      <w:r>
        <w:rPr>
          <w:rFonts w:hint="eastAsia" w:ascii="Times New Roman" w:cs="Times New Roman"/>
          <w:sz w:val="24"/>
        </w:rPr>
        <w:t>交互接口</w:t>
      </w:r>
    </w:p>
    <w:p>
      <w:pPr>
        <w:pStyle w:val="18"/>
        <w:numPr>
          <w:ilvl w:val="0"/>
          <w:numId w:val="13"/>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第三方查询模块与审批系统交互接口</w:t>
      </w:r>
    </w:p>
    <w:p>
      <w:pPr>
        <w:pStyle w:val="18"/>
        <w:numPr>
          <w:ilvl w:val="0"/>
          <w:numId w:val="13"/>
        </w:numPr>
        <w:spacing w:beforeLines="50" w:afterLines="50" w:line="480" w:lineRule="exact"/>
        <w:ind w:firstLineChars="0"/>
        <w:rPr>
          <w:rFonts w:hint="eastAsia" w:ascii="Times New Roman" w:cs="Times New Roman"/>
          <w:sz w:val="24"/>
        </w:rPr>
      </w:pPr>
      <w:r>
        <w:rPr>
          <w:rFonts w:hint="eastAsia" w:ascii="Times New Roman" w:cs="Times New Roman"/>
          <w:sz w:val="24"/>
          <w:lang w:val="en-US" w:eastAsia="zh-CN"/>
        </w:rPr>
        <w:t>预审系统</w:t>
      </w:r>
      <w:r>
        <w:rPr>
          <w:rFonts w:hint="eastAsia" w:ascii="Times New Roman" w:cs="Times New Roman"/>
          <w:sz w:val="24"/>
        </w:rPr>
        <w:t>与</w:t>
      </w:r>
      <w:r>
        <w:rPr>
          <w:rFonts w:hint="eastAsia" w:ascii="Times New Roman" w:cs="Times New Roman"/>
          <w:sz w:val="24"/>
          <w:lang w:val="en-US" w:eastAsia="zh-CN"/>
        </w:rPr>
        <w:t>决策</w:t>
      </w:r>
      <w:r>
        <w:rPr>
          <w:rFonts w:hint="eastAsia" w:ascii="Times New Roman" w:cs="Times New Roman"/>
          <w:sz w:val="24"/>
        </w:rPr>
        <w:t>系统交互接口</w:t>
      </w:r>
    </w:p>
    <w:p>
      <w:pPr>
        <w:pStyle w:val="18"/>
        <w:numPr>
          <w:ilvl w:val="0"/>
          <w:numId w:val="13"/>
        </w:numPr>
        <w:spacing w:beforeLines="50" w:afterLines="50" w:line="480" w:lineRule="exact"/>
        <w:ind w:firstLineChars="0"/>
        <w:rPr>
          <w:rFonts w:hint="eastAsia" w:ascii="Times New Roman" w:cs="Times New Roman"/>
          <w:sz w:val="24"/>
        </w:rPr>
      </w:pPr>
      <w:r>
        <w:rPr>
          <w:rFonts w:hint="eastAsia" w:ascii="Times New Roman" w:cs="Times New Roman"/>
          <w:sz w:val="24"/>
          <w:lang w:val="en-US" w:eastAsia="zh-CN"/>
        </w:rPr>
        <w:t>预审系统</w:t>
      </w:r>
      <w:r>
        <w:rPr>
          <w:rFonts w:hint="eastAsia" w:ascii="Times New Roman" w:cs="Times New Roman"/>
          <w:sz w:val="24"/>
        </w:rPr>
        <w:t>与</w:t>
      </w:r>
      <w:r>
        <w:rPr>
          <w:rFonts w:hint="eastAsia" w:ascii="Times New Roman" w:cs="Times New Roman"/>
          <w:sz w:val="24"/>
          <w:lang w:val="en-US" w:eastAsia="zh-CN"/>
        </w:rPr>
        <w:t>反欺诈</w:t>
      </w:r>
      <w:r>
        <w:rPr>
          <w:rFonts w:hint="eastAsia" w:ascii="Times New Roman" w:cs="Times New Roman"/>
          <w:sz w:val="24"/>
        </w:rPr>
        <w:t>系统交互接口</w:t>
      </w:r>
    </w:p>
    <w:p>
      <w:pPr>
        <w:pStyle w:val="4"/>
        <w:numPr>
          <w:ilvl w:val="0"/>
          <w:numId w:val="12"/>
        </w:numPr>
        <w:rPr>
          <w:rFonts w:hint="eastAsia" w:ascii="黑体" w:hAnsi="黑体" w:eastAsia="黑体"/>
          <w:b w:val="0"/>
          <w:sz w:val="30"/>
          <w:szCs w:val="30"/>
        </w:rPr>
      </w:pPr>
      <w:bookmarkStart w:id="28" w:name="_Toc18713"/>
      <w:r>
        <w:rPr>
          <w:rFonts w:hint="eastAsia" w:ascii="黑体" w:hAnsi="黑体" w:eastAsia="黑体"/>
          <w:b w:val="0"/>
          <w:sz w:val="30"/>
          <w:szCs w:val="30"/>
        </w:rPr>
        <w:t>通信接口</w:t>
      </w:r>
      <w:bookmarkEnd w:id="28"/>
    </w:p>
    <w:p>
      <w:pPr>
        <w:spacing w:beforeLines="50" w:afterLines="50" w:line="480" w:lineRule="exact"/>
        <w:ind w:firstLine="480" w:firstLineChars="200"/>
        <w:rPr>
          <w:rFonts w:ascii="Times New Roman" w:cs="Times New Roman"/>
          <w:sz w:val="24"/>
        </w:rPr>
      </w:pPr>
      <w:r>
        <w:rPr>
          <w:rFonts w:hint="eastAsia" w:ascii="Times New Roman" w:cs="Times New Roman"/>
          <w:sz w:val="24"/>
        </w:rPr>
        <w:t>标准SOAP协议及WebService接口规范</w:t>
      </w:r>
    </w:p>
    <w:p>
      <w:pPr>
        <w:pStyle w:val="3"/>
        <w:numPr>
          <w:ilvl w:val="0"/>
          <w:numId w:val="9"/>
        </w:numPr>
        <w:rPr>
          <w:rFonts w:ascii="黑体" w:hAnsi="黑体" w:eastAsia="黑体"/>
          <w:b w:val="0"/>
        </w:rPr>
      </w:pPr>
      <w:bookmarkStart w:id="29" w:name="_Toc14451"/>
      <w:r>
        <w:rPr>
          <w:rFonts w:hint="eastAsia" w:ascii="黑体" w:hAnsi="黑体" w:eastAsia="黑体"/>
          <w:b w:val="0"/>
        </w:rPr>
        <w:t>软件属性</w:t>
      </w:r>
      <w:bookmarkEnd w:id="29"/>
    </w:p>
    <w:p>
      <w:pPr>
        <w:pStyle w:val="4"/>
        <w:numPr>
          <w:ilvl w:val="0"/>
          <w:numId w:val="14"/>
        </w:numPr>
        <w:rPr>
          <w:rFonts w:ascii="黑体" w:hAnsi="黑体" w:eastAsia="黑体"/>
          <w:b w:val="0"/>
          <w:sz w:val="30"/>
          <w:szCs w:val="30"/>
        </w:rPr>
      </w:pPr>
      <w:bookmarkStart w:id="30" w:name="_Toc11504"/>
      <w:r>
        <w:rPr>
          <w:rFonts w:hint="eastAsia" w:ascii="黑体" w:hAnsi="黑体" w:eastAsia="黑体"/>
          <w:b w:val="0"/>
          <w:sz w:val="30"/>
          <w:szCs w:val="30"/>
        </w:rPr>
        <w:t>可用性</w:t>
      </w:r>
      <w:bookmarkEnd w:id="30"/>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遵循现有审批系统可用性要求</w:t>
      </w:r>
      <w:r>
        <w:rPr>
          <w:rFonts w:hint="eastAsia" w:ascii="Times New Roman" w:cs="Times New Roman"/>
          <w:sz w:val="24"/>
        </w:rPr>
        <w:t>。</w:t>
      </w:r>
    </w:p>
    <w:p>
      <w:pPr>
        <w:pStyle w:val="4"/>
        <w:numPr>
          <w:ilvl w:val="0"/>
          <w:numId w:val="14"/>
        </w:numPr>
        <w:rPr>
          <w:rFonts w:ascii="黑体" w:hAnsi="黑体" w:eastAsia="黑体"/>
          <w:b w:val="0"/>
          <w:sz w:val="30"/>
          <w:szCs w:val="30"/>
        </w:rPr>
      </w:pPr>
      <w:bookmarkStart w:id="31" w:name="_Toc10249"/>
      <w:r>
        <w:rPr>
          <w:rFonts w:hint="eastAsia" w:ascii="黑体" w:hAnsi="黑体" w:eastAsia="黑体"/>
          <w:b w:val="0"/>
          <w:sz w:val="30"/>
          <w:szCs w:val="30"/>
        </w:rPr>
        <w:t>安全性</w:t>
      </w:r>
      <w:bookmarkEnd w:id="31"/>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遵循现有审批系统安全性要求</w:t>
      </w:r>
      <w:r>
        <w:rPr>
          <w:rFonts w:hint="eastAsia" w:ascii="Times New Roman" w:cs="Times New Roman"/>
          <w:sz w:val="24"/>
        </w:rPr>
        <w:t>。</w:t>
      </w:r>
    </w:p>
    <w:p>
      <w:pPr>
        <w:pStyle w:val="4"/>
        <w:numPr>
          <w:ilvl w:val="0"/>
          <w:numId w:val="14"/>
        </w:numPr>
        <w:rPr>
          <w:rFonts w:ascii="黑体" w:hAnsi="黑体" w:eastAsia="黑体"/>
          <w:b w:val="0"/>
          <w:sz w:val="30"/>
          <w:szCs w:val="30"/>
        </w:rPr>
      </w:pPr>
      <w:bookmarkStart w:id="32" w:name="_Toc3195"/>
      <w:r>
        <w:rPr>
          <w:rFonts w:hint="eastAsia" w:ascii="黑体" w:hAnsi="黑体" w:eastAsia="黑体"/>
          <w:b w:val="0"/>
          <w:sz w:val="30"/>
          <w:szCs w:val="30"/>
        </w:rPr>
        <w:t>可维护性</w:t>
      </w:r>
      <w:bookmarkEnd w:id="32"/>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项目使用SVN进行版本管理，支持多人协作开发，支持分支并行开发。</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项目开发库与测试库独立，不相互干预，保障功能测试的准确性。</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项目基线版本独立，便于版本回退。</w:t>
      </w:r>
    </w:p>
    <w:p>
      <w:pPr>
        <w:pStyle w:val="2"/>
        <w:numPr>
          <w:ilvl w:val="0"/>
          <w:numId w:val="1"/>
        </w:numPr>
        <w:tabs>
          <w:tab w:val="clear" w:pos="312"/>
        </w:tabs>
        <w:snapToGrid w:val="0"/>
        <w:spacing w:beforeLines="100" w:afterLines="100" w:line="1000" w:lineRule="exact"/>
        <w:ind w:left="720" w:hanging="720"/>
        <w:rPr>
          <w:rFonts w:ascii="黑体" w:hAnsi="黑体" w:eastAsia="黑体" w:cs="黑体"/>
          <w:b w:val="0"/>
          <w:sz w:val="36"/>
          <w:szCs w:val="36"/>
        </w:rPr>
      </w:pPr>
      <w:bookmarkStart w:id="33" w:name="_Toc32672"/>
      <w:r>
        <w:rPr>
          <w:rFonts w:hint="eastAsia" w:ascii="黑体" w:hAnsi="黑体" w:eastAsia="黑体" w:cs="黑体"/>
          <w:b w:val="0"/>
          <w:sz w:val="36"/>
          <w:szCs w:val="36"/>
        </w:rPr>
        <w:t>验收标准</w:t>
      </w:r>
      <w:bookmarkEnd w:id="33"/>
    </w:p>
    <w:p>
      <w:pPr>
        <w:pStyle w:val="3"/>
        <w:numPr>
          <w:ilvl w:val="0"/>
          <w:numId w:val="15"/>
        </w:numPr>
        <w:rPr>
          <w:rFonts w:hint="eastAsia" w:ascii="黑体" w:hAnsi="黑体" w:eastAsia="黑体"/>
          <w:b w:val="0"/>
        </w:rPr>
      </w:pPr>
      <w:bookmarkStart w:id="34" w:name="_Toc8114"/>
      <w:r>
        <w:rPr>
          <w:rFonts w:hint="eastAsia" w:ascii="黑体" w:hAnsi="黑体" w:eastAsia="黑体"/>
          <w:b w:val="0"/>
        </w:rPr>
        <w:t>文档验收标准</w:t>
      </w:r>
      <w:bookmarkEnd w:id="34"/>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第三方查询模块项目交付文档验收标准如下：</w:t>
      </w:r>
    </w:p>
    <w:p>
      <w:pPr>
        <w:pStyle w:val="18"/>
        <w:numPr>
          <w:ilvl w:val="0"/>
          <w:numId w:val="16"/>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项目交付文档按照客户项目验收标准进行编制</w:t>
      </w:r>
    </w:p>
    <w:p>
      <w:pPr>
        <w:pStyle w:val="18"/>
        <w:numPr>
          <w:ilvl w:val="0"/>
          <w:numId w:val="16"/>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项目交付文档做到功能说明不遗漏、不缺失。</w:t>
      </w:r>
    </w:p>
    <w:p>
      <w:pPr>
        <w:pStyle w:val="18"/>
        <w:numPr>
          <w:ilvl w:val="0"/>
          <w:numId w:val="16"/>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项目交付文档编制格式统一，整体风格一致。</w:t>
      </w:r>
    </w:p>
    <w:p>
      <w:pPr>
        <w:pStyle w:val="18"/>
        <w:numPr>
          <w:ilvl w:val="0"/>
          <w:numId w:val="16"/>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客户提供文档模板的，按照客户模板进行文档编写。客户未提供文档模板的，按照项目团队内部文档模板编写。</w:t>
      </w:r>
    </w:p>
    <w:p>
      <w:pPr>
        <w:pStyle w:val="3"/>
        <w:numPr>
          <w:ilvl w:val="0"/>
          <w:numId w:val="15"/>
        </w:numPr>
        <w:rPr>
          <w:rFonts w:hint="eastAsia" w:ascii="黑体" w:hAnsi="黑体" w:eastAsia="黑体"/>
          <w:b w:val="0"/>
        </w:rPr>
      </w:pPr>
      <w:bookmarkStart w:id="35" w:name="_Toc551"/>
      <w:r>
        <w:rPr>
          <w:rFonts w:hint="eastAsia" w:ascii="黑体" w:hAnsi="黑体" w:eastAsia="黑体"/>
          <w:b w:val="0"/>
        </w:rPr>
        <w:t>软件验收标准</w:t>
      </w:r>
      <w:bookmarkEnd w:id="35"/>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lang w:val="en-US" w:eastAsia="zh-CN"/>
        </w:rPr>
        <w:t>和预审</w:t>
      </w:r>
      <w:r>
        <w:rPr>
          <w:rFonts w:hint="eastAsia" w:ascii="Times New Roman" w:cs="Times New Roman"/>
          <w:sz w:val="24"/>
        </w:rPr>
        <w:t>软件验收标准如下：</w:t>
      </w:r>
    </w:p>
    <w:p>
      <w:pPr>
        <w:pStyle w:val="18"/>
        <w:numPr>
          <w:ilvl w:val="0"/>
          <w:numId w:val="17"/>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项目工程代码无任何后门、漏洞程序，因项目需要所使用的第三方构件除外。</w:t>
      </w:r>
    </w:p>
    <w:p>
      <w:pPr>
        <w:pStyle w:val="18"/>
        <w:numPr>
          <w:ilvl w:val="0"/>
          <w:numId w:val="17"/>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项目工程由厂商项目团队内部验收通过后方可交付客户方验收。</w:t>
      </w:r>
    </w:p>
    <w:p>
      <w:pPr>
        <w:pStyle w:val="18"/>
        <w:numPr>
          <w:ilvl w:val="0"/>
          <w:numId w:val="17"/>
        </w:numPr>
        <w:spacing w:beforeLines="50" w:afterLines="50" w:line="480" w:lineRule="exact"/>
        <w:ind w:left="482" w:firstLine="0" w:firstLineChars="0"/>
        <w:rPr>
          <w:rFonts w:ascii="Times New Roman" w:cs="Times New Roman"/>
          <w:sz w:val="24"/>
        </w:rPr>
      </w:pPr>
      <w:r>
        <w:rPr>
          <w:rFonts w:hint="eastAsia" w:ascii="Times New Roman" w:cs="Times New Roman"/>
          <w:sz w:val="24"/>
        </w:rPr>
        <w:t>客户对交付产品验收通过后，产品相关源代码全部移交客户方。</w:t>
      </w:r>
    </w:p>
    <w:p>
      <w:pPr>
        <w:pStyle w:val="3"/>
        <w:numPr>
          <w:ilvl w:val="0"/>
          <w:numId w:val="15"/>
        </w:numPr>
        <w:rPr>
          <w:rFonts w:hint="eastAsia" w:ascii="黑体" w:hAnsi="黑体" w:eastAsia="黑体"/>
          <w:b w:val="0"/>
        </w:rPr>
      </w:pPr>
      <w:bookmarkStart w:id="36" w:name="_Toc17722"/>
      <w:r>
        <w:rPr>
          <w:rFonts w:hint="eastAsia" w:ascii="黑体" w:hAnsi="黑体" w:eastAsia="黑体"/>
          <w:b w:val="0"/>
        </w:rPr>
        <w:t>界面验收标准</w:t>
      </w:r>
      <w:bookmarkEnd w:id="36"/>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rPr>
        <w:t>界面开发实施标准如下：</w:t>
      </w:r>
    </w:p>
    <w:p>
      <w:pPr>
        <w:pStyle w:val="18"/>
        <w:numPr>
          <w:ilvl w:val="0"/>
          <w:numId w:val="18"/>
        </w:numPr>
        <w:spacing w:beforeLines="50" w:afterLines="50" w:line="480" w:lineRule="exact"/>
        <w:ind w:firstLineChars="0"/>
        <w:rPr>
          <w:rFonts w:hint="eastAsia" w:ascii="Times New Roman" w:cs="Times New Roman"/>
          <w:sz w:val="24"/>
        </w:rPr>
      </w:pPr>
      <w:r>
        <w:rPr>
          <w:rFonts w:hint="eastAsia" w:ascii="Times New Roman" w:cs="Times New Roman"/>
          <w:sz w:val="24"/>
        </w:rPr>
        <w:t>界面简洁美观，操作简单。</w:t>
      </w:r>
    </w:p>
    <w:p>
      <w:pPr>
        <w:pStyle w:val="18"/>
        <w:numPr>
          <w:ilvl w:val="0"/>
          <w:numId w:val="18"/>
        </w:numPr>
        <w:spacing w:beforeLines="50" w:afterLines="50" w:line="480" w:lineRule="exact"/>
        <w:ind w:firstLineChars="0"/>
        <w:rPr>
          <w:rFonts w:hint="eastAsia" w:ascii="Times New Roman" w:cs="Times New Roman"/>
          <w:sz w:val="24"/>
        </w:rPr>
      </w:pPr>
      <w:r>
        <w:rPr>
          <w:rFonts w:hint="eastAsia" w:ascii="Times New Roman" w:cs="Times New Roman"/>
          <w:sz w:val="24"/>
        </w:rPr>
        <w:t>系统稳定，无重大BUG。</w:t>
      </w:r>
    </w:p>
    <w:p>
      <w:pPr>
        <w:pStyle w:val="18"/>
        <w:numPr>
          <w:ilvl w:val="0"/>
          <w:numId w:val="18"/>
        </w:numPr>
        <w:spacing w:beforeLines="50" w:afterLines="50" w:line="480" w:lineRule="exact"/>
        <w:ind w:firstLineChars="0"/>
        <w:rPr>
          <w:rFonts w:ascii="Times New Roman" w:cs="Times New Roman"/>
          <w:sz w:val="24"/>
        </w:rPr>
      </w:pPr>
      <w:r>
        <w:rPr>
          <w:rFonts w:hint="eastAsia" w:ascii="Times New Roman" w:cs="Times New Roman"/>
          <w:sz w:val="24"/>
        </w:rPr>
        <w:t>功能操作有相关提醒。</w:t>
      </w:r>
    </w:p>
    <w:p>
      <w:pPr>
        <w:pStyle w:val="3"/>
        <w:numPr>
          <w:ilvl w:val="0"/>
          <w:numId w:val="15"/>
        </w:numPr>
        <w:rPr>
          <w:rFonts w:ascii="黑体" w:hAnsi="黑体" w:eastAsia="黑体"/>
          <w:b w:val="0"/>
        </w:rPr>
      </w:pPr>
      <w:bookmarkStart w:id="37" w:name="_Toc25947"/>
      <w:r>
        <w:rPr>
          <w:rFonts w:hint="eastAsia" w:ascii="黑体" w:hAnsi="黑体" w:eastAsia="黑体"/>
          <w:b w:val="0"/>
        </w:rPr>
        <w:t>功能验收标准</w:t>
      </w:r>
      <w:bookmarkEnd w:id="37"/>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w:t>
      </w:r>
      <w:r>
        <w:rPr>
          <w:rFonts w:hint="eastAsia" w:ascii="Times New Roman" w:cs="Times New Roman"/>
          <w:sz w:val="24"/>
        </w:rPr>
        <w:t>系统严格遵照华</w:t>
      </w:r>
      <w:r>
        <w:rPr>
          <w:rFonts w:hint="eastAsia" w:ascii="Times New Roman" w:cs="Times New Roman"/>
          <w:sz w:val="24"/>
          <w:lang w:eastAsia="zh-CN"/>
        </w:rPr>
        <w:t>夏信用卡中心风险管理部提出的《</w:t>
      </w:r>
      <w:r>
        <w:rPr>
          <w:rFonts w:hint="eastAsia" w:ascii="Times New Roman" w:cs="Times New Roman"/>
          <w:sz w:val="24"/>
          <w:lang w:val="en-US" w:eastAsia="zh-CN"/>
        </w:rPr>
        <w:t>附件1华夏银行信用卡中心信息科技项目需求书v1.2</w:t>
      </w:r>
      <w:r>
        <w:rPr>
          <w:rFonts w:hint="eastAsia" w:ascii="Times New Roman" w:cs="Times New Roman"/>
          <w:sz w:val="24"/>
          <w:lang w:eastAsia="zh-CN"/>
        </w:rPr>
        <w:t>》文档规格标准要求，进行项目开发实施</w:t>
      </w:r>
      <w:r>
        <w:rPr>
          <w:rFonts w:hint="eastAsia" w:ascii="Times New Roman" w:cs="Times New Roman"/>
          <w:sz w:val="24"/>
        </w:rPr>
        <w:t>。</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项目合作厂商（上海中软华腾软件系统有限公司）开发团队进行内部验证通过后交付客户方进行验证测试。客户方针对第三方查询模块系统功能验证标准如下：</w:t>
      </w:r>
    </w:p>
    <w:p>
      <w:pPr>
        <w:pStyle w:val="18"/>
        <w:numPr>
          <w:ilvl w:val="0"/>
          <w:numId w:val="19"/>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系统功能涵盖项目需求书中提出的功能点</w:t>
      </w:r>
    </w:p>
    <w:p>
      <w:pPr>
        <w:pStyle w:val="18"/>
        <w:numPr>
          <w:ilvl w:val="0"/>
          <w:numId w:val="19"/>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系统功能满足项目需求书的功能要求，无功能项缺失。</w:t>
      </w:r>
    </w:p>
    <w:p>
      <w:pPr>
        <w:pStyle w:val="18"/>
        <w:numPr>
          <w:ilvl w:val="0"/>
          <w:numId w:val="19"/>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系统功能无重大缺陷，满足正常业务流程操作。</w:t>
      </w:r>
    </w:p>
    <w:p>
      <w:pPr>
        <w:pStyle w:val="18"/>
        <w:numPr>
          <w:ilvl w:val="0"/>
          <w:numId w:val="19"/>
        </w:numPr>
        <w:spacing w:beforeLines="50" w:afterLines="50" w:line="480" w:lineRule="exact"/>
        <w:ind w:firstLineChars="0"/>
        <w:rPr>
          <w:rFonts w:hint="eastAsia" w:ascii="Times New Roman" w:cs="Times New Roman"/>
          <w:sz w:val="24"/>
        </w:rPr>
      </w:pPr>
      <w:r>
        <w:rPr>
          <w:rFonts w:hint="eastAsia" w:ascii="Times New Roman" w:cs="Times New Roman"/>
          <w:sz w:val="24"/>
        </w:rPr>
        <w:t>系统性能满足业务日常使用要求</w:t>
      </w:r>
    </w:p>
    <w:p>
      <w:pPr>
        <w:pStyle w:val="18"/>
        <w:numPr>
          <w:ilvl w:val="0"/>
          <w:numId w:val="19"/>
        </w:numPr>
        <w:spacing w:beforeLines="50" w:afterLines="50" w:line="480" w:lineRule="exact"/>
        <w:ind w:firstLineChars="0"/>
        <w:rPr>
          <w:rFonts w:ascii="Times New Roman" w:cs="Times New Roman"/>
          <w:sz w:val="24"/>
        </w:rPr>
      </w:pPr>
      <w:r>
        <w:rPr>
          <w:rFonts w:hint="eastAsia" w:ascii="Times New Roman" w:cs="Times New Roman"/>
          <w:sz w:val="24"/>
        </w:rPr>
        <w:t>系统运行兼容目前主流浏览器标准</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0601191">
    <w:nsid w:val="216A1867"/>
    <w:multiLevelType w:val="multilevel"/>
    <w:tmpl w:val="216A1867"/>
    <w:lvl w:ilvl="0" w:tentative="1">
      <w:start w:val="1"/>
      <w:numFmt w:val="decimal"/>
      <w:lvlText w:val="4.%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3127057074">
    <w:nsid w:val="BA631AB2"/>
    <w:multiLevelType w:val="singleLevel"/>
    <w:tmpl w:val="BA631AB2"/>
    <w:lvl w:ilvl="0" w:tentative="1">
      <w:start w:val="1"/>
      <w:numFmt w:val="decimal"/>
      <w:suff w:val="nothing"/>
      <w:lvlText w:val="%1、"/>
      <w:lvlJc w:val="left"/>
    </w:lvl>
  </w:abstractNum>
  <w:abstractNum w:abstractNumId="1707413732">
    <w:nsid w:val="65C510E4"/>
    <w:multiLevelType w:val="multilevel"/>
    <w:tmpl w:val="65C510E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23316893">
    <w:nsid w:val="4EE0369D"/>
    <w:multiLevelType w:val="multilevel"/>
    <w:tmpl w:val="4EE0369D"/>
    <w:lvl w:ilvl="0" w:tentative="1">
      <w:start w:val="1"/>
      <w:numFmt w:val="decimal"/>
      <w:lvlText w:val="3.3.%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323731148">
    <w:nsid w:val="4EE688CC"/>
    <w:multiLevelType w:val="singleLevel"/>
    <w:tmpl w:val="4EE688CC"/>
    <w:lvl w:ilvl="0" w:tentative="1">
      <w:start w:val="1"/>
      <w:numFmt w:val="bullet"/>
      <w:lvlText w:val=""/>
      <w:lvlJc w:val="left"/>
      <w:pPr>
        <w:ind w:left="420" w:hanging="420"/>
      </w:pPr>
      <w:rPr>
        <w:rFonts w:hint="default" w:ascii="Wingdings" w:hAnsi="Wingdings"/>
      </w:rPr>
    </w:lvl>
  </w:abstractNum>
  <w:abstractNum w:abstractNumId="1123034727">
    <w:nsid w:val="42F02667"/>
    <w:multiLevelType w:val="multilevel"/>
    <w:tmpl w:val="42F02667"/>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51938861">
    <w:nsid w:val="38BD6F2D"/>
    <w:multiLevelType w:val="multilevel"/>
    <w:tmpl w:val="38BD6F2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05114196">
    <w:nsid w:val="4DCA7654"/>
    <w:multiLevelType w:val="multilevel"/>
    <w:tmpl w:val="4DCA765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76116746">
    <w:nsid w:val="34387B0A"/>
    <w:multiLevelType w:val="multilevel"/>
    <w:tmpl w:val="34387B0A"/>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412312887">
    <w:nsid w:val="18936537"/>
    <w:multiLevelType w:val="multilevel"/>
    <w:tmpl w:val="18936537"/>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76346025">
    <w:nsid w:val="52095FA9"/>
    <w:multiLevelType w:val="multilevel"/>
    <w:tmpl w:val="52095FA9"/>
    <w:lvl w:ilvl="0" w:tentative="1">
      <w:start w:val="1"/>
      <w:numFmt w:val="decimal"/>
      <w:lvlText w:val="2.%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568853616">
    <w:nsid w:val="21E80470"/>
    <w:multiLevelType w:val="multilevel"/>
    <w:tmpl w:val="21E80470"/>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3177034177">
    <w:nsid w:val="BD5DB1C1"/>
    <w:multiLevelType w:val="multilevel"/>
    <w:tmpl w:val="BD5DB1C1"/>
    <w:lvl w:ilvl="0" w:tentative="1">
      <w:start w:val="1"/>
      <w:numFmt w:val="decimal"/>
      <w:lvlText w:val="%1."/>
      <w:lvlJc w:val="left"/>
      <w:pPr>
        <w:tabs>
          <w:tab w:val="left" w:pos="312"/>
        </w:tabs>
        <w:ind w:left="0" w:firstLine="0"/>
      </w:pPr>
      <w:rPr>
        <w:rFonts w:hint="eastAsia"/>
      </w:rPr>
    </w:lvl>
    <w:lvl w:ilvl="1" w:tentative="1">
      <w:start w:val="1"/>
      <w:numFmt w:val="decimal"/>
      <w:lvlText w:val="%1.%2."/>
      <w:lvlJc w:val="left"/>
      <w:pPr>
        <w:tabs>
          <w:tab w:val="left" w:pos="312"/>
        </w:tabs>
        <w:ind w:left="0" w:firstLine="0"/>
      </w:pPr>
      <w:rPr>
        <w:rFonts w:hint="default"/>
      </w:rPr>
    </w:lvl>
    <w:lvl w:ilvl="2" w:tentative="1">
      <w:start w:val="1"/>
      <w:numFmt w:val="decimal"/>
      <w:lvlText w:val="%1.%2.%3."/>
      <w:lvlJc w:val="left"/>
      <w:pPr>
        <w:tabs>
          <w:tab w:val="left" w:pos="312"/>
        </w:tabs>
        <w:ind w:left="0" w:firstLine="0"/>
      </w:pPr>
      <w:rPr>
        <w:rFonts w:hint="default"/>
      </w:rPr>
    </w:lvl>
    <w:lvl w:ilvl="3" w:tentative="1">
      <w:start w:val="1"/>
      <w:numFmt w:val="decimal"/>
      <w:lvlText w:val="%1.%2.%3.%4."/>
      <w:lvlJc w:val="left"/>
      <w:pPr>
        <w:tabs>
          <w:tab w:val="left" w:pos="312"/>
        </w:tabs>
        <w:ind w:left="0" w:firstLine="0"/>
      </w:pPr>
      <w:rPr>
        <w:rFonts w:hint="default"/>
      </w:rPr>
    </w:lvl>
    <w:lvl w:ilvl="4" w:tentative="1">
      <w:start w:val="1"/>
      <w:numFmt w:val="decimal"/>
      <w:lvlText w:val="%1.%2.%3.%4.%5."/>
      <w:lvlJc w:val="left"/>
      <w:pPr>
        <w:tabs>
          <w:tab w:val="left" w:pos="312"/>
        </w:tabs>
        <w:ind w:left="0" w:firstLine="0"/>
      </w:pPr>
      <w:rPr>
        <w:rFonts w:hint="default"/>
      </w:rPr>
    </w:lvl>
    <w:lvl w:ilvl="5" w:tentative="1">
      <w:start w:val="1"/>
      <w:numFmt w:val="decimal"/>
      <w:lvlText w:val="%1.%2.%3.%4.%5.%6."/>
      <w:lvlJc w:val="left"/>
      <w:pPr>
        <w:tabs>
          <w:tab w:val="left" w:pos="312"/>
        </w:tabs>
        <w:ind w:left="0" w:firstLine="0"/>
      </w:pPr>
      <w:rPr>
        <w:rFonts w:hint="default"/>
      </w:rPr>
    </w:lvl>
    <w:lvl w:ilvl="6" w:tentative="1">
      <w:start w:val="1"/>
      <w:numFmt w:val="decimal"/>
      <w:lvlText w:val="%1.%2.%3.%4.%5.%6.%7."/>
      <w:lvlJc w:val="left"/>
      <w:pPr>
        <w:tabs>
          <w:tab w:val="left" w:pos="312"/>
        </w:tabs>
        <w:ind w:left="0" w:firstLine="0"/>
      </w:pPr>
      <w:rPr>
        <w:rFonts w:hint="default"/>
      </w:rPr>
    </w:lvl>
    <w:lvl w:ilvl="7" w:tentative="1">
      <w:start w:val="1"/>
      <w:numFmt w:val="decimal"/>
      <w:lvlText w:val="%1.%2.%3.%4.%5.%6.%7.%8."/>
      <w:lvlJc w:val="left"/>
      <w:pPr>
        <w:tabs>
          <w:tab w:val="left" w:pos="312"/>
        </w:tabs>
        <w:ind w:left="0" w:firstLine="0"/>
      </w:pPr>
      <w:rPr>
        <w:rFonts w:hint="default"/>
      </w:rPr>
    </w:lvl>
    <w:lvl w:ilvl="8" w:tentative="1">
      <w:start w:val="1"/>
      <w:numFmt w:val="decimal"/>
      <w:lvlText w:val="%1.%2.%3.%4.%5.%6.%7.%8.%9."/>
      <w:lvlJc w:val="left"/>
      <w:pPr>
        <w:tabs>
          <w:tab w:val="left" w:pos="312"/>
        </w:tabs>
        <w:ind w:left="0" w:firstLine="0"/>
      </w:pPr>
      <w:rPr>
        <w:rFonts w:hint="default"/>
      </w:rPr>
    </w:lvl>
  </w:abstractNum>
  <w:abstractNum w:abstractNumId="1005401641">
    <w:nsid w:val="3BED3629"/>
    <w:multiLevelType w:val="multilevel"/>
    <w:tmpl w:val="3BED3629"/>
    <w:lvl w:ilvl="0" w:tentative="1">
      <w:start w:val="1"/>
      <w:numFmt w:val="bullet"/>
      <w:lvlText w:val=""/>
      <w:lvlJc w:val="left"/>
      <w:pPr>
        <w:ind w:left="840" w:hanging="360"/>
      </w:pPr>
      <w:rPr>
        <w:rFonts w:hint="default" w:ascii="Wingdings" w:hAnsi="Wingding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76104020">
    <w:nsid w:val="7BBED554"/>
    <w:multiLevelType w:val="multilevel"/>
    <w:tmpl w:val="7BBED554"/>
    <w:lvl w:ilvl="0" w:tentative="1">
      <w:start w:val="1"/>
      <w:numFmt w:val="decimal"/>
      <w:lvlText w:val="3.2.%1."/>
      <w:lvlJc w:val="left"/>
      <w:pPr>
        <w:tabs>
          <w:tab w:val="left" w:pos="720"/>
        </w:tabs>
        <w:ind w:left="720" w:hanging="720"/>
      </w:pPr>
      <w:rPr>
        <w:rFonts w:hint="default" w:ascii="宋体" w:hAnsi="宋体" w:eastAsia="宋体" w:cs="宋体"/>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715352486">
    <w:nsid w:val="663E33A6"/>
    <w:multiLevelType w:val="multilevel"/>
    <w:tmpl w:val="663E33A6"/>
    <w:lvl w:ilvl="0" w:tentative="1">
      <w:start w:val="1"/>
      <w:numFmt w:val="decimal"/>
      <w:lvlText w:val="1.%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478037219">
    <w:nsid w:val="1C7E44E3"/>
    <w:multiLevelType w:val="multilevel"/>
    <w:tmpl w:val="1C7E44E3"/>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71655918">
    <w:nsid w:val="3FE02BEE"/>
    <w:multiLevelType w:val="multilevel"/>
    <w:tmpl w:val="3FE02BEE"/>
    <w:lvl w:ilvl="0" w:tentative="1">
      <w:start w:val="1"/>
      <w:numFmt w:val="decimal"/>
      <w:lvlText w:val="3.%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267925379">
    <w:nsid w:val="4B930183"/>
    <w:multiLevelType w:val="multilevel"/>
    <w:tmpl w:val="4B930183"/>
    <w:lvl w:ilvl="0" w:tentative="1">
      <w:start w:val="1"/>
      <w:numFmt w:val="decimal"/>
      <w:lvlText w:val="3.4.%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num w:numId="1">
    <w:abstractNumId w:val="3177034177"/>
  </w:num>
  <w:num w:numId="2">
    <w:abstractNumId w:val="1715352486"/>
  </w:num>
  <w:num w:numId="3">
    <w:abstractNumId w:val="3127057074"/>
  </w:num>
  <w:num w:numId="4">
    <w:abstractNumId w:val="1376346025"/>
  </w:num>
  <w:num w:numId="5">
    <w:abstractNumId w:val="1123034727"/>
  </w:num>
  <w:num w:numId="6">
    <w:abstractNumId w:val="1323731148"/>
  </w:num>
  <w:num w:numId="7">
    <w:abstractNumId w:val="478037219"/>
  </w:num>
  <w:num w:numId="8">
    <w:abstractNumId w:val="568853616"/>
  </w:num>
  <w:num w:numId="9">
    <w:abstractNumId w:val="1071655918"/>
  </w:num>
  <w:num w:numId="10">
    <w:abstractNumId w:val="2076104020"/>
  </w:num>
  <w:num w:numId="11">
    <w:abstractNumId w:val="951938861"/>
  </w:num>
  <w:num w:numId="12">
    <w:abstractNumId w:val="1323316893"/>
  </w:num>
  <w:num w:numId="13">
    <w:abstractNumId w:val="876116746"/>
  </w:num>
  <w:num w:numId="14">
    <w:abstractNumId w:val="1267925379"/>
  </w:num>
  <w:num w:numId="15">
    <w:abstractNumId w:val="560601191"/>
  </w:num>
  <w:num w:numId="16">
    <w:abstractNumId w:val="412312887"/>
  </w:num>
  <w:num w:numId="17">
    <w:abstractNumId w:val="1707413732"/>
  </w:num>
  <w:num w:numId="18">
    <w:abstractNumId w:val="1305114196"/>
  </w:num>
  <w:num w:numId="19">
    <w:abstractNumId w:val="10054016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7D89"/>
    <w:rsid w:val="000412F8"/>
    <w:rsid w:val="000616CA"/>
    <w:rsid w:val="00061BE0"/>
    <w:rsid w:val="00065F51"/>
    <w:rsid w:val="0008065F"/>
    <w:rsid w:val="000B397D"/>
    <w:rsid w:val="000D48A6"/>
    <w:rsid w:val="000E2DC2"/>
    <w:rsid w:val="000E5456"/>
    <w:rsid w:val="00125620"/>
    <w:rsid w:val="00140863"/>
    <w:rsid w:val="001F7D89"/>
    <w:rsid w:val="00220402"/>
    <w:rsid w:val="00232A8D"/>
    <w:rsid w:val="002C4A0A"/>
    <w:rsid w:val="0030652D"/>
    <w:rsid w:val="003124FE"/>
    <w:rsid w:val="0038046B"/>
    <w:rsid w:val="00392442"/>
    <w:rsid w:val="003B1BB2"/>
    <w:rsid w:val="003B71D2"/>
    <w:rsid w:val="004027C0"/>
    <w:rsid w:val="00433BC1"/>
    <w:rsid w:val="00475B52"/>
    <w:rsid w:val="004C358D"/>
    <w:rsid w:val="005341F4"/>
    <w:rsid w:val="00544953"/>
    <w:rsid w:val="00561B20"/>
    <w:rsid w:val="005A1B7F"/>
    <w:rsid w:val="00634B76"/>
    <w:rsid w:val="00641173"/>
    <w:rsid w:val="00677A6B"/>
    <w:rsid w:val="006810BA"/>
    <w:rsid w:val="0069520F"/>
    <w:rsid w:val="006B5359"/>
    <w:rsid w:val="006D7574"/>
    <w:rsid w:val="006F5A3F"/>
    <w:rsid w:val="006F6C48"/>
    <w:rsid w:val="00736A6B"/>
    <w:rsid w:val="00743690"/>
    <w:rsid w:val="00754EC8"/>
    <w:rsid w:val="00791C3F"/>
    <w:rsid w:val="007A764A"/>
    <w:rsid w:val="007B3945"/>
    <w:rsid w:val="00852354"/>
    <w:rsid w:val="0086286A"/>
    <w:rsid w:val="008744EF"/>
    <w:rsid w:val="008A7FA2"/>
    <w:rsid w:val="009276B0"/>
    <w:rsid w:val="00927A53"/>
    <w:rsid w:val="00932C3C"/>
    <w:rsid w:val="00950596"/>
    <w:rsid w:val="009650ED"/>
    <w:rsid w:val="00966EA6"/>
    <w:rsid w:val="00977C2E"/>
    <w:rsid w:val="0099469B"/>
    <w:rsid w:val="009A3B6A"/>
    <w:rsid w:val="009C705C"/>
    <w:rsid w:val="009C7823"/>
    <w:rsid w:val="00A031A0"/>
    <w:rsid w:val="00A32EC5"/>
    <w:rsid w:val="00A56277"/>
    <w:rsid w:val="00A73730"/>
    <w:rsid w:val="00AE7CF7"/>
    <w:rsid w:val="00B0595B"/>
    <w:rsid w:val="00B070BC"/>
    <w:rsid w:val="00B47FCF"/>
    <w:rsid w:val="00B6630B"/>
    <w:rsid w:val="00BA3DD0"/>
    <w:rsid w:val="00BB3144"/>
    <w:rsid w:val="00C04DFB"/>
    <w:rsid w:val="00C13C5B"/>
    <w:rsid w:val="00C24AD0"/>
    <w:rsid w:val="00C320C4"/>
    <w:rsid w:val="00C41889"/>
    <w:rsid w:val="00C644F0"/>
    <w:rsid w:val="00C8412F"/>
    <w:rsid w:val="00CD14A1"/>
    <w:rsid w:val="00D1571D"/>
    <w:rsid w:val="00D660E1"/>
    <w:rsid w:val="00D72DAC"/>
    <w:rsid w:val="00D96543"/>
    <w:rsid w:val="00DA2BFD"/>
    <w:rsid w:val="00DA51FA"/>
    <w:rsid w:val="00DE00A8"/>
    <w:rsid w:val="00DF19B7"/>
    <w:rsid w:val="00E5259E"/>
    <w:rsid w:val="00E61AB5"/>
    <w:rsid w:val="00E61D30"/>
    <w:rsid w:val="00E766A4"/>
    <w:rsid w:val="00E82B0E"/>
    <w:rsid w:val="00EE6ACD"/>
    <w:rsid w:val="00EF1EBC"/>
    <w:rsid w:val="00F10B48"/>
    <w:rsid w:val="00F47468"/>
    <w:rsid w:val="00F64A94"/>
    <w:rsid w:val="00F6720E"/>
    <w:rsid w:val="00F91E49"/>
    <w:rsid w:val="00F96E17"/>
    <w:rsid w:val="00FB54ED"/>
    <w:rsid w:val="00FE37AD"/>
    <w:rsid w:val="01746C6F"/>
    <w:rsid w:val="01E37E15"/>
    <w:rsid w:val="01F83E78"/>
    <w:rsid w:val="020060DE"/>
    <w:rsid w:val="02D31F70"/>
    <w:rsid w:val="02F430B2"/>
    <w:rsid w:val="0315639B"/>
    <w:rsid w:val="04B464A9"/>
    <w:rsid w:val="04E8759B"/>
    <w:rsid w:val="050071C0"/>
    <w:rsid w:val="0510745B"/>
    <w:rsid w:val="05BA07CC"/>
    <w:rsid w:val="06112DB4"/>
    <w:rsid w:val="063934CB"/>
    <w:rsid w:val="06393A45"/>
    <w:rsid w:val="07AD037D"/>
    <w:rsid w:val="07C56096"/>
    <w:rsid w:val="07E02B1C"/>
    <w:rsid w:val="081237E4"/>
    <w:rsid w:val="082F4DFA"/>
    <w:rsid w:val="08C52D6F"/>
    <w:rsid w:val="096A12FE"/>
    <w:rsid w:val="09C67499"/>
    <w:rsid w:val="09D23701"/>
    <w:rsid w:val="0A345C6A"/>
    <w:rsid w:val="0A5C540E"/>
    <w:rsid w:val="0A9145E4"/>
    <w:rsid w:val="0BE67494"/>
    <w:rsid w:val="0C30080D"/>
    <w:rsid w:val="0C5A3BCF"/>
    <w:rsid w:val="0CA465CD"/>
    <w:rsid w:val="0CAC39D9"/>
    <w:rsid w:val="0D1D7190"/>
    <w:rsid w:val="0E3D5069"/>
    <w:rsid w:val="0E5B241B"/>
    <w:rsid w:val="0EB62996"/>
    <w:rsid w:val="0FCE6974"/>
    <w:rsid w:val="0FEC60DC"/>
    <w:rsid w:val="0FF521BC"/>
    <w:rsid w:val="11D82052"/>
    <w:rsid w:val="134770B1"/>
    <w:rsid w:val="141E4B6F"/>
    <w:rsid w:val="14492034"/>
    <w:rsid w:val="145426E6"/>
    <w:rsid w:val="148F7048"/>
    <w:rsid w:val="150E397E"/>
    <w:rsid w:val="15381B53"/>
    <w:rsid w:val="154410F5"/>
    <w:rsid w:val="16406A0E"/>
    <w:rsid w:val="16892685"/>
    <w:rsid w:val="16F60ABB"/>
    <w:rsid w:val="16FA16C0"/>
    <w:rsid w:val="171F3E7E"/>
    <w:rsid w:val="178829DC"/>
    <w:rsid w:val="181426CA"/>
    <w:rsid w:val="18BD58FE"/>
    <w:rsid w:val="18D13844"/>
    <w:rsid w:val="19AE79AF"/>
    <w:rsid w:val="19BC3DC1"/>
    <w:rsid w:val="1A2E02FF"/>
    <w:rsid w:val="1AE531D1"/>
    <w:rsid w:val="1B412344"/>
    <w:rsid w:val="1BDA4AC1"/>
    <w:rsid w:val="1C2B7D43"/>
    <w:rsid w:val="1CCC78CC"/>
    <w:rsid w:val="1DE55E1B"/>
    <w:rsid w:val="1E062E89"/>
    <w:rsid w:val="1E526122"/>
    <w:rsid w:val="1E77318B"/>
    <w:rsid w:val="1E864199"/>
    <w:rsid w:val="1EA063DB"/>
    <w:rsid w:val="1F173C0E"/>
    <w:rsid w:val="1FDB61FB"/>
    <w:rsid w:val="20146FEE"/>
    <w:rsid w:val="201D6D3F"/>
    <w:rsid w:val="20D94EF4"/>
    <w:rsid w:val="224F3EC8"/>
    <w:rsid w:val="227D43AE"/>
    <w:rsid w:val="23835FA7"/>
    <w:rsid w:val="24046325"/>
    <w:rsid w:val="2592273D"/>
    <w:rsid w:val="26734DAB"/>
    <w:rsid w:val="26C551E2"/>
    <w:rsid w:val="26FB6383"/>
    <w:rsid w:val="27312FD9"/>
    <w:rsid w:val="27521916"/>
    <w:rsid w:val="281213CE"/>
    <w:rsid w:val="28E9232B"/>
    <w:rsid w:val="28F61640"/>
    <w:rsid w:val="296E016C"/>
    <w:rsid w:val="29776717"/>
    <w:rsid w:val="29E25DC6"/>
    <w:rsid w:val="2A0B787E"/>
    <w:rsid w:val="2AAE6793"/>
    <w:rsid w:val="2BA81BB3"/>
    <w:rsid w:val="2BB03405"/>
    <w:rsid w:val="2BB554D9"/>
    <w:rsid w:val="2BCC4E91"/>
    <w:rsid w:val="2C12605B"/>
    <w:rsid w:val="2D58544F"/>
    <w:rsid w:val="2D77737C"/>
    <w:rsid w:val="2DDE1E4E"/>
    <w:rsid w:val="2DFA397D"/>
    <w:rsid w:val="2E166397"/>
    <w:rsid w:val="2E9524AA"/>
    <w:rsid w:val="2E9D3186"/>
    <w:rsid w:val="2EF20691"/>
    <w:rsid w:val="2F4E530A"/>
    <w:rsid w:val="2F605B84"/>
    <w:rsid w:val="2F94151F"/>
    <w:rsid w:val="303342D0"/>
    <w:rsid w:val="307B2717"/>
    <w:rsid w:val="31592105"/>
    <w:rsid w:val="31894E52"/>
    <w:rsid w:val="32712BD2"/>
    <w:rsid w:val="32C103D2"/>
    <w:rsid w:val="33B2359C"/>
    <w:rsid w:val="33B54162"/>
    <w:rsid w:val="33D7599C"/>
    <w:rsid w:val="345871EF"/>
    <w:rsid w:val="35592615"/>
    <w:rsid w:val="35BC1034"/>
    <w:rsid w:val="35BE7D70"/>
    <w:rsid w:val="3629746A"/>
    <w:rsid w:val="36823BA1"/>
    <w:rsid w:val="3709455A"/>
    <w:rsid w:val="37353CE8"/>
    <w:rsid w:val="38AF5254"/>
    <w:rsid w:val="38DB2257"/>
    <w:rsid w:val="39A1679C"/>
    <w:rsid w:val="39EB0AF2"/>
    <w:rsid w:val="3A4614A9"/>
    <w:rsid w:val="3A7010B9"/>
    <w:rsid w:val="3B2E39A5"/>
    <w:rsid w:val="3B3F16C0"/>
    <w:rsid w:val="3B6C50DB"/>
    <w:rsid w:val="3BEE5FE1"/>
    <w:rsid w:val="3C7B6ECA"/>
    <w:rsid w:val="3D007123"/>
    <w:rsid w:val="3D3675FD"/>
    <w:rsid w:val="3DB8304E"/>
    <w:rsid w:val="3E7B2C5A"/>
    <w:rsid w:val="3EF63D5B"/>
    <w:rsid w:val="3F463666"/>
    <w:rsid w:val="3F9C7D6C"/>
    <w:rsid w:val="408543BC"/>
    <w:rsid w:val="40B065AF"/>
    <w:rsid w:val="41240AEC"/>
    <w:rsid w:val="41371136"/>
    <w:rsid w:val="419868AD"/>
    <w:rsid w:val="41C01E2D"/>
    <w:rsid w:val="422B02FB"/>
    <w:rsid w:val="427460A5"/>
    <w:rsid w:val="42A05110"/>
    <w:rsid w:val="42B03AF6"/>
    <w:rsid w:val="42BE1E33"/>
    <w:rsid w:val="43380557"/>
    <w:rsid w:val="439A14F5"/>
    <w:rsid w:val="43F4670C"/>
    <w:rsid w:val="441A1ABE"/>
    <w:rsid w:val="44302CEE"/>
    <w:rsid w:val="44F17528"/>
    <w:rsid w:val="452F566F"/>
    <w:rsid w:val="459B57C3"/>
    <w:rsid w:val="45DF172F"/>
    <w:rsid w:val="467F5A35"/>
    <w:rsid w:val="46E37CD8"/>
    <w:rsid w:val="4720760D"/>
    <w:rsid w:val="485943C2"/>
    <w:rsid w:val="48B459D5"/>
    <w:rsid w:val="49115D6F"/>
    <w:rsid w:val="4A117E90"/>
    <w:rsid w:val="4A8B6540"/>
    <w:rsid w:val="4AE07264"/>
    <w:rsid w:val="4BEA681C"/>
    <w:rsid w:val="4C887A92"/>
    <w:rsid w:val="4CD40998"/>
    <w:rsid w:val="4D3C70C3"/>
    <w:rsid w:val="4D5D2E7B"/>
    <w:rsid w:val="4DD56151"/>
    <w:rsid w:val="4DFB4198"/>
    <w:rsid w:val="4F3110E2"/>
    <w:rsid w:val="4FB47CF1"/>
    <w:rsid w:val="4FB542D4"/>
    <w:rsid w:val="5059155E"/>
    <w:rsid w:val="50AE22ED"/>
    <w:rsid w:val="519224B3"/>
    <w:rsid w:val="52711BCE"/>
    <w:rsid w:val="53A56748"/>
    <w:rsid w:val="54414B1F"/>
    <w:rsid w:val="544E6F61"/>
    <w:rsid w:val="544F49E2"/>
    <w:rsid w:val="5472592B"/>
    <w:rsid w:val="557B66CE"/>
    <w:rsid w:val="565830E6"/>
    <w:rsid w:val="56BB1258"/>
    <w:rsid w:val="577F4CCF"/>
    <w:rsid w:val="5780016A"/>
    <w:rsid w:val="57B908EB"/>
    <w:rsid w:val="57DB4F33"/>
    <w:rsid w:val="58244FA7"/>
    <w:rsid w:val="58373FC8"/>
    <w:rsid w:val="59227449"/>
    <w:rsid w:val="593B2571"/>
    <w:rsid w:val="5942577F"/>
    <w:rsid w:val="5974749E"/>
    <w:rsid w:val="59BD1846"/>
    <w:rsid w:val="5A57465F"/>
    <w:rsid w:val="5A5A29C9"/>
    <w:rsid w:val="5B1F3A0B"/>
    <w:rsid w:val="5BE80ED6"/>
    <w:rsid w:val="5C0E1115"/>
    <w:rsid w:val="5C517B93"/>
    <w:rsid w:val="5C867ADA"/>
    <w:rsid w:val="5CE91D7D"/>
    <w:rsid w:val="5D1928CC"/>
    <w:rsid w:val="5D1D6D54"/>
    <w:rsid w:val="5D67424E"/>
    <w:rsid w:val="5D8579FD"/>
    <w:rsid w:val="5D98489E"/>
    <w:rsid w:val="5DE84E6A"/>
    <w:rsid w:val="5E2511AA"/>
    <w:rsid w:val="5EAB6677"/>
    <w:rsid w:val="5EE849D4"/>
    <w:rsid w:val="5EE914C3"/>
    <w:rsid w:val="5EF82366"/>
    <w:rsid w:val="5F1F3F1B"/>
    <w:rsid w:val="5F20741E"/>
    <w:rsid w:val="5F813FC0"/>
    <w:rsid w:val="602B0BD5"/>
    <w:rsid w:val="60424DB8"/>
    <w:rsid w:val="60574DAD"/>
    <w:rsid w:val="60661CB4"/>
    <w:rsid w:val="6087574C"/>
    <w:rsid w:val="60E35AEC"/>
    <w:rsid w:val="60E8480C"/>
    <w:rsid w:val="60FE69AF"/>
    <w:rsid w:val="612D42DC"/>
    <w:rsid w:val="62383234"/>
    <w:rsid w:val="62620AEA"/>
    <w:rsid w:val="62F6089C"/>
    <w:rsid w:val="62FF1978"/>
    <w:rsid w:val="63321301"/>
    <w:rsid w:val="63721CB7"/>
    <w:rsid w:val="63E97377"/>
    <w:rsid w:val="64AA7977"/>
    <w:rsid w:val="65560E6E"/>
    <w:rsid w:val="656A3FF0"/>
    <w:rsid w:val="669C7BE5"/>
    <w:rsid w:val="6742203A"/>
    <w:rsid w:val="6762491F"/>
    <w:rsid w:val="67AA2321"/>
    <w:rsid w:val="67E3620F"/>
    <w:rsid w:val="68716FB6"/>
    <w:rsid w:val="694A50A8"/>
    <w:rsid w:val="69AD626E"/>
    <w:rsid w:val="69C46AE4"/>
    <w:rsid w:val="6A5827A1"/>
    <w:rsid w:val="6A67569D"/>
    <w:rsid w:val="6A737E1A"/>
    <w:rsid w:val="6B2430C0"/>
    <w:rsid w:val="6B441700"/>
    <w:rsid w:val="6BCC0427"/>
    <w:rsid w:val="6BDE1657"/>
    <w:rsid w:val="6D205895"/>
    <w:rsid w:val="6D432577"/>
    <w:rsid w:val="6D671EA4"/>
    <w:rsid w:val="6DF91C8C"/>
    <w:rsid w:val="6E93558C"/>
    <w:rsid w:val="6F036088"/>
    <w:rsid w:val="6F8E0E92"/>
    <w:rsid w:val="6FF27EF5"/>
    <w:rsid w:val="703666C7"/>
    <w:rsid w:val="70C04A87"/>
    <w:rsid w:val="721E7AAF"/>
    <w:rsid w:val="726D1C8F"/>
    <w:rsid w:val="72BE234E"/>
    <w:rsid w:val="73F90A51"/>
    <w:rsid w:val="740E5650"/>
    <w:rsid w:val="746B330F"/>
    <w:rsid w:val="749C2049"/>
    <w:rsid w:val="74A878F0"/>
    <w:rsid w:val="74D35C5D"/>
    <w:rsid w:val="75787FC9"/>
    <w:rsid w:val="75DB29A6"/>
    <w:rsid w:val="76017373"/>
    <w:rsid w:val="76D4787E"/>
    <w:rsid w:val="76F44F37"/>
    <w:rsid w:val="771E02F9"/>
    <w:rsid w:val="78563879"/>
    <w:rsid w:val="78D750CC"/>
    <w:rsid w:val="79C9375B"/>
    <w:rsid w:val="79D6447F"/>
    <w:rsid w:val="7A155DD9"/>
    <w:rsid w:val="7A16385A"/>
    <w:rsid w:val="7B844C9A"/>
    <w:rsid w:val="7BC86AA4"/>
    <w:rsid w:val="7BE81741"/>
    <w:rsid w:val="7C8E4669"/>
    <w:rsid w:val="7CDD7232"/>
    <w:rsid w:val="7D9B4421"/>
    <w:rsid w:val="7E87258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rFonts w:ascii="Calibri" w:hAnsi="Calibri" w:eastAsia="宋体" w:cs="黑体"/>
      <w:b/>
      <w:bCs/>
      <w:sz w:val="32"/>
      <w:szCs w:val="32"/>
    </w:rPr>
  </w:style>
  <w:style w:type="character" w:default="1" w:styleId="12">
    <w:name w:val="Default Paragraph Font"/>
    <w:link w:val="13"/>
    <w:unhideWhenUsed/>
    <w:qFormat/>
    <w:uiPriority w:val="1"/>
    <w:rPr>
      <w:sz w:val="24"/>
    </w:rPr>
  </w:style>
  <w:style w:type="table" w:default="1" w:styleId="16">
    <w:name w:val="Normal Table"/>
    <w:unhideWhenUsed/>
    <w:qFormat/>
    <w:uiPriority w:val="99"/>
    <w:tblPr>
      <w:tblStyle w:val="16"/>
      <w:tblLayout w:type="fixed"/>
      <w:tblCellMar>
        <w:top w:w="0" w:type="dxa"/>
        <w:left w:w="108" w:type="dxa"/>
        <w:bottom w:w="0" w:type="dxa"/>
        <w:right w:w="108" w:type="dxa"/>
      </w:tblCellMar>
    </w:tblPr>
    <w:tcPr>
      <w:textDirection w:val="lrTb"/>
    </w:tcPr>
  </w:style>
  <w:style w:type="paragraph" w:styleId="5">
    <w:name w:val="Normal Indent"/>
    <w:basedOn w:val="1"/>
    <w:link w:val="26"/>
    <w:qFormat/>
    <w:uiPriority w:val="0"/>
    <w:pPr>
      <w:spacing w:line="360" w:lineRule="auto"/>
      <w:ind w:firstLine="200" w:firstLineChars="200"/>
    </w:pPr>
    <w:rPr>
      <w:rFonts w:ascii="Times New Roman" w:hAnsi="Times New Roman" w:eastAsia="宋体" w:cs="Times New Roman"/>
      <w:sz w:val="24"/>
    </w:rPr>
  </w:style>
  <w:style w:type="paragraph" w:styleId="6">
    <w:name w:val="Document Map"/>
    <w:basedOn w:val="1"/>
    <w:link w:val="23"/>
    <w:qFormat/>
    <w:uiPriority w:val="0"/>
    <w:rPr>
      <w:rFonts w:ascii="宋体" w:eastAsia="宋体"/>
      <w:sz w:val="18"/>
      <w:szCs w:val="18"/>
    </w:rPr>
  </w:style>
  <w:style w:type="paragraph" w:styleId="7">
    <w:name w:val="toc 3"/>
    <w:basedOn w:val="1"/>
    <w:next w:val="1"/>
    <w:unhideWhenUsed/>
    <w:qFormat/>
    <w:uiPriority w:val="39"/>
    <w:pPr>
      <w:ind w:left="420"/>
      <w:jc w:val="left"/>
    </w:pPr>
    <w:rPr>
      <w:i/>
      <w:iCs/>
      <w:sz w:val="20"/>
      <w:szCs w:val="20"/>
    </w:rPr>
  </w:style>
  <w:style w:type="paragraph" w:styleId="8">
    <w:name w:val="footer"/>
    <w:basedOn w:val="1"/>
    <w:link w:val="21"/>
    <w:qFormat/>
    <w:uiPriority w:val="0"/>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b/>
      <w:bCs/>
      <w:caps/>
      <w:sz w:val="20"/>
      <w:szCs w:val="20"/>
    </w:rPr>
  </w:style>
  <w:style w:type="paragraph" w:styleId="11">
    <w:name w:val="toc 2"/>
    <w:basedOn w:val="1"/>
    <w:next w:val="1"/>
    <w:unhideWhenUsed/>
    <w:qFormat/>
    <w:uiPriority w:val="39"/>
    <w:pPr>
      <w:ind w:left="210"/>
      <w:jc w:val="left"/>
    </w:pPr>
    <w:rPr>
      <w:smallCaps/>
      <w:sz w:val="20"/>
      <w:szCs w:val="20"/>
    </w:rPr>
  </w:style>
  <w:style w:type="paragraph" w:customStyle="1" w:styleId="13">
    <w:name w:val=" Char Char4 Char Char"/>
    <w:basedOn w:val="1"/>
    <w:link w:val="12"/>
    <w:uiPriority w:val="0"/>
    <w:pPr>
      <w:tabs>
        <w:tab w:val="left" w:pos="360"/>
      </w:tabs>
    </w:pPr>
    <w:rPr>
      <w:sz w:val="24"/>
    </w:rPr>
  </w:style>
  <w:style w:type="character" w:styleId="14">
    <w:name w:val="page number"/>
    <w:basedOn w:val="12"/>
    <w:uiPriority w:val="0"/>
    <w:rPr/>
  </w:style>
  <w:style w:type="character" w:styleId="15">
    <w:name w:val="Hyperlink"/>
    <w:basedOn w:val="12"/>
    <w:unhideWhenUsed/>
    <w:qFormat/>
    <w:uiPriority w:val="99"/>
    <w:rPr>
      <w:color w:val="0563C1"/>
      <w:u w:val="single"/>
    </w:rPr>
  </w:style>
  <w:style w:type="table" w:styleId="17">
    <w:name w:val="Table Grid"/>
    <w:basedOn w:val="16"/>
    <w:qFormat/>
    <w:uiPriority w:val="59"/>
    <w:pPr/>
    <w:rPr>
      <w:rFonts w:ascii="Times New Roman" w:hAnsi="Times New Roman" w:eastAsia="宋体" w:cs="Times New Roman"/>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8">
    <w:name w:val="List Paragraph"/>
    <w:basedOn w:val="1"/>
    <w:unhideWhenUsed/>
    <w:qFormat/>
    <w:uiPriority w:val="34"/>
    <w:pPr>
      <w:ind w:firstLine="420" w:firstLineChars="200"/>
    </w:pPr>
  </w:style>
  <w:style w:type="paragraph" w:customStyle="1" w:styleId="19">
    <w:name w:val="列出段落1"/>
    <w:basedOn w:val="1"/>
    <w:qFormat/>
    <w:uiPriority w:val="34"/>
    <w:pPr>
      <w:ind w:firstLine="420" w:firstLineChars="200"/>
    </w:pPr>
    <w:rPr>
      <w:rFonts w:ascii="Calibri" w:hAnsi="Calibri" w:eastAsia="宋体" w:cs="黑体"/>
      <w:szCs w:val="22"/>
    </w:rPr>
  </w:style>
  <w:style w:type="character" w:customStyle="1" w:styleId="20">
    <w:name w:val="页眉 Char"/>
    <w:basedOn w:val="12"/>
    <w:link w:val="9"/>
    <w:qFormat/>
    <w:uiPriority w:val="0"/>
    <w:rPr>
      <w:kern w:val="2"/>
      <w:sz w:val="18"/>
      <w:szCs w:val="18"/>
    </w:rPr>
  </w:style>
  <w:style w:type="character" w:customStyle="1" w:styleId="21">
    <w:name w:val="页脚 Char"/>
    <w:basedOn w:val="12"/>
    <w:link w:val="8"/>
    <w:qFormat/>
    <w:uiPriority w:val="0"/>
    <w:rPr>
      <w:kern w:val="2"/>
      <w:sz w:val="18"/>
      <w:szCs w:val="18"/>
    </w:rPr>
  </w:style>
  <w:style w:type="character" w:customStyle="1" w:styleId="22">
    <w:name w:val="标题 1 Char"/>
    <w:basedOn w:val="12"/>
    <w:link w:val="2"/>
    <w:qFormat/>
    <w:uiPriority w:val="0"/>
    <w:rPr>
      <w:b/>
      <w:bCs/>
      <w:kern w:val="44"/>
      <w:sz w:val="44"/>
      <w:szCs w:val="44"/>
    </w:rPr>
  </w:style>
  <w:style w:type="character" w:customStyle="1" w:styleId="23">
    <w:name w:val="文档结构图 Char"/>
    <w:basedOn w:val="12"/>
    <w:link w:val="6"/>
    <w:qFormat/>
    <w:uiPriority w:val="0"/>
    <w:rPr>
      <w:rFonts w:ascii="宋体" w:eastAsia="宋体"/>
      <w:kern w:val="2"/>
      <w:sz w:val="18"/>
      <w:szCs w:val="18"/>
    </w:rPr>
  </w:style>
  <w:style w:type="character" w:customStyle="1" w:styleId="24">
    <w:name w:val="标题 2 Char"/>
    <w:basedOn w:val="12"/>
    <w:link w:val="3"/>
    <w:qFormat/>
    <w:uiPriority w:val="9"/>
    <w:rPr>
      <w:rFonts w:ascii="Cambria" w:hAnsi="Cambria" w:eastAsia="宋体" w:cs="黑体"/>
      <w:b/>
      <w:bCs/>
      <w:kern w:val="2"/>
      <w:sz w:val="32"/>
      <w:szCs w:val="32"/>
    </w:rPr>
  </w:style>
  <w:style w:type="character" w:customStyle="1" w:styleId="25">
    <w:name w:val="标题 3 Char"/>
    <w:basedOn w:val="12"/>
    <w:link w:val="4"/>
    <w:qFormat/>
    <w:uiPriority w:val="9"/>
    <w:rPr>
      <w:rFonts w:ascii="Calibri" w:hAnsi="Calibri" w:eastAsia="宋体" w:cs="黑体"/>
      <w:b/>
      <w:bCs/>
      <w:kern w:val="2"/>
      <w:sz w:val="32"/>
      <w:szCs w:val="32"/>
    </w:rPr>
  </w:style>
  <w:style w:type="character" w:customStyle="1" w:styleId="26">
    <w:name w:val="正文缩进 Char2"/>
    <w:link w:val="5"/>
    <w:qFormat/>
    <w:locked/>
    <w:uiPriority w:val="0"/>
    <w:rPr>
      <w:rFonts w:ascii="Times New Roman" w:hAnsi="Times New Roman" w:eastAsia="宋体" w:cs="Times New Roman"/>
      <w:kern w:val="2"/>
      <w:sz w:val="24"/>
      <w:szCs w:val="24"/>
    </w:rPr>
  </w:style>
  <w:style w:type="character" w:customStyle="1" w:styleId="27">
    <w:name w:val="font11"/>
    <w:basedOn w:val="12"/>
    <w:uiPriority w:val="0"/>
    <w:rPr>
      <w:rFonts w:hint="default" w:ascii="Times New Roman" w:hAnsi="Times New Roman" w:cs="Times New Roman"/>
      <w:color w:val="000000"/>
      <w:sz w:val="24"/>
      <w:szCs w:val="24"/>
      <w:u w:val="none"/>
    </w:rPr>
  </w:style>
  <w:style w:type="character" w:customStyle="1" w:styleId="28">
    <w:name w:val="font01"/>
    <w:basedOn w:val="12"/>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971</Words>
  <Characters>5540</Characters>
  <Lines>46</Lines>
  <Paragraphs>12</Paragraphs>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LZG</dc:creator>
  <cp:lastModifiedBy>User</cp:lastModifiedBy>
  <dcterms:modified xsi:type="dcterms:W3CDTF">2020-08-04T09:22:26Z</dcterms:modified>
  <dc:title>华夏银行信用卡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ies>
</file>