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napToGrid w:val="0"/>
        <w:spacing w:lineRule="exact" w:line="704" w:before="0" w:after="120"/>
        <w:jc w:val="center"/>
      </w:pPr>
      <w:r>
        <w:rPr>
          <w:rFonts w:ascii="Times New Roman" w:hAnsi="Times New Roman" w:eastAsia="黑体" w:cs="Times New Roman"/>
          <w:b/>
          <w:sz w:val="44"/>
        </w:rPr>
        <w:t>信息表格填报参考与提交前核对清单</w:t>
      </w:r>
    </w:p>
    <w:p>
      <w:pPr>
        <w:snapToGrid w:val="0"/>
        <w:spacing w:lineRule="exact" w:line="448" w:before="120" w:after="120"/>
        <w:jc w:val="center"/>
      </w:pPr>
      <w:r>
        <w:rPr>
          <w:rFonts w:ascii="Times New Roman" w:hAnsi="Times New Roman" w:eastAsia="楷体" w:cs="Times New Roman"/>
          <w:b w:val="0"/>
          <w:sz w:val="28"/>
        </w:rPr>
        <w:t>（本文件不属于报告正文，供填写在线信息表格及提交前自查使用）</w:t>
      </w:r>
    </w:p>
    <w:p>
      <w:pPr>
        <w:keepNext/>
        <w:snapToGrid w:val="0"/>
        <w:spacing w:lineRule="exact" w:line="440" w:before="160" w:after="40"/>
        <w:jc w:val="both"/>
      </w:pPr>
      <w:r>
        <w:rPr>
          <w:rFonts w:ascii="Times New Roman" w:hAnsi="Times New Roman" w:eastAsia="黑体" w:cs="Times New Roman"/>
          <w:b/>
          <w:sz w:val="24"/>
        </w:rPr>
        <w:t>一、提交前必须先确认的事项</w:t>
      </w:r>
    </w:p>
    <w:p>
      <w:pPr>
        <w:snapToGrid w:val="0"/>
        <w:spacing w:lineRule="exact" w:line="440" w:before="0" w:after="0"/>
        <w:ind w:firstLineChars="200" w:firstLine="480"/>
        <w:jc w:val="both"/>
      </w:pPr>
      <w:r>
        <w:rPr>
          <w:rFonts w:ascii="Times New Roman" w:hAnsi="Times New Roman" w:eastAsia="宋体" w:cs="Times New Roman"/>
          <w:b/>
          <w:sz w:val="24"/>
        </w:rPr>
        <w:t>1. 申请资格与依托单位（最关键）。</w:t>
      </w:r>
      <w:r>
        <w:rPr>
          <w:rFonts w:ascii="Times New Roman" w:hAnsi="Times New Roman" w:eastAsia="宋体" w:cs="Times New Roman"/>
          <w:b w:val="0"/>
          <w:sz w:val="24"/>
        </w:rPr>
        <w:t xml:space="preserve"> 本稿按依托单位“香港大学深圳研究院”撰写。2026年度申请规定：与依托单位无聘用关系的人员不能作为申请人；依托单位非全职聘用的人员须在申请书中如实填写聘任岗位、聘任期限和每年工作时间。请提前与香港大学深圳研究院及香港大学科研管理部门确认：申请人在该院的聘用关系是否成立、博士后身份能否经该院申请青C（2026年规定在聘博士后不得经港澳依托单位申请青C，经内地依托单位申请的适用条件须以2027年度指南和依托单位意见为准）。</w:t>
      </w:r>
    </w:p>
    <w:p>
      <w:pPr>
        <w:snapToGrid w:val="0"/>
        <w:spacing w:lineRule="exact" w:line="440" w:before="0" w:after="0"/>
        <w:ind w:firstLineChars="200" w:firstLine="480"/>
        <w:jc w:val="both"/>
      </w:pPr>
      <w:r>
        <w:rPr>
          <w:rFonts w:ascii="Times New Roman" w:hAnsi="Times New Roman" w:eastAsia="宋体" w:cs="Times New Roman"/>
          <w:b/>
          <w:sz w:val="24"/>
        </w:rPr>
        <w:t>2. 与RGC JRFS申请的关系。</w:t>
      </w:r>
      <w:r>
        <w:rPr>
          <w:rFonts w:ascii="Times New Roman" w:hAnsi="Times New Roman" w:eastAsia="宋体" w:cs="Times New Roman"/>
          <w:b w:val="0"/>
          <w:sz w:val="24"/>
        </w:rPr>
        <w:t xml:space="preserve"> 英文JRFS预申请以香港为研究区；本稿已改为长三角，数据、尺度与研究内容均不同，仅共享“实得降温保护（DCP）”概念框架，重复申请风险明显降低。仍须在（四）5中如实说明JRFS的状态及区别与联系。</w:t>
      </w:r>
    </w:p>
    <w:p>
      <w:pPr>
        <w:snapToGrid w:val="0"/>
        <w:spacing w:lineRule="exact" w:line="440" w:before="0" w:after="0"/>
        <w:ind w:firstLineChars="200" w:firstLine="480"/>
        <w:jc w:val="both"/>
      </w:pPr>
      <w:r>
        <w:rPr>
          <w:rFonts w:ascii="Times New Roman" w:hAnsi="Times New Roman" w:eastAsia="宋体" w:cs="Times New Roman"/>
          <w:b/>
          <w:sz w:val="24"/>
        </w:rPr>
        <w:t>3. 数据与合规。</w:t>
      </w:r>
      <w:r>
        <w:rPr>
          <w:rFonts w:ascii="Times New Roman" w:hAnsi="Times New Roman" w:eastAsia="宋体" w:cs="Times New Roman"/>
          <w:b w:val="0"/>
          <w:sz w:val="24"/>
        </w:rPr>
        <w:t xml:space="preserve"> 本稿依您的确认，写明已获得杭州、上海、南京手机信令及死亡、住院/医保数据，但年份、空间粒度与授权范围均留作</w:t>
      </w:r>
      <w:r>
        <w:rPr>
          <w:rFonts w:ascii="Times New Roman" w:hAnsi="Times New Roman" w:eastAsia="宋体" w:cs="Times New Roman"/>
          <w:b w:val="0"/>
          <w:sz w:val="24"/>
          <w:highlight w:val="yellow"/>
        </w:rPr>
        <w:t>【待补充】</w:t>
      </w:r>
      <w:r>
        <w:rPr>
          <w:rFonts w:ascii="Times New Roman" w:hAnsi="Times New Roman" w:eastAsia="宋体" w:cs="Times New Roman"/>
          <w:b w:val="0"/>
          <w:sz w:val="24"/>
        </w:rPr>
        <w:t>，请据实填写。手机信令（行踪轨迹）与医疗健康信息属敏感个人信息，记录级数据须在境内处理（运营商数据不出域环境或疾控/依托单位安全环境），不得向境外（含香港）传输；伦理审查按《涉及人的生命科学和医学研究伦理审查办法》由依托单位或合作单位伦理委员会负责。</w:t>
      </w:r>
    </w:p>
    <w:p>
      <w:pPr>
        <w:snapToGrid w:val="0"/>
        <w:spacing w:lineRule="exact" w:line="440" w:before="0" w:after="0"/>
        <w:ind w:firstLineChars="200" w:firstLine="480"/>
        <w:jc w:val="both"/>
      </w:pPr>
      <w:r>
        <w:rPr>
          <w:rFonts w:ascii="Times New Roman" w:hAnsi="Times New Roman" w:eastAsia="宋体" w:cs="Times New Roman"/>
          <w:b/>
          <w:sz w:val="24"/>
        </w:rPr>
        <w:t>4. 模板版本。</w:t>
      </w:r>
      <w:r>
        <w:rPr>
          <w:rFonts w:ascii="Times New Roman" w:hAnsi="Times New Roman" w:eastAsia="宋体" w:cs="Times New Roman"/>
          <w:b w:val="0"/>
          <w:sz w:val="24"/>
        </w:rPr>
        <w:t xml:space="preserve"> 本稿使用2026版官方青C报告正文模板（标题与括号文字逐字保留）。2027年度模板通常于1月随指南发布，届时请下载新版并核对提纲文字。</w:t>
      </w:r>
    </w:p>
    <w:p>
      <w:pPr>
        <w:snapToGrid w:val="0"/>
        <w:spacing w:lineRule="exact" w:line="440" w:before="0" w:after="0"/>
        <w:ind w:firstLineChars="200" w:firstLine="480"/>
        <w:jc w:val="both"/>
      </w:pPr>
      <w:r>
        <w:rPr>
          <w:rFonts w:ascii="Times New Roman" w:hAnsi="Times New Roman" w:eastAsia="宋体" w:cs="Times New Roman"/>
          <w:b/>
          <w:sz w:val="24"/>
        </w:rPr>
        <w:t>5. 生成式人工智能声明。</w:t>
      </w:r>
      <w:r>
        <w:rPr>
          <w:rFonts w:ascii="Times New Roman" w:hAnsi="Times New Roman" w:eastAsia="宋体" w:cs="Times New Roman"/>
          <w:b w:val="0"/>
          <w:sz w:val="24"/>
        </w:rPr>
        <w:t xml:space="preserve"> 本稿由英文申请材料经生成式AI辅助翻译、改写（含按您的要求将研究区由香港改为长三角）与文献核查形成。申请规定要求如实声明并人工核实全部生成内容与参考文献；（四）5已给出声明草稿，请按实际情况修改并逐句核实。</w:t>
      </w:r>
    </w:p>
    <w:p>
      <w:pPr>
        <w:snapToGrid w:val="0"/>
        <w:spacing w:lineRule="exact" w:line="440" w:before="0" w:after="0"/>
        <w:ind w:firstLineChars="200" w:firstLine="480"/>
        <w:jc w:val="both"/>
      </w:pPr>
      <w:r>
        <w:rPr>
          <w:rFonts w:ascii="Times New Roman" w:hAnsi="Times New Roman" w:eastAsia="宋体" w:cs="Times New Roman"/>
          <w:b/>
          <w:sz w:val="24"/>
        </w:rPr>
        <w:t>6. 姓名、简历与代表作。</w:t>
      </w:r>
      <w:r>
        <w:rPr>
          <w:rFonts w:ascii="Times New Roman" w:hAnsi="Times New Roman" w:eastAsia="宋体" w:cs="Times New Roman"/>
          <w:b w:val="0"/>
          <w:sz w:val="24"/>
        </w:rPr>
        <w:t xml:space="preserve"> 正文未出现申请人中文姓名；个人简历与代表作（≤5篇，须如实标注本人署名及贡献）在信息系统中另行填写。</w:t>
      </w:r>
    </w:p>
    <w:p>
      <w:pPr>
        <w:snapToGrid w:val="0"/>
        <w:spacing w:lineRule="exact" w:line="440" w:before="0" w:after="0"/>
        <w:ind w:firstLineChars="200" w:firstLine="480"/>
        <w:jc w:val="both"/>
      </w:pPr>
      <w:r>
        <w:rPr>
          <w:rFonts w:ascii="Times New Roman" w:hAnsi="Times New Roman" w:eastAsia="宋体" w:cs="Times New Roman"/>
          <w:b/>
          <w:sz w:val="24"/>
        </w:rPr>
        <w:t>7. 篇幅与分页。</w:t>
      </w:r>
      <w:r>
        <w:rPr>
          <w:rFonts w:ascii="Times New Roman" w:hAnsi="Times New Roman" w:eastAsia="宋体" w:cs="Times New Roman"/>
          <w:b w:val="0"/>
          <w:sz w:val="24"/>
        </w:rPr>
        <w:t xml:space="preserve"> 正文按Word分页写满30页：采用模板默认的宋体小四、固定值22磅行距，经与Word实测页数校准的版式估算，第30页约八成满。WPS或LibreOffice的分页可能比Word多出约1/3页，请以Word打开复核。若Word中超过30页，可先删去（四）5（4）末尾“数据管理采用可追溯流程……”一句（约3行）；若明显不足30页，可将图1、图2宽度由14.6 cm调至15.5 cm。</w:t>
      </w:r>
    </w:p>
    <w:p>
      <w:pPr>
        <w:keepNext/>
        <w:snapToGrid w:val="0"/>
        <w:spacing w:lineRule="exact" w:line="440" w:before="160" w:after="40"/>
        <w:jc w:val="both"/>
      </w:pPr>
      <w:r>
        <w:rPr>
          <w:rFonts w:ascii="Times New Roman" w:hAnsi="Times New Roman" w:eastAsia="黑体" w:cs="Times New Roman"/>
          <w:b/>
          <w:sz w:val="24"/>
        </w:rPr>
        <w:t>二、信息表格填报参考</w:t>
      </w:r>
    </w:p>
    <w:p>
      <w:pPr>
        <w:snapToGrid w:val="0"/>
        <w:spacing w:lineRule="exact" w:line="440" w:before="0" w:after="0"/>
        <w:ind w:firstLineChars="200" w:firstLine="480"/>
        <w:jc w:val="both"/>
      </w:pPr>
      <w:r>
        <w:rPr>
          <w:rFonts w:ascii="Times New Roman" w:hAnsi="Times New Roman" w:eastAsia="宋体" w:cs="Times New Roman"/>
          <w:b/>
          <w:sz w:val="24"/>
        </w:rPr>
        <w:t>项目名称（中文）：</w:t>
      </w:r>
      <w:r>
        <w:rPr>
          <w:rFonts w:ascii="Times New Roman" w:hAnsi="Times New Roman" w:eastAsia="宋体" w:cs="Times New Roman"/>
          <w:b w:val="0"/>
          <w:sz w:val="24"/>
        </w:rPr>
        <w:t>长三角城市群基于自然的解决方案实得降温保护的形成机理与健康效应</w:t>
      </w:r>
    </w:p>
    <w:p>
      <w:pPr>
        <w:snapToGrid w:val="0"/>
        <w:spacing w:lineRule="exact" w:line="440" w:before="0" w:after="0"/>
        <w:ind w:firstLineChars="200" w:firstLine="480"/>
        <w:jc w:val="both"/>
      </w:pPr>
      <w:r>
        <w:rPr>
          <w:rFonts w:ascii="Times New Roman" w:hAnsi="Times New Roman" w:eastAsia="宋体" w:cs="Times New Roman"/>
          <w:b/>
          <w:sz w:val="24"/>
        </w:rPr>
        <w:t>项目名称（英文）：</w:t>
      </w:r>
      <w:r>
        <w:rPr>
          <w:rFonts w:ascii="Times New Roman" w:hAnsi="Times New Roman" w:eastAsia="宋体" w:cs="Times New Roman"/>
          <w:b w:val="0"/>
          <w:sz w:val="24"/>
        </w:rPr>
        <w:t>Formation Mechanisms and Health Effects of Delivered Cooling Protection from Nature-based Solutions in the Yangtze River Delta Urban Agglomeration</w:t>
      </w:r>
    </w:p>
    <w:p>
      <w:pPr>
        <w:snapToGrid w:val="0"/>
        <w:spacing w:lineRule="exact" w:line="440" w:before="0" w:after="0"/>
        <w:ind w:firstLineChars="200" w:firstLine="480"/>
        <w:jc w:val="both"/>
      </w:pPr>
      <w:r>
        <w:rPr>
          <w:rFonts w:ascii="Times New Roman" w:hAnsi="Times New Roman" w:eastAsia="宋体" w:cs="Times New Roman"/>
          <w:b/>
          <w:sz w:val="24"/>
        </w:rPr>
        <w:t>申请代码1（建议）：</w:t>
      </w:r>
      <w:r>
        <w:rPr>
          <w:rFonts w:ascii="Times New Roman" w:hAnsi="Times New Roman" w:eastAsia="宋体" w:cs="Times New Roman"/>
          <w:b w:val="0"/>
          <w:sz w:val="24"/>
        </w:rPr>
        <w:t>D0104 环境地理和灾害地理（健康地理方向）</w:t>
      </w:r>
      <w:r>
        <w:rPr>
          <w:rFonts w:ascii="Times New Roman" w:hAnsi="Times New Roman" w:eastAsia="宋体" w:cs="Times New Roman"/>
          <w:b w:val="0"/>
          <w:sz w:val="24"/>
          <w:highlight w:val="yellow"/>
        </w:rPr>
        <w:t>【待核实：以2027年申请代码表为准】</w:t>
      </w:r>
    </w:p>
    <w:p>
      <w:pPr>
        <w:snapToGrid w:val="0"/>
        <w:spacing w:lineRule="exact" w:line="440" w:before="0" w:after="0"/>
        <w:ind w:firstLineChars="200" w:firstLine="480"/>
        <w:jc w:val="both"/>
      </w:pPr>
      <w:r>
        <w:rPr>
          <w:rFonts w:ascii="Times New Roman" w:hAnsi="Times New Roman" w:eastAsia="宋体" w:cs="Times New Roman"/>
          <w:b/>
          <w:sz w:val="24"/>
        </w:rPr>
        <w:t>申请代码2（建议）：</w:t>
      </w:r>
      <w:r>
        <w:rPr>
          <w:rFonts w:ascii="Times New Roman" w:hAnsi="Times New Roman" w:eastAsia="宋体" w:cs="Times New Roman"/>
          <w:b w:val="0"/>
          <w:sz w:val="24"/>
        </w:rPr>
        <w:t>D0109 城市地理和乡村地理，或D0116 地理大数据与空间智能</w:t>
      </w:r>
      <w:r>
        <w:rPr>
          <w:rFonts w:ascii="Times New Roman" w:hAnsi="Times New Roman" w:eastAsia="宋体" w:cs="Times New Roman"/>
          <w:b w:val="0"/>
          <w:sz w:val="24"/>
          <w:highlight w:val="yellow"/>
        </w:rPr>
        <w:t>【待核实：以2027年申请代码表为准】</w:t>
      </w:r>
    </w:p>
    <w:p>
      <w:pPr>
        <w:snapToGrid w:val="0"/>
        <w:spacing w:lineRule="exact" w:line="440" w:before="0" w:after="0"/>
        <w:ind w:firstLineChars="200" w:firstLine="480"/>
        <w:jc w:val="both"/>
      </w:pPr>
      <w:r>
        <w:rPr>
          <w:rFonts w:ascii="Times New Roman" w:hAnsi="Times New Roman" w:eastAsia="宋体" w:cs="Times New Roman"/>
          <w:b/>
          <w:sz w:val="24"/>
        </w:rPr>
        <w:t>申请代码备选：</w:t>
      </w:r>
      <w:r>
        <w:rPr>
          <w:rFonts w:ascii="Times New Roman" w:hAnsi="Times New Roman" w:eastAsia="宋体" w:cs="Times New Roman"/>
          <w:b w:val="0"/>
          <w:sz w:val="24"/>
        </w:rPr>
        <w:t>如希望由城乡规划领域专家评审，可考虑以工程与材料科学部E0802 城乡规划作为申请代码1；但本项目的核心是热暴露、人群流动与健康结局的地理过程，以地球科学部地理学代码为主更为贴切</w:t>
      </w:r>
      <w:r>
        <w:rPr>
          <w:rFonts w:ascii="Times New Roman" w:hAnsi="Times New Roman" w:eastAsia="宋体" w:cs="Times New Roman"/>
          <w:b w:val="0"/>
          <w:sz w:val="24"/>
          <w:highlight w:val="yellow"/>
        </w:rPr>
        <w:t>【待确认：申请代码选择】</w:t>
      </w:r>
      <w:r>
        <w:rPr>
          <w:rFonts w:ascii="Times New Roman" w:hAnsi="Times New Roman" w:eastAsia="宋体" w:cs="Times New Roman"/>
          <w:b w:val="0"/>
          <w:sz w:val="24"/>
        </w:rPr>
        <w:t>。</w:t>
      </w:r>
    </w:p>
    <w:p>
      <w:pPr>
        <w:snapToGrid w:val="0"/>
        <w:spacing w:lineRule="exact" w:line="440" w:before="0" w:after="0"/>
        <w:ind w:firstLineChars="200" w:firstLine="480"/>
        <w:jc w:val="both"/>
      </w:pPr>
      <w:r>
        <w:rPr>
          <w:rFonts w:ascii="Times New Roman" w:hAnsi="Times New Roman" w:eastAsia="宋体" w:cs="Times New Roman"/>
          <w:b/>
          <w:sz w:val="24"/>
        </w:rPr>
        <w:t>研究属性（建议）：</w:t>
      </w:r>
      <w:r>
        <w:rPr>
          <w:rFonts w:ascii="Times New Roman" w:hAnsi="Times New Roman" w:eastAsia="宋体" w:cs="Times New Roman"/>
          <w:b w:val="0"/>
          <w:sz w:val="24"/>
        </w:rPr>
        <w:t>目标导向类基础研究。理由：选题以长三角城市群应对极端高温、保护老年人与户外工作者等脆弱人群健康的现实需求为牵引，同时凝练了“形态过滤—时空耦合—健康转化”的明确科学问题</w:t>
      </w:r>
      <w:r>
        <w:rPr>
          <w:rFonts w:ascii="Times New Roman" w:hAnsi="Times New Roman" w:eastAsia="宋体" w:cs="Times New Roman"/>
          <w:b w:val="0"/>
          <w:sz w:val="24"/>
          <w:highlight w:val="yellow"/>
        </w:rPr>
        <w:t>【待确认：研究属性】</w:t>
      </w:r>
      <w:r>
        <w:rPr>
          <w:rFonts w:ascii="Times New Roman" w:hAnsi="Times New Roman" w:eastAsia="宋体" w:cs="Times New Roman"/>
          <w:b w:val="0"/>
          <w:sz w:val="24"/>
        </w:rPr>
        <w:t>。</w:t>
      </w:r>
    </w:p>
    <w:p>
      <w:pPr>
        <w:snapToGrid w:val="0"/>
        <w:spacing w:lineRule="exact" w:line="440" w:before="0" w:after="0"/>
        <w:ind w:firstLineChars="200" w:firstLine="480"/>
        <w:jc w:val="both"/>
      </w:pPr>
      <w:r>
        <w:rPr>
          <w:rFonts w:ascii="Times New Roman" w:hAnsi="Times New Roman" w:eastAsia="宋体" w:cs="Times New Roman"/>
          <w:b/>
          <w:sz w:val="24"/>
        </w:rPr>
        <w:t>研究期限：</w:t>
      </w:r>
      <w:r>
        <w:rPr>
          <w:rFonts w:ascii="Times New Roman" w:hAnsi="Times New Roman" w:eastAsia="宋体" w:cs="Times New Roman"/>
          <w:b w:val="0"/>
          <w:sz w:val="24"/>
        </w:rPr>
        <w:t>2028年1月1日—2030年12月31日</w:t>
      </w:r>
    </w:p>
    <w:p>
      <w:pPr>
        <w:snapToGrid w:val="0"/>
        <w:spacing w:lineRule="exact" w:line="440" w:before="0" w:after="0"/>
        <w:ind w:firstLineChars="200" w:firstLine="480"/>
        <w:jc w:val="both"/>
      </w:pPr>
      <w:r>
        <w:rPr>
          <w:rFonts w:ascii="Times New Roman" w:hAnsi="Times New Roman" w:eastAsia="宋体" w:cs="Times New Roman"/>
          <w:b/>
          <w:sz w:val="24"/>
        </w:rPr>
        <w:t>中文关键词：</w:t>
      </w:r>
      <w:r>
        <w:rPr>
          <w:rFonts w:ascii="Times New Roman" w:hAnsi="Times New Roman" w:eastAsia="宋体" w:cs="Times New Roman"/>
          <w:b w:val="0"/>
          <w:sz w:val="24"/>
        </w:rPr>
        <w:t>基于自然的解决方案；实得降温保护；动态热暴露；热健康公平；长三角城市群</w:t>
      </w:r>
    </w:p>
    <w:p>
      <w:pPr>
        <w:snapToGrid w:val="0"/>
        <w:spacing w:lineRule="exact" w:line="440" w:before="0" w:after="0"/>
        <w:ind w:firstLineChars="200" w:firstLine="480"/>
        <w:jc w:val="both"/>
      </w:pPr>
      <w:r>
        <w:rPr>
          <w:rFonts w:ascii="Times New Roman" w:hAnsi="Times New Roman" w:eastAsia="宋体" w:cs="Times New Roman"/>
          <w:b/>
          <w:sz w:val="24"/>
        </w:rPr>
        <w:t>英文关键词：</w:t>
      </w:r>
      <w:r>
        <w:rPr>
          <w:rFonts w:ascii="Times New Roman" w:hAnsi="Times New Roman" w:eastAsia="宋体" w:cs="Times New Roman"/>
          <w:b w:val="0"/>
          <w:sz w:val="24"/>
        </w:rPr>
        <w:t>nature-based solutions; delivered cooling protection; dynamic heat exposure; heat-health equity; Yangtze River Delta urban agglomeration</w:t>
      </w:r>
    </w:p>
    <w:p>
      <w:pPr>
        <w:snapToGrid w:val="0"/>
        <w:spacing w:lineRule="exact" w:line="440" w:before="0" w:after="0"/>
        <w:ind w:firstLineChars="200" w:firstLine="480"/>
        <w:jc w:val="both"/>
      </w:pPr>
      <w:r>
        <w:rPr>
          <w:rFonts w:ascii="Times New Roman" w:hAnsi="Times New Roman" w:eastAsia="宋体" w:cs="Times New Roman"/>
          <w:b/>
          <w:sz w:val="24"/>
        </w:rPr>
        <w:t>中文摘要：</w:t>
      </w:r>
    </w:p>
    <w:p>
      <w:pPr>
        <w:snapToGrid w:val="0"/>
        <w:spacing w:lineRule="exact" w:line="440" w:before="0" w:after="0"/>
        <w:ind w:firstLineChars="200" w:firstLine="480"/>
        <w:jc w:val="both"/>
      </w:pPr>
      <w:r>
        <w:rPr>
          <w:rFonts w:ascii="Times New Roman" w:hAnsi="Times New Roman" w:eastAsia="宋体" w:cs="Times New Roman"/>
          <w:b w:val="0"/>
          <w:sz w:val="24"/>
        </w:rPr>
        <w:t>极端高温威胁城市人群健康。基于自然的解决方案（NbS）日益用于城市降温，但现有评估多依据地表温度与居住地，衡量城市拥有多少自然，而非人群何时何地获得多少保护。本项目以长三角湿热河网城市群为对象，提出“实得降温保护（DCP）”，即人群在场时因NbS可归因降温（扣除城市形态、建筑遮荫与通风影响）而避免的热暴露，以人·小时计量。构建2000—2024年逐时近地表气温与通用热气候指数数据集（41城1 km，杭州、上海、南京中心城区30 m），识别九类NbS的逐时可归因降温及其减弱、反转条件与区域差异；以三城手机信令重建人群逐时在场，聚焦老年人、低社会经济地位人群和户外工作者，在资源供给、实得保护与保护缺口三个层次检验“资源公平不等于保护公平”；以乡镇街道与区县两级分布滞后非线性模型检验DCP相对于静态蓝绿空间指标的样本外解释力，估算现有NbS已避免的热相关死亡。</w:t>
      </w:r>
    </w:p>
    <w:p>
      <w:pPr>
        <w:snapToGrid w:val="0"/>
        <w:spacing w:lineRule="exact" w:line="440" w:before="0" w:after="0"/>
        <w:ind w:firstLineChars="200" w:firstLine="480"/>
        <w:jc w:val="both"/>
      </w:pPr>
      <w:r>
        <w:rPr>
          <w:rFonts w:ascii="Times New Roman" w:hAnsi="Times New Roman" w:eastAsia="宋体" w:cs="Times New Roman"/>
          <w:b w:val="0"/>
          <w:sz w:val="24"/>
        </w:rPr>
        <w:t>（中文摘要字数：382字符，含标点与空格；上限400字符。）</w:t>
      </w:r>
    </w:p>
    <w:p>
      <w:pPr>
        <w:snapToGrid w:val="0"/>
        <w:spacing w:lineRule="exact" w:line="440" w:before="0" w:after="0"/>
        <w:ind w:firstLineChars="200" w:firstLine="480"/>
        <w:jc w:val="both"/>
      </w:pPr>
      <w:r>
        <w:rPr>
          <w:rFonts w:ascii="Times New Roman" w:hAnsi="Times New Roman" w:eastAsia="宋体" w:cs="Times New Roman"/>
          <w:b/>
          <w:sz w:val="24"/>
        </w:rPr>
        <w:t>英文摘要：</w:t>
      </w:r>
    </w:p>
    <w:p>
      <w:pPr>
        <w:snapToGrid w:val="0"/>
        <w:spacing w:lineRule="exact" w:line="440" w:before="0" w:after="0"/>
        <w:ind w:firstLineChars="200" w:firstLine="480"/>
        <w:jc w:val="both"/>
      </w:pPr>
      <w:r>
        <w:rPr>
          <w:rFonts w:ascii="Times New Roman" w:hAnsi="Times New Roman" w:eastAsia="宋体" w:cs="Times New Roman"/>
          <w:b w:val="0"/>
          <w:sz w:val="24"/>
        </w:rPr>
        <w:t>Extreme heat is a leading environmental health threat to urban populations. Nature-based solutions (NbS) are increasingly promoted for urban cooling, yet most assessments rely on land surface temperature and residential addresses, measuring how much nature a city holds rather than how much heat exposure it removes, when, where and for whom. Focusing on the Yangtze River Delta (YRD) urban agglomeration, a hot-humid region with dense river networks, this project proposes Delivered Cooling Protection (DCP): the heat exposure, in person-hours, avoided where and when people are actually present owing to cooling attributable to NbS after controlling for urban form, building shade and ventilation. Drawing on the ecosystem services cascade, it examines morphological filtering, spatiotemporal coupling and health translation at two levels: all 41 YRD cities, and the central urban areas of Hangzhou, Shanghai and Nanjing. First, it will build and validate the YRD Heat Exposure Surface (YRD-HES), providing hourly near-surface air temperature and Universal Thermal Climate Index (UTCI) for 2000–2024 at 1 km across the 41 cities and at 30 m in the three cities, and identify the hourly attributable cooling of nine NbS types by urban form and time of day, including when cooling weakens or reverses. Estimates will be checked with difference-in-differences natural experiments and microclimate removal simulations, and compared across background climates and water-network densities. Second, using mobile phone signalling data to reconstruct hourly population presence in the three cities, it will compute DCP, per-capita DCP and DCP deficits for older adults, socioeconomically disadvantaged groups and outdoor workers, and test, across provision, delivered protection and protection deficit, the central hypothesis that equity in resource provision does not entail equity in delivered protection. Third, using distributed lag non-linear models of daily mortality at the township/subdistrict level in the three cities, with district/county-level models based on YRD mortality-surveillance data</w:t>
      </w:r>
      <w:r>
        <w:rPr>
          <w:rFonts w:ascii="Times New Roman" w:hAnsi="Times New Roman" w:eastAsia="宋体" w:cs="Times New Roman"/>
          <w:b w:val="0"/>
          <w:sz w:val="24"/>
          <w:highlight w:val="yellow"/>
        </w:rPr>
        <w:t>【待补充：覆盖范围】</w:t>
      </w:r>
      <w:r>
        <w:rPr>
          <w:rFonts w:ascii="Times New Roman" w:hAnsi="Times New Roman" w:eastAsia="宋体" w:cs="Times New Roman"/>
          <w:b w:val="0"/>
          <w:sz w:val="24"/>
        </w:rPr>
        <w:t xml:space="preserve"> as an external-validity check, it will test whether DCP as an effect modifier yields lower out-of-sample deviance than static green and blue space indicators, and estimate the heat-related deaths already averted by existing NbS, by population group. The project will reveal how NbS cooling is converted into delivered protection and health benefit, and inform NbS planning and fine-grained heat-risk management in the YRD.</w:t>
      </w:r>
    </w:p>
    <w:p>
      <w:pPr>
        <w:snapToGrid w:val="0"/>
        <w:spacing w:lineRule="exact" w:line="440" w:before="0" w:after="0"/>
        <w:ind w:firstLineChars="200" w:firstLine="480"/>
        <w:jc w:val="both"/>
      </w:pPr>
      <w:r>
        <w:rPr>
          <w:rFonts w:ascii="Times New Roman" w:hAnsi="Times New Roman" w:eastAsia="宋体" w:cs="Times New Roman"/>
          <w:b w:val="0"/>
          <w:sz w:val="24"/>
        </w:rPr>
        <w:t>（英文摘要字数：2519个字符，含空格，不含占位符，约362词；上限4000个字符。）</w:t>
      </w:r>
    </w:p>
    <w:p>
      <w:pPr>
        <w:keepNext/>
        <w:snapToGrid w:val="0"/>
        <w:spacing w:lineRule="exact" w:line="440" w:before="160" w:after="40"/>
        <w:jc w:val="both"/>
      </w:pPr>
      <w:r>
        <w:rPr>
          <w:rFonts w:ascii="Times New Roman" w:hAnsi="Times New Roman" w:eastAsia="黑体" w:cs="Times New Roman"/>
          <w:b/>
          <w:sz w:val="24"/>
        </w:rPr>
        <w:t>三、正文中待补充/待核实/待确认事项清单</w:t>
      </w:r>
    </w:p>
    <w:p>
      <w:pPr>
        <w:snapToGrid w:val="0"/>
        <w:spacing w:lineRule="exact" w:line="440" w:before="0" w:after="0"/>
        <w:ind w:firstLineChars="200" w:firstLine="480"/>
        <w:jc w:val="both"/>
      </w:pPr>
      <w:r>
        <w:rPr>
          <w:rFonts w:ascii="Times New Roman" w:hAnsi="Times New Roman" w:eastAsia="宋体" w:cs="Times New Roman"/>
          <w:b w:val="0"/>
          <w:sz w:val="24"/>
        </w:rPr>
        <w:t>以下条目在正文中以黄色高亮标出，提交前须逐项处理并删除标记：</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（一）立项依据：</w:t>
      </w:r>
      <w:r>
        <w:rPr>
          <w:rFonts w:ascii="Times New Roman" w:hAnsi="Times New Roman" w:eastAsia="宋体" w:cs="Times New Roman"/>
          <w:b w:val="0"/>
          <w:sz w:val="24"/>
          <w:highlight w:val="yellow"/>
        </w:rPr>
        <w:t>【待核实：以沪杭气象部门发布为准】</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（一）立项依据：</w:t>
      </w:r>
      <w:r>
        <w:rPr>
          <w:rFonts w:ascii="Times New Roman" w:hAnsi="Times New Roman" w:eastAsia="宋体" w:cs="Times New Roman"/>
          <w:b w:val="0"/>
          <w:sz w:val="24"/>
          <w:highlight w:val="yellow"/>
        </w:rPr>
        <w:t>【待补充：具体指标】</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（二）研究内容：</w:t>
      </w:r>
      <w:r>
        <w:rPr>
          <w:rFonts w:ascii="Times New Roman" w:hAnsi="Times New Roman" w:eastAsia="宋体" w:cs="Times New Roman"/>
          <w:b w:val="0"/>
          <w:sz w:val="24"/>
          <w:highlight w:val="yellow"/>
        </w:rPr>
        <w:t>【待确认】</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（二）研究内容：</w:t>
      </w:r>
      <w:r>
        <w:rPr>
          <w:rFonts w:ascii="Times New Roman" w:hAnsi="Times New Roman" w:eastAsia="宋体" w:cs="Times New Roman"/>
          <w:b w:val="0"/>
          <w:sz w:val="24"/>
          <w:highlight w:val="yellow"/>
        </w:rPr>
        <w:t>【待补充】</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（二）研究内容：</w:t>
      </w:r>
      <w:r>
        <w:rPr>
          <w:rFonts w:ascii="Times New Roman" w:hAnsi="Times New Roman" w:eastAsia="宋体" w:cs="Times New Roman"/>
          <w:b w:val="0"/>
          <w:sz w:val="24"/>
          <w:highlight w:val="yellow"/>
        </w:rPr>
        <w:t>【待核实】</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（二）研究内容：</w:t>
      </w:r>
      <w:r>
        <w:rPr>
          <w:rFonts w:ascii="Times New Roman" w:hAnsi="Times New Roman" w:eastAsia="宋体" w:cs="Times New Roman"/>
          <w:b w:val="0"/>
          <w:sz w:val="24"/>
          <w:highlight w:val="yellow"/>
        </w:rPr>
        <w:t>【待补充：年份、粒度与范围】</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（二）研究内容：</w:t>
      </w:r>
      <w:r>
        <w:rPr>
          <w:rFonts w:ascii="Times New Roman" w:hAnsi="Times New Roman" w:eastAsia="宋体" w:cs="Times New Roman"/>
          <w:b w:val="0"/>
          <w:sz w:val="24"/>
          <w:highlight w:val="yellow"/>
        </w:rPr>
        <w:t>【待确认：如为运营商汇总产品则核对其口径】</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（二）研究内容：</w:t>
      </w:r>
      <w:r>
        <w:rPr>
          <w:rFonts w:ascii="Times New Roman" w:hAnsi="Times New Roman" w:eastAsia="宋体" w:cs="Times New Roman"/>
          <w:b w:val="0"/>
          <w:sz w:val="24"/>
          <w:highlight w:val="yellow"/>
        </w:rPr>
        <w:t>【待补充：范围、单元数与暖季日均死亡数】</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（二）研究内容：</w:t>
      </w:r>
      <w:r>
        <w:rPr>
          <w:rFonts w:ascii="Times New Roman" w:hAnsi="Times New Roman" w:eastAsia="宋体" w:cs="Times New Roman"/>
          <w:b w:val="0"/>
          <w:sz w:val="24"/>
          <w:highlight w:val="yellow"/>
        </w:rPr>
        <w:t>【待补充：合作者、单位与分工；如无则删去本句】</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（二）研究内容：</w:t>
      </w:r>
      <w:r>
        <w:rPr>
          <w:rFonts w:ascii="Times New Roman" w:hAnsi="Times New Roman" w:eastAsia="宋体" w:cs="Times New Roman"/>
          <w:b w:val="0"/>
          <w:sz w:val="24"/>
          <w:highlight w:val="yellow"/>
        </w:rPr>
        <w:t>【待补充：会议名称】</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（二）研究内容：</w:t>
      </w:r>
      <w:r>
        <w:rPr>
          <w:rFonts w:ascii="Times New Roman" w:hAnsi="Times New Roman" w:eastAsia="宋体" w:cs="Times New Roman"/>
          <w:b w:val="0"/>
          <w:sz w:val="24"/>
          <w:highlight w:val="yellow"/>
        </w:rPr>
        <w:t>【待补充：人数】</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（三）1 研究基础与可行性分析：</w:t>
      </w:r>
      <w:r>
        <w:rPr>
          <w:rFonts w:ascii="Times New Roman" w:hAnsi="Times New Roman" w:eastAsia="宋体" w:cs="Times New Roman"/>
          <w:b w:val="0"/>
          <w:sz w:val="24"/>
          <w:highlight w:val="yellow"/>
        </w:rPr>
        <w:t>【待核实：与依托单位的聘任关系，见（四）5（1）】</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（三）1 研究基础与可行性分析：</w:t>
      </w:r>
      <w:r>
        <w:rPr>
          <w:rFonts w:ascii="Times New Roman" w:hAnsi="Times New Roman" w:eastAsia="宋体" w:cs="Times New Roman"/>
          <w:b w:val="0"/>
          <w:sz w:val="24"/>
          <w:highlight w:val="yellow"/>
        </w:rPr>
        <w:t>【待核实：对应文献，否则删除】</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（三）1 研究基础与可行性分析：</w:t>
      </w:r>
      <w:r>
        <w:rPr>
          <w:rFonts w:ascii="Times New Roman" w:hAnsi="Times New Roman" w:eastAsia="宋体" w:cs="Times New Roman"/>
          <w:b w:val="0"/>
          <w:sz w:val="24"/>
          <w:highlight w:val="yellow"/>
        </w:rPr>
        <w:t>【待核实：研究区（是否浙江）与年份】</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（三）1 研究基础与可行性分析：</w:t>
      </w:r>
      <w:r>
        <w:rPr>
          <w:rFonts w:ascii="Times New Roman" w:hAnsi="Times New Roman" w:eastAsia="宋体" w:cs="Times New Roman"/>
          <w:b w:val="0"/>
          <w:sz w:val="24"/>
          <w:highlight w:val="yellow"/>
        </w:rPr>
        <w:t>【待核实】</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（三）1 研究基础与可行性分析：</w:t>
      </w:r>
      <w:r>
        <w:rPr>
          <w:rFonts w:ascii="Times New Roman" w:hAnsi="Times New Roman" w:eastAsia="宋体" w:cs="Times New Roman"/>
          <w:b w:val="0"/>
          <w:sz w:val="24"/>
          <w:highlight w:val="yellow"/>
        </w:rPr>
        <w:t>【待核实：提交前更新并注明数据库】</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（三）1 研究基础与可行性分析：</w:t>
      </w:r>
      <w:r>
        <w:rPr>
          <w:rFonts w:ascii="Times New Roman" w:hAnsi="Times New Roman" w:eastAsia="宋体" w:cs="Times New Roman"/>
          <w:b w:val="0"/>
          <w:sz w:val="24"/>
          <w:highlight w:val="yellow"/>
        </w:rPr>
        <w:t>【待核实：获奖成果与排名】</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（三）1 研究基础与可行性分析：</w:t>
      </w:r>
      <w:r>
        <w:rPr>
          <w:rFonts w:ascii="Times New Roman" w:hAnsi="Times New Roman" w:eastAsia="宋体" w:cs="Times New Roman"/>
          <w:b w:val="0"/>
          <w:sz w:val="24"/>
          <w:highlight w:val="yellow"/>
        </w:rPr>
        <w:t>【待核实：会议正式名称】</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（三）1 研究基础与可行性分析：</w:t>
      </w:r>
      <w:r>
        <w:rPr>
          <w:rFonts w:ascii="Times New Roman" w:hAnsi="Times New Roman" w:eastAsia="宋体" w:cs="Times New Roman"/>
          <w:b w:val="0"/>
          <w:sz w:val="24"/>
          <w:highlight w:val="yellow"/>
        </w:rPr>
        <w:t>【待补充：信令年份与时空粒度；死亡数据年份、死因编码、乡镇街道数与暖季日均死亡数】</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（三）1 研究基础与可行性分析：</w:t>
      </w:r>
      <w:r>
        <w:rPr>
          <w:rFonts w:ascii="Times New Roman" w:hAnsi="Times New Roman" w:eastAsia="宋体" w:cs="Times New Roman"/>
          <w:b w:val="0"/>
          <w:sz w:val="24"/>
          <w:highlight w:val="yellow"/>
        </w:rPr>
        <w:t>【待核实：参与身份】</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（三）1 研究基础与可行性分析：</w:t>
      </w:r>
      <w:r>
        <w:rPr>
          <w:rFonts w:ascii="Times New Roman" w:hAnsi="Times New Roman" w:eastAsia="宋体" w:cs="Times New Roman"/>
          <w:b w:val="0"/>
          <w:sz w:val="24"/>
          <w:highlight w:val="yellow"/>
        </w:rPr>
        <w:t>【待补充：项目组成员与分工】</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（三）1 研究基础与可行性分析：</w:t>
      </w:r>
      <w:r>
        <w:rPr>
          <w:rFonts w:ascii="Times New Roman" w:hAnsi="Times New Roman" w:eastAsia="宋体" w:cs="Times New Roman"/>
          <w:b w:val="0"/>
          <w:sz w:val="24"/>
          <w:highlight w:val="yellow"/>
        </w:rPr>
        <w:t>【待确认】</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（三）2 工作条件：</w:t>
      </w:r>
      <w:r>
        <w:rPr>
          <w:rFonts w:ascii="Times New Roman" w:hAnsi="Times New Roman" w:eastAsia="宋体" w:cs="Times New Roman"/>
          <w:b w:val="0"/>
          <w:sz w:val="24"/>
          <w:highlight w:val="yellow"/>
        </w:rPr>
        <w:t>【待补充：提供方与当前存放环境】</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（三）2 工作条件：</w:t>
      </w:r>
      <w:r>
        <w:rPr>
          <w:rFonts w:ascii="Times New Roman" w:hAnsi="Times New Roman" w:eastAsia="宋体" w:cs="Times New Roman"/>
          <w:b w:val="0"/>
          <w:sz w:val="24"/>
          <w:highlight w:val="yellow"/>
        </w:rPr>
        <w:t>【待补充：可提供的办公场所、境内计算与数据安全条件】</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（三）2 工作条件：</w:t>
      </w:r>
      <w:r>
        <w:rPr>
          <w:rFonts w:ascii="Times New Roman" w:hAnsi="Times New Roman" w:eastAsia="宋体" w:cs="Times New Roman"/>
          <w:b w:val="0"/>
          <w:sz w:val="24"/>
          <w:highlight w:val="yellow"/>
        </w:rPr>
        <w:t>【待核实：具体环境】</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（三）2 工作条件：</w:t>
      </w:r>
      <w:r>
        <w:rPr>
          <w:rFonts w:ascii="Times New Roman" w:hAnsi="Times New Roman" w:eastAsia="宋体" w:cs="Times New Roman"/>
          <w:b w:val="0"/>
          <w:sz w:val="24"/>
          <w:highlight w:val="yellow"/>
        </w:rPr>
        <w:t>【待核实：审查机构】</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（三）2 工作条件：</w:t>
      </w:r>
      <w:r>
        <w:rPr>
          <w:rFonts w:ascii="Times New Roman" w:hAnsi="Times New Roman" w:eastAsia="宋体" w:cs="Times New Roman"/>
          <w:b w:val="0"/>
          <w:sz w:val="24"/>
          <w:highlight w:val="yellow"/>
        </w:rPr>
        <w:t>【待补充：合作者姓名、单位与分工】</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（三）2 工作条件：</w:t>
      </w:r>
      <w:r>
        <w:rPr>
          <w:rFonts w:ascii="Times New Roman" w:hAnsi="Times New Roman" w:eastAsia="宋体" w:cs="Times New Roman"/>
          <w:b w:val="0"/>
          <w:sz w:val="24"/>
          <w:highlight w:val="yellow"/>
        </w:rPr>
        <w:t>【待补充：境内计算平台及配额】</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（三）2 工作条件：</w:t>
      </w:r>
      <w:r>
        <w:rPr>
          <w:rFonts w:ascii="Times New Roman" w:hAnsi="Times New Roman" w:eastAsia="宋体" w:cs="Times New Roman"/>
          <w:b w:val="0"/>
          <w:sz w:val="24"/>
          <w:highlight w:val="yellow"/>
        </w:rPr>
        <w:t>【待补充：获取方式】</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（三）2 工作条件：</w:t>
      </w:r>
      <w:r>
        <w:rPr>
          <w:rFonts w:ascii="Times New Roman" w:hAnsi="Times New Roman" w:eastAsia="宋体" w:cs="Times New Roman"/>
          <w:b w:val="0"/>
          <w:sz w:val="24"/>
          <w:highlight w:val="yellow"/>
        </w:rPr>
        <w:t>【待核实】</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（三）3 正在承担的项目：</w:t>
      </w:r>
      <w:r>
        <w:rPr>
          <w:rFonts w:ascii="Times New Roman" w:hAnsi="Times New Roman" w:eastAsia="宋体" w:cs="Times New Roman"/>
          <w:b w:val="0"/>
          <w:sz w:val="24"/>
          <w:highlight w:val="yellow"/>
        </w:rPr>
        <w:t>【待核实】</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（三）3 正在承担的项目：</w:t>
      </w:r>
      <w:r>
        <w:rPr>
          <w:rFonts w:ascii="Times New Roman" w:hAnsi="Times New Roman" w:eastAsia="宋体" w:cs="Times New Roman"/>
          <w:b w:val="0"/>
          <w:sz w:val="24"/>
          <w:highlight w:val="yellow"/>
        </w:rPr>
        <w:t>【待核实：如为正式登记的项目组成员，请按模板字段逐项列出】</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（四）1：</w:t>
      </w:r>
      <w:r>
        <w:rPr>
          <w:rFonts w:ascii="Times New Roman" w:hAnsi="Times New Roman" w:eastAsia="宋体" w:cs="Times New Roman"/>
          <w:b w:val="0"/>
          <w:sz w:val="24"/>
          <w:highlight w:val="yellow"/>
        </w:rPr>
        <w:t>【待核实】</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（四）5 其他：</w:t>
      </w:r>
      <w:r>
        <w:rPr>
          <w:rFonts w:ascii="Times New Roman" w:hAnsi="Times New Roman" w:eastAsia="宋体" w:cs="Times New Roman"/>
          <w:b w:val="0"/>
          <w:sz w:val="24"/>
          <w:highlight w:val="yellow"/>
        </w:rPr>
        <w:t>【待核实：全职或非全职，须与个人简历一致】</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（四）5 其他：</w:t>
      </w:r>
      <w:r>
        <w:rPr>
          <w:rFonts w:ascii="Times New Roman" w:hAnsi="Times New Roman" w:eastAsia="宋体" w:cs="Times New Roman"/>
          <w:b w:val="0"/>
          <w:sz w:val="24"/>
          <w:highlight w:val="yellow"/>
        </w:rPr>
        <w:t>【待补充】</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（四）5 其他：</w:t>
      </w:r>
      <w:r>
        <w:rPr>
          <w:rFonts w:ascii="Times New Roman" w:hAnsi="Times New Roman" w:eastAsia="宋体" w:cs="Times New Roman"/>
          <w:b w:val="0"/>
          <w:sz w:val="24"/>
          <w:highlight w:val="yellow"/>
        </w:rPr>
        <w:t>【待核实：提交时间与状态】</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（四）5 其他：</w:t>
      </w:r>
      <w:r>
        <w:rPr>
          <w:rFonts w:ascii="Times New Roman" w:hAnsi="Times New Roman" w:eastAsia="宋体" w:cs="Times New Roman"/>
          <w:b w:val="0"/>
          <w:sz w:val="24"/>
          <w:highlight w:val="yellow"/>
        </w:rPr>
        <w:t>【待补充：未获提名、评审中或已获资助】</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（四）5 其他：</w:t>
      </w:r>
      <w:r>
        <w:rPr>
          <w:rFonts w:ascii="Times New Roman" w:hAnsi="Times New Roman" w:eastAsia="宋体" w:cs="Times New Roman"/>
          <w:b w:val="0"/>
          <w:sz w:val="24"/>
          <w:highlight w:val="yellow"/>
        </w:rPr>
        <w:t>【待确认】</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（四）5 其他：</w:t>
      </w:r>
      <w:r>
        <w:rPr>
          <w:rFonts w:ascii="Times New Roman" w:hAnsi="Times New Roman" w:eastAsia="宋体" w:cs="Times New Roman"/>
          <w:b w:val="0"/>
          <w:sz w:val="24"/>
          <w:highlight w:val="yellow"/>
        </w:rPr>
        <w:t>【待确认：列出采用部分】</w:t>
      </w:r>
    </w:p>
    <w:p>
      <w:pPr>
        <w:keepNext/>
        <w:snapToGrid w:val="0"/>
        <w:spacing w:lineRule="exact" w:line="440" w:before="160" w:after="40"/>
        <w:jc w:val="both"/>
      </w:pPr>
      <w:r>
        <w:rPr>
          <w:rFonts w:ascii="Times New Roman" w:hAnsi="Times New Roman" w:eastAsia="黑体" w:cs="Times New Roman"/>
          <w:b/>
          <w:sz w:val="24"/>
        </w:rPr>
        <w:t>四、相对英文原稿的主要改动</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研究区由香港改为长三角三省一市41城（全域层，1 km逐时）与杭州、上海、南京三城（30 m逐时，手机信令）；空间单元由香港小规划统计区（TPU）改为乡镇街道与区县。</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热暴露数据集改称“长三角逐时热暴露数据集（YRD-HES）”，输入改为国家级站/区域自动站、ISD、ERA5-Land/CMFD、Landsat、MODIS、ECOSTRESS、Himawari-8/9、Sentinel-2、CNBH-10m与冠层高度等。</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九类NbS按长三角调整为：乔木主导绿地、草地与灌丛、山地林地、街道绿化、河道与运河、湖泊与大江大河水面、湿地、滨水空间、蓝绿复合空间。</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香港的背景事实、政策（天文台、劳工处、香港NbS设计指引等）与香港本地文献全部替换为经核实的全国与长三角证据（中国气候变化蓝皮书、2022年区域性高温过程、上海与杭州高温纪录、第七次人口普查老龄化数据、《防暑降温措施管理办法》、国家级高温健康风险预警、《国家适应气候变化战略2035》等）。</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注意：《中国气候变化蓝皮书（2026）》显示北方升温快于南方，正文不写“长三角升温最快”，仅引用“华东未来极端最高气温增幅最大”的预估。</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在场人口以三城手机信令为主数据；低社会经济地位与户外工作者因内地普查无收入与通勤OD，改为地域/场所层面识别。</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健康检验：三城乡镇街道层为核心检验，41城区县层为外部效度；对照指标采用分类型静态蓝绿空间指标。</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val="0"/>
          <w:sz w:val="24"/>
        </w:rPr>
        <w:t>伦理与数据合规改为内地法规与境内处理原则；依托单位改为香港大学深圳研究院。</w:t>
      </w:r>
    </w:p>
    <w:p>
      <w:pPr>
        <w:keepNext/>
        <w:snapToGrid w:val="0"/>
        <w:spacing w:lineRule="exact" w:line="440" w:before="160" w:after="40"/>
        <w:jc w:val="both"/>
      </w:pPr>
      <w:r>
        <w:rPr>
          <w:rFonts w:ascii="Times New Roman" w:hAnsi="Times New Roman" w:eastAsia="黑体" w:cs="Times New Roman"/>
          <w:b/>
          <w:sz w:val="24"/>
        </w:rPr>
        <w:t>五、参考文献说明</w:t>
      </w:r>
    </w:p>
    <w:p>
      <w:pPr>
        <w:snapToGrid w:val="0"/>
        <w:spacing w:lineRule="exact" w:line="440" w:before="0" w:after="0"/>
        <w:ind w:firstLineChars="200" w:firstLine="480"/>
        <w:jc w:val="both"/>
      </w:pPr>
      <w:r>
        <w:rPr>
          <w:rFonts w:ascii="Times New Roman" w:hAnsi="Times New Roman" w:eastAsia="宋体" w:cs="Times New Roman"/>
          <w:b w:val="0"/>
          <w:sz w:val="24"/>
        </w:rPr>
        <w:t>正文参考文献均选自经独立检索核实存在的文献库（题名、期刊、年份、卷期经二次核对；部分条目页码/DOI以出版社页面为准）。提交前仍请申请人逐条打开原文核对引用内容与表述是否对应，并按需补充DOI。</w:t>
      </w:r>
    </w:p>
    <w:sectPr w:rsidR="00FC693F" w:rsidRPr="0006063C" w:rsidSect="00034616">
      <w:footerReference w:type="default" r:id="rId9"/>
      <w:pgSz w:w="11906" w:h="16838"/>
      <w:pgMar w:top="1440" w:right="1474" w:bottom="1440"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