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napToGrid w:val="0"/>
        <w:spacing w:lineRule="exact" w:line="704" w:before="0" w:after="120"/>
        <w:jc w:val="center"/>
      </w:pPr>
      <w:r>
        <w:rPr>
          <w:rFonts w:ascii="Times New Roman" w:hAnsi="Times New Roman" w:eastAsia="黑体" w:cs="Times New Roman"/>
          <w:b/>
          <w:sz w:val="44"/>
        </w:rPr>
        <w:t>对抗式审查报告</w:t>
      </w:r>
    </w:p>
    <w:p>
      <w:pPr>
        <w:snapToGrid w:val="0"/>
        <w:spacing w:lineRule="exact" w:line="448" w:before="120" w:after="120"/>
        <w:jc w:val="center"/>
      </w:pPr>
      <w:r>
        <w:rPr>
          <w:rFonts w:ascii="Times New Roman" w:hAnsi="Times New Roman" w:eastAsia="楷体" w:cs="Times New Roman"/>
          <w:b w:val="0"/>
          <w:sz w:val="28"/>
        </w:rPr>
        <w:t>（2027年青年科学基金项目（C类）报告正文·长三角版；本文件不属于申请书）</w:t>
      </w:r>
    </w:p>
    <w:p>
      <w:pPr>
        <w:keepNext/>
        <w:snapToGrid w:val="0"/>
        <w:spacing w:lineRule="exact" w:line="440" w:before="160" w:after="40"/>
        <w:jc w:val="both"/>
      </w:pPr>
      <w:r>
        <w:rPr>
          <w:rFonts w:ascii="Times New Roman" w:hAnsi="Times New Roman" w:eastAsia="黑体" w:cs="Times New Roman"/>
          <w:b/>
          <w:sz w:val="24"/>
        </w:rPr>
        <w:t>一、审查流程</w:t>
      </w:r>
    </w:p>
    <w:p>
      <w:pPr>
        <w:snapToGrid w:val="0"/>
        <w:spacing w:lineRule="exact" w:line="440" w:before="0" w:after="0"/>
        <w:ind w:firstLineChars="200" w:firstLine="480"/>
        <w:jc w:val="both"/>
      </w:pPr>
      <w:r>
        <w:rPr>
          <w:rFonts w:ascii="Times New Roman" w:hAnsi="Times New Roman" w:eastAsia="宋体" w:cs="Times New Roman"/>
          <w:b w:val="0"/>
          <w:sz w:val="24"/>
        </w:rPr>
        <w:t>报告正文定稿前共经过五轮独立的对抗式审查和一次终稿定向复核。第一轮由四个相互独立的审查代理分别从“规范与模板合规”“学术语言”“评审专家视角”“事实与引文”四个维度逐句检查，只报告问题、不改稿；随后由分节编辑代理逐条处理。第二、三轮由新的审查代理从零复核规范与学术语言。此后发现页数核对有误并完成扩写（见第八部分），第四轮再次进行四维审查，第五轮复核，最后对终审后改动的段落做定向复核。</w:t>
      </w:r>
    </w:p>
    <w:p>
      <w:pPr>
        <w:snapToGrid w:val="0"/>
        <w:spacing w:lineRule="exact" w:line="440" w:before="0" w:after="0"/>
        <w:ind w:firstLineChars="200" w:firstLine="480"/>
        <w:jc w:val="both"/>
      </w:pPr>
      <w:r>
        <w:rPr>
          <w:rFonts w:ascii="Times New Roman" w:hAnsi="Times New Roman" w:eastAsia="宋体" w:cs="Times New Roman"/>
          <w:b w:val="0"/>
          <w:sz w:val="24"/>
        </w:rPr>
        <w:t>定稿版式：按Word分页估算为30页（第30页约八成满）；参考文献69条；图2幅、表2张。估算方法与Word实测页数校准，详见第八部分；第一至三轮记录中的“30页”系当时LibreOffice网格吸附造成的错误页数，已在第八部分说明并更正。</w:t>
      </w:r>
    </w:p>
    <w:p>
      <w:pPr>
        <w:keepNext/>
        <w:snapToGrid w:val="0"/>
        <w:spacing w:lineRule="exact" w:line="440" w:before="160" w:after="40"/>
        <w:jc w:val="both"/>
      </w:pPr>
      <w:r>
        <w:rPr>
          <w:rFonts w:ascii="Times New Roman" w:hAnsi="Times New Roman" w:eastAsia="黑体" w:cs="Times New Roman"/>
          <w:b/>
          <w:sz w:val="24"/>
        </w:rPr>
        <w:t>二、第一轮审查结论</w:t>
      </w:r>
    </w:p>
    <w:p>
      <w:pPr>
        <w:keepNext/>
        <w:snapToGrid w:val="0"/>
        <w:spacing w:lineRule="exact" w:line="440" w:before="80" w:after="0"/>
        <w:jc w:val="both"/>
      </w:pPr>
      <w:r>
        <w:rPr>
          <w:rFonts w:ascii="Times New Roman" w:hAnsi="Times New Roman" w:eastAsia="宋体" w:cs="Times New Roman"/>
          <w:b/>
          <w:sz w:val="24"/>
        </w:rPr>
        <w:t>规范与模板合规（发现问题 36 条）</w:t>
      </w:r>
    </w:p>
    <w:p>
      <w:pPr>
        <w:keepNext/>
        <w:snapToGrid w:val="0"/>
        <w:spacing w:lineRule="exact" w:line="360" w:before="120" w:after="40"/>
        <w:jc w:val="center"/>
      </w:pPr>
      <w:r>
        <w:rPr>
          <w:rFonts w:ascii="Times New Roman" w:hAnsi="Times New Roman" w:eastAsia="黑体" w:cs="Times New Roman"/>
          <w:b w:val="0"/>
          <w:sz w:val="21"/>
        </w:rPr>
        <w:t>表 第一轮·规范与模板合规</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(1) 模板提纲标题及括…</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运行build_yrd.sh（pages=30，last_page_lines=13，参考文献47条，图2幅，表2张），去除…</w:t>
            </w:r>
          </w:p>
        </w:tc>
      </w:tr>
      <w:tr>
        <w:tc>
          <w:tcPr>
            <w:tcW w:type="dxa" w:w="2483"/>
          </w:tcPr>
          <w:p>
            <w:pPr>
              <w:snapToGrid w:val="0"/>
              <w:spacing w:lineRule="exact" w:line="320" w:before="0" w:after="0"/>
              <w:jc w:val="left"/>
            </w:pPr>
            <w:r/>
            <w:r>
              <w:rPr>
                <w:rFonts w:ascii="Times New Roman" w:hAnsi="Times New Roman" w:eastAsia="宋体" w:cs="Times New Roman"/>
                <w:b w:val="0"/>
                <w:sz w:val="21"/>
              </w:rPr>
              <w:t>(2) 页数≤30且每页均充分利…</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pages=30，per_page=[24,22,22,22,22,22,40,45,34,23,22,11,19,8,24,23,22,22,21,24,29,29,23,23…</w:t>
            </w:r>
          </w:p>
        </w:tc>
      </w:tr>
      <w:tr>
        <w:tc>
          <w:tcPr>
            <w:tcW w:type="dxa" w:w="2483"/>
          </w:tcPr>
          <w:p>
            <w:pPr>
              <w:snapToGrid w:val="0"/>
              <w:spacing w:lineRule="exact" w:line="320" w:before="0" w:after="0"/>
              <w:jc w:val="left"/>
            </w:pPr>
            <w:r/>
            <w:r>
              <w:rPr>
                <w:rFonts w:ascii="Times New Roman" w:hAnsi="Times New Roman" w:eastAsia="宋体" w:cs="Times New Roman"/>
                <w:b w:val="0"/>
                <w:sz w:val="21"/>
              </w:rPr>
              <w:t>(3) （一）回答研究缘由／价值并结合文…</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s1涵盖研究背景（1）、国内外研究现状综述及三项明确的研究缺口（2.1–…</w:t>
            </w:r>
          </w:p>
        </w:tc>
      </w:tr>
      <w:tr>
        <w:tc>
          <w:tcPr>
            <w:tcW w:type="dxa" w:w="2483"/>
          </w:tcPr>
          <w:p>
            <w:pPr>
              <w:snapToGrid w:val="0"/>
              <w:spacing w:lineRule="exact" w:line="320" w:before="0" w:after="0"/>
              <w:jc w:val="left"/>
            </w:pPr>
            <w:r/>
            <w:r>
              <w:rPr>
                <w:rFonts w:ascii="Times New Roman" w:hAnsi="Times New Roman" w:eastAsia="宋体" w:cs="Times New Roman"/>
                <w:b w:val="0"/>
                <w:sz w:val="21"/>
              </w:rPr>
              <w:t>(4) （二）包含研究目标/内容/关键科学问题/方案及特色与…</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s2a 1.1 核心/关键科学问题1–3及H1a–H3b；1.2 研究目标（总体目标与3项具体目标）；s2b 3. 研究内容与研究方案（3.1–3.5，含检验…</w:t>
            </w:r>
          </w:p>
        </w:tc>
      </w:tr>
      <w:tr>
        <w:tc>
          <w:tcPr>
            <w:tcW w:type="dxa" w:w="2483"/>
          </w:tcPr>
          <w:p>
            <w:pPr>
              <w:snapToGrid w:val="0"/>
              <w:spacing w:lineRule="exact" w:line="320" w:before="0" w:after="0"/>
              <w:jc w:val="left"/>
            </w:pPr>
            <w:r/>
            <w:r>
              <w:rPr>
                <w:rFonts w:ascii="Times New Roman" w:hAnsi="Times New Roman" w:eastAsia="宋体" w:cs="Times New Roman"/>
                <w:b w:val="0"/>
                <w:sz w:val="21"/>
              </w:rPr>
              <w:t>(5) （三）1 积累/成绩/风险应对；（三）2 已具备/尚缺少及途径/国家实…</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（三）1包含（1）前期研究积累、（2）已取得的研究工作成绩、（3）可行性分析和（4）研究风险的应对措施（7项风险，均与考核节点挂钩）：…</w:t>
            </w:r>
          </w:p>
        </w:tc>
      </w:tr>
      <w:tr>
        <w:tc>
          <w:tcPr>
            <w:tcW w:type="dxa" w:w="2483"/>
          </w:tcPr>
          <w:p>
            <w:pPr>
              <w:snapToGrid w:val="0"/>
              <w:spacing w:lineRule="exact" w:line="320" w:before="0" w:after="0"/>
              <w:jc w:val="left"/>
            </w:pPr>
            <w:r/>
            <w:r>
              <w:rPr>
                <w:rFonts w:ascii="Times New Roman" w:hAnsi="Times New Roman" w:eastAsia="宋体" w:cs="Times New Roman"/>
                <w:b w:val="0"/>
                <w:sz w:val="21"/>
              </w:rPr>
              <w:t>(6) （四）1–5的作答是否适合于…</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4-1“无。</w:t>
            </w:r>
            <w:r>
              <w:rPr>
                <w:rFonts w:ascii="Times New Roman" w:hAnsi="Times New Roman" w:eastAsia="宋体" w:cs="Times New Roman"/>
                <w:b w:val="0"/>
                <w:sz w:val="21"/>
                <w:highlight w:val="yellow"/>
              </w:rPr>
              <w:t>【待核实】</w:t>
            </w:r>
            <w:r>
              <w:rPr>
                <w:rFonts w:ascii="Times New Roman" w:hAnsi="Times New Roman" w:eastAsia="宋体" w:cs="Times New Roman"/>
                <w:b w:val="0"/>
                <w:sz w:val="21"/>
              </w:rPr>
              <w:t>”、4-2/4-3“不适用（无高级职称）。”及4-4“无。”均恰当。4-5说明了与JRFS的关…</w:t>
            </w:r>
          </w:p>
        </w:tc>
      </w:tr>
      <w:tr>
        <w:tc>
          <w:tcPr>
            <w:tcW w:type="dxa" w:w="2483"/>
          </w:tcPr>
          <w:p>
            <w:pPr>
              <w:snapToGrid w:val="0"/>
              <w:spacing w:lineRule="exact" w:line="320" w:before="0" w:after="0"/>
              <w:jc w:val="left"/>
            </w:pPr>
            <w:r/>
            <w:r>
              <w:rPr>
                <w:rFonts w:ascii="Times New Roman" w:hAnsi="Times New Roman" w:eastAsia="宋体" w:cs="Times New Roman"/>
                <w:b w:val="0"/>
                <w:sz w:val="21"/>
              </w:rPr>
              <w:t>(7) NSFC规定：AI使用声明、其他渠…</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通过项：未出现本项目经费数额（其他项目的金额仅出现在…</w:t>
            </w:r>
          </w:p>
        </w:tc>
      </w:tr>
      <w:tr>
        <w:tc>
          <w:tcPr>
            <w:tcW w:type="dxa" w:w="2483"/>
          </w:tcPr>
          <w:p>
            <w:pPr>
              <w:snapToGrid w:val="0"/>
              <w:spacing w:lineRule="exact" w:line="320" w:before="0" w:after="0"/>
              <w:jc w:val="left"/>
            </w:pPr>
            <w:r/>
            <w:r>
              <w:rPr>
                <w:rFonts w:ascii="Times New Roman" w:hAnsi="Times New Roman" w:eastAsia="宋体" w:cs="Times New Roman"/>
                <w:b w:val="0"/>
                <w:sz w:val="21"/>
              </w:rPr>
              <w:t>(8) 参考文献：GB/T 7714-2015一致…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所引47个文献键均见于写作简报§8/§8b及refs_yrd.json，编号按首次引…</w:t>
            </w:r>
          </w:p>
        </w:tc>
      </w:tr>
      <w:tr>
        <w:tc>
          <w:tcPr>
            <w:tcW w:type="dxa" w:w="2483"/>
          </w:tcPr>
          <w:p>
            <w:pPr>
              <w:snapToGrid w:val="0"/>
              <w:spacing w:lineRule="exact" w:line="320" w:before="0" w:after="0"/>
              <w:jc w:val="left"/>
            </w:pPr>
            <w:r/>
            <w:r>
              <w:rPr>
                <w:rFonts w:ascii="Times New Roman" w:hAnsi="Times New Roman" w:eastAsia="宋体" w:cs="Times New Roman"/>
                <w:b w:val="0"/>
                <w:sz w:val="21"/>
              </w:rPr>
              <w:t>(9) 图表编号、题注规…</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图1 研究框架与图2 技术路线的图题均位于图下方；表1 主要数据与获取状态和表2 年度研究计划与考核节点的表…</w:t>
            </w:r>
          </w:p>
        </w:tc>
      </w:tr>
      <w:tr>
        <w:tc>
          <w:tcPr>
            <w:tcW w:type="dxa" w:w="2483"/>
          </w:tcPr>
          <w:p>
            <w:pPr>
              <w:snapToGrid w:val="0"/>
              <w:spacing w:lineRule="exact" w:line="320" w:before="0" w:after="0"/>
              <w:jc w:val="left"/>
            </w:pPr>
            <w:r/>
            <w:r>
              <w:rPr>
                <w:rFonts w:ascii="Times New Roman" w:hAnsi="Times New Roman" w:eastAsia="宋体" w:cs="Times New Roman"/>
                <w:b w:val="0"/>
                <w:sz w:val="21"/>
              </w:rPr>
              <w:t>(10) 缩写首次出现时给出定义；…</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核心术语定义规范（NbS、LST、Ta、Tmrt、UTCI、UGCoP、DLNM、DCP、YRD-HES、…</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学术语言（发现问题 183 条）</w:t>
      </w:r>
    </w:p>
    <w:p>
      <w:pPr>
        <w:keepNext/>
        <w:snapToGrid w:val="0"/>
        <w:spacing w:lineRule="exact" w:line="360" w:before="120" w:after="40"/>
        <w:jc w:val="center"/>
      </w:pPr>
      <w:r>
        <w:rPr>
          <w:rFonts w:ascii="Times New Roman" w:hAnsi="Times New Roman" w:eastAsia="黑体" w:cs="Times New Roman"/>
          <w:b w:val="0"/>
          <w:sz w:val="21"/>
        </w:rPr>
        <w:t>表 第一轮·学术语言</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术语一致性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核心术语基本统一：NbS、DCP、YRD-HES、DCP缺口、三层次、KQ1—KQ3、H1a—H3b全篇一致。但有两处实质冲突。（1）DCP在s1中定义为“NbS可归因降温”，单位…</w:t>
            </w:r>
          </w:p>
        </w:tc>
      </w:tr>
      <w:tr>
        <w:tc>
          <w:tcPr>
            <w:tcW w:type="dxa" w:w="2483"/>
          </w:tcPr>
          <w:p>
            <w:pPr>
              <w:snapToGrid w:val="0"/>
              <w:spacing w:lineRule="exact" w:line="320" w:before="0" w:after="0"/>
              <w:jc w:val="left"/>
            </w:pPr>
            <w:r/>
            <w:r>
              <w:rPr>
                <w:rFonts w:ascii="Times New Roman" w:hAnsi="Times New Roman" w:eastAsia="宋体" w:cs="Times New Roman"/>
                <w:b w:val="0"/>
                <w:sz w:val="21"/>
              </w:rPr>
              <w:t>句式规范与可读性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立项依据整体通顺，但有超长句。研究方案（s2a—s2b）压缩过度，呈电报体：s2a判据段一句197字、含5个分号；s1框架句212字，且“经三个转化环节——”没有谓语收束；s2b …</w:t>
            </w:r>
          </w:p>
        </w:tc>
      </w:tr>
      <w:tr>
        <w:tc>
          <w:tcPr>
            <w:tcW w:type="dxa" w:w="2483"/>
          </w:tcPr>
          <w:p>
            <w:pPr>
              <w:snapToGrid w:val="0"/>
              <w:spacing w:lineRule="exact" w:line="320" w:before="0" w:after="0"/>
              <w:jc w:val="left"/>
            </w:pPr>
            <w:r/>
            <w:r>
              <w:rPr>
                <w:rFonts w:ascii="Times New Roman" w:hAnsi="Times New Roman" w:eastAsia="宋体" w:cs="Times New Roman"/>
                <w:b w:val="0"/>
                <w:sz w:val="21"/>
              </w:rPr>
              <w:t>标点与数字格式</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做得好的方面：中文正文无半角标点；数字与单位间空格统一（1 km、30 m、0.2 °C、9.5 m²）；数值范围统一用一字线“—”；无叠用标点；中文引号统一。存在的问题：s2a与…</w:t>
            </w:r>
          </w:p>
        </w:tc>
      </w:tr>
      <w:tr>
        <w:tc>
          <w:tcPr>
            <w:tcW w:type="dxa" w:w="2483"/>
          </w:tcPr>
          <w:p>
            <w:pPr>
              <w:snapToGrid w:val="0"/>
              <w:spacing w:lineRule="exact" w:line="320" w:before="0" w:after="0"/>
              <w:jc w:val="left"/>
            </w:pPr>
            <w:r/>
            <w:r>
              <w:rPr>
                <w:rFonts w:ascii="Times New Roman" w:hAnsi="Times New Roman" w:eastAsia="宋体" w:cs="Times New Roman"/>
                <w:b w:val="0"/>
                <w:sz w:val="21"/>
              </w:rPr>
              <w:t>语体（学术、克制、无口号）</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未出现“填补空白”“国际领先”等话术，整体克制。仍有零星口语、公文或流行语：“量大面广”“构不成”“真正获得”“适得其反”“照常报告”“数据底座”“数据闸门”“检验范式”“落到街区…</w:t>
            </w:r>
          </w:p>
        </w:tc>
      </w:tr>
      <w:tr>
        <w:tc>
          <w:tcPr>
            <w:tcW w:type="dxa" w:w="2483"/>
          </w:tcPr>
          <w:p>
            <w:pPr>
              <w:snapToGrid w:val="0"/>
              <w:spacing w:lineRule="exact" w:line="320" w:before="0" w:after="0"/>
              <w:jc w:val="left"/>
            </w:pPr>
            <w:r/>
            <w:r>
              <w:rPr>
                <w:rFonts w:ascii="Times New Roman" w:hAnsi="Times New Roman" w:eastAsia="宋体" w:cs="Times New Roman"/>
                <w:b w:val="0"/>
                <w:sz w:val="21"/>
              </w:rPr>
              <w:t>段落逻辑与衔接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章节结构清楚，三条研究现状脉络与三个转化环节、三项研究内容一一对应。衔接问题如下。s2b在“另作三项检验：”冒号后接的是一致性判据，而不是检验本身。s1中“因而”把因果关系接错了。…</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评审专家视角（发现问题 25 条）</w:t>
      </w:r>
    </w:p>
    <w:p>
      <w:pPr>
        <w:keepNext/>
        <w:snapToGrid w:val="0"/>
        <w:spacing w:lineRule="exact" w:line="360" w:before="120" w:after="40"/>
        <w:jc w:val="center"/>
      </w:pPr>
      <w:r>
        <w:rPr>
          <w:rFonts w:ascii="Times New Roman" w:hAnsi="Times New Roman" w:eastAsia="黑体" w:cs="Times New Roman"/>
          <w:b w:val="0"/>
          <w:sz w:val="21"/>
        </w:rPr>
        <w:t>表 第一轮·评审专家视角</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创新性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创新性较强（A−）。DCP把NbS评价从“拥有多少自然”转为“人群在场时实际获得多少可归因降温”，并分为资源供给、实得保护、保护缺口三个层次；H3a进一步要求DCP接受样本外健康结…</w:t>
            </w:r>
          </w:p>
        </w:tc>
      </w:tr>
      <w:tr>
        <w:tc>
          <w:tcPr>
            <w:tcW w:type="dxa" w:w="2483"/>
          </w:tcPr>
          <w:p>
            <w:pPr>
              <w:snapToGrid w:val="0"/>
              <w:spacing w:lineRule="exact" w:line="320" w:before="0" w:after="0"/>
              <w:jc w:val="left"/>
            </w:pPr>
            <w:r/>
            <w:r>
              <w:rPr>
                <w:rFonts w:ascii="Times New Roman" w:hAnsi="Times New Roman" w:eastAsia="宋体" w:cs="Times New Roman"/>
                <w:b w:val="0"/>
                <w:sz w:val="21"/>
              </w:rPr>
              <w:t>科学问题凝练</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核心问题、KQ1—KQ3与6条假说在s1第3节、s2a 1.1及图1中前后一致，判据可证伪，并预设了分析计划存档和留出检验期，凝练水平高于多数青C本子。主要问题是H3a的设计存在重…</w:t>
            </w:r>
          </w:p>
        </w:tc>
      </w:tr>
      <w:tr>
        <w:tc>
          <w:tcPr>
            <w:tcW w:type="dxa" w:w="2483"/>
          </w:tcPr>
          <w:p>
            <w:pPr>
              <w:snapToGrid w:val="0"/>
              <w:spacing w:lineRule="exact" w:line="320" w:before="0" w:after="0"/>
              <w:jc w:val="left"/>
            </w:pPr>
            <w:r/>
            <w:r>
              <w:rPr>
                <w:rFonts w:ascii="Times New Roman" w:hAnsi="Times New Roman" w:eastAsia="宋体" w:cs="Times New Roman"/>
                <w:b w:val="0"/>
                <w:sz w:val="21"/>
              </w:rPr>
              <w:t>研究方案可行性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方法链完整，有空间分块验证、DID、ENVI-met与去NbS变量模型三重检验、不确定性逐级传递和G1数据节点及备选路线，但这是五项中最弱的一项（B+）。具体有：(1) H1b的机…</w:t>
            </w:r>
          </w:p>
        </w:tc>
      </w:tr>
      <w:tr>
        <w:tc>
          <w:tcPr>
            <w:tcW w:type="dxa" w:w="2483"/>
          </w:tcPr>
          <w:p>
            <w:pPr>
              <w:snapToGrid w:val="0"/>
              <w:spacing w:lineRule="exact" w:line="320" w:before="0" w:after="0"/>
              <w:jc w:val="left"/>
            </w:pPr>
            <w:r/>
            <w:r>
              <w:rPr>
                <w:rFonts w:ascii="Times New Roman" w:hAnsi="Times New Roman" w:eastAsia="宋体" w:cs="Times New Roman"/>
                <w:b w:val="0"/>
                <w:sz w:val="21"/>
              </w:rPr>
              <w:t>研究基础与条件</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相关积累扎实：5篇第一作者论文（LUP、Sustainable Cities and Society，其中LUP 2024为ESI高被引论文），311城降温约束研究与浙江信令偏误研…</w:t>
            </w:r>
          </w:p>
        </w:tc>
      </w:tr>
      <w:tr>
        <w:tc>
          <w:tcPr>
            <w:tcW w:type="dxa" w:w="2483"/>
          </w:tcPr>
          <w:p>
            <w:pPr>
              <w:snapToGrid w:val="0"/>
              <w:spacing w:lineRule="exact" w:line="320" w:before="0" w:after="0"/>
              <w:jc w:val="left"/>
            </w:pPr>
            <w:r/>
            <w:r>
              <w:rPr>
                <w:rFonts w:ascii="Times New Roman" w:hAnsi="Times New Roman" w:eastAsia="宋体" w:cs="Times New Roman"/>
                <w:b w:val="0"/>
                <w:sz w:val="21"/>
              </w:rPr>
              <w:t>预期成果</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成果与研究内容一一对应：YRD-HES在2029年6月公开、3篇论文、保护矩阵与设计禁忌、风险信息规范、政策简报，可考核且不夸大。不足是缺少按时间尺度列出的受益对象与转化路径，也缺…</w:t>
            </w:r>
          </w:p>
        </w:tc>
      </w:tr>
      <w:tr>
        <w:tc>
          <w:tcPr>
            <w:tcW w:type="dxa" w:w="2483"/>
          </w:tcPr>
          <w:p>
            <w:pPr>
              <w:snapToGrid w:val="0"/>
              <w:spacing w:lineRule="exact" w:line="320" w:before="0" w:after="0"/>
              <w:jc w:val="left"/>
            </w:pPr>
            <w:r/>
            <w:r>
              <w:rPr>
                <w:rFonts w:ascii="Times New Roman" w:hAnsi="Times New Roman" w:eastAsia="宋体" w:cs="Times New Roman"/>
                <w:b w:val="0"/>
                <w:sz w:val="21"/>
              </w:rPr>
              <w:t>学术语言与规范（用户明确要求）</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整体是简洁规范的大陆学术中文，术语首次出现时有中英对照，数字与单位规范，没有口号和排比。仍有若干翻译腔或工程用语：“锁箱期”（lockbox的直译，s2a、s2b、s3三处）、“去…</w:t>
            </w:r>
          </w:p>
        </w:tc>
      </w:tr>
      <w:tr>
        <w:tc>
          <w:tcPr>
            <w:tcW w:type="dxa" w:w="2483"/>
          </w:tcPr>
          <w:p>
            <w:pPr>
              <w:snapToGrid w:val="0"/>
              <w:spacing w:lineRule="exact" w:line="320" w:before="0" w:after="0"/>
              <w:jc w:val="left"/>
            </w:pPr>
            <w:r/>
            <w:r>
              <w:rPr>
                <w:rFonts w:ascii="Times New Roman" w:hAnsi="Times New Roman" w:eastAsia="宋体" w:cs="Times New Roman"/>
                <w:b w:val="0"/>
                <w:sz w:val="21"/>
              </w:rPr>
              <w:t>模板合规与篇幅</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PDF共30页。模板标题由构建脚本插入，未在正文中重复。参考文献47条，上限50。最后一页（第30页）只用了约12行，还空约10行（约350字）。第13页图2之前空约3.7行：图2…</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事实与引文（发现问题 21 条）</w:t>
      </w:r>
    </w:p>
    <w:p>
      <w:pPr>
        <w:keepNext/>
        <w:snapToGrid w:val="0"/>
        <w:spacing w:lineRule="exact" w:line="360" w:before="120" w:after="40"/>
        <w:jc w:val="center"/>
      </w:pPr>
      <w:r>
        <w:rPr>
          <w:rFonts w:ascii="Times New Roman" w:hAnsi="Times New Roman" w:eastAsia="黑体" w:cs="Times New Roman"/>
          <w:b w:val="0"/>
          <w:sz w:val="21"/>
        </w:rPr>
        <w:t>表 第一轮·事实与引文</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事实陈述与写作简报§7比对（仅限已确…</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s1中的全部数字均与§7中已确认或已更正的条目一致。核查项：每10年0.31 °C；…</w:t>
            </w:r>
          </w:p>
        </w:tc>
      </w:tr>
      <w:tr>
        <w:tc>
          <w:tcPr>
            <w:tcW w:type="dxa" w:w="2483"/>
          </w:tcPr>
          <w:p>
            <w:pPr>
              <w:snapToGrid w:val="0"/>
              <w:spacing w:lineRule="exact" w:line="320" w:before="0" w:after="0"/>
              <w:jc w:val="left"/>
            </w:pPr>
            <w:r/>
            <w:r>
              <w:rPr>
                <w:rFonts w:ascii="Times New Roman" w:hAnsi="Times New Roman" w:eastAsia="宋体" w:cs="Times New Roman"/>
                <w:b w:val="0"/>
                <w:sz w:val="21"/>
              </w:rPr>
              <w:t>每个</w:t>
            </w:r>
            <w:r>
              <w:rPr>
                <w:rFonts w:ascii="Times New Roman" w:hAnsi="Times New Roman" w:eastAsia="宋体" w:cs="Times New Roman"/>
                <w:b w:val="0"/>
                <w:sz w:val="21"/>
              </w:rPr>
              <w:t>是否确实支撑所在句…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多数引用准确：hu2025heatwave2022、chen2018bmj272、yang2021ncomms、song2021（…</w:t>
            </w:r>
          </w:p>
        </w:tc>
      </w:tr>
      <w:tr>
        <w:tc>
          <w:tcPr>
            <w:tcW w:type="dxa" w:w="2483"/>
          </w:tcPr>
          <w:p>
            <w:pPr>
              <w:snapToGrid w:val="0"/>
              <w:spacing w:lineRule="exact" w:line="320" w:before="0" w:after="0"/>
              <w:jc w:val="left"/>
            </w:pPr>
            <w:r/>
            <w:r>
              <w:rPr>
                <w:rFonts w:ascii="Times New Roman" w:hAnsi="Times New Roman" w:eastAsia="宋体" w:cs="Times New Roman"/>
                <w:b w:val="0"/>
                <w:sz w:val="21"/>
              </w:rPr>
              <w:t>“已获得”数据表述与改写规格§1一致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s1第47行、s2b第49行与第63行、表1及s3第21行对以下数据均写作“已获得”：信令、死亡及…</w:t>
            </w:r>
          </w:p>
        </w:tc>
      </w:tr>
      <w:tr>
        <w:tc>
          <w:tcPr>
            <w:tcW w:type="dxa" w:w="2483"/>
          </w:tcPr>
          <w:p>
            <w:pPr>
              <w:snapToGrid w:val="0"/>
              <w:spacing w:lineRule="exact" w:line="320" w:before="0" w:after="0"/>
              <w:jc w:val="left"/>
            </w:pPr>
            <w:r/>
            <w:r>
              <w:rPr>
                <w:rFonts w:ascii="Times New Roman" w:hAnsi="Times New Roman" w:eastAsia="宋体" w:cs="Times New Roman"/>
                <w:b w:val="0"/>
                <w:sz w:val="21"/>
              </w:rPr>
              <w:t>申请人信息与source_dump比对（作者…</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已对照原始材料核查：设计学博士（ZJU，2025年6月）；5篇第一作者LUP/SC…</w:t>
            </w:r>
          </w:p>
        </w:tc>
      </w:tr>
      <w:tr>
        <w:tc>
          <w:tcPr>
            <w:tcW w:type="dxa" w:w="2483"/>
          </w:tcPr>
          <w:p>
            <w:pPr>
              <w:snapToGrid w:val="0"/>
              <w:spacing w:lineRule="exact" w:line="320" w:before="0" w:after="0"/>
              <w:jc w:val="left"/>
            </w:pPr>
            <w:r/>
            <w:r>
              <w:rPr>
                <w:rFonts w:ascii="Times New Roman" w:hAnsi="Times New Roman" w:eastAsia="宋体" w:cs="Times New Roman"/>
                <w:b w:val="0"/>
                <w:sz w:val="21"/>
              </w:rPr>
              <w:t>内部一致性：数字、日期及…</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以下内容在正文、表2及图1/2之间一致：M1为2028年3月，M2与G1为2028年12月，M3为…</w:t>
            </w:r>
          </w:p>
        </w:tc>
      </w:tr>
      <w:tr>
        <w:tc>
          <w:tcPr>
            <w:tcW w:type="dxa" w:w="2483"/>
          </w:tcPr>
          <w:p>
            <w:pPr>
              <w:snapToGrid w:val="0"/>
              <w:spacing w:lineRule="exact" w:line="320" w:before="0" w:after="0"/>
              <w:jc w:val="left"/>
            </w:pPr>
            <w:r/>
            <w:r>
              <w:rPr>
                <w:rFonts w:ascii="Times New Roman" w:hAnsi="Times New Roman" w:eastAsia="宋体" w:cs="Times New Roman"/>
                <w:b w:val="0"/>
                <w:sz w:val="21"/>
              </w:rPr>
              <w:t>文献键仅取自写作简报§8/§8b；…</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共使用47个不重复文献键，均在§8/§8b白名单内，无杜撰。构建生成的yrd.pdf（…</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新增方法细节标注</w:t>
            </w:r>
            <w:r>
              <w:rPr>
                <w:rFonts w:ascii="Times New Roman" w:hAnsi="Times New Roman" w:eastAsia="宋体" w:cs="Times New Roman"/>
                <w:b w:val="0"/>
                <w:sz w:val="21"/>
                <w:highlight w:val="yellow"/>
              </w:rPr>
              <w:t>【待确认】</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多数新增数值已标注：RMSE ≤1.5 °C、6—8个ENVI-met模拟点位、秩相关&lt;0.5、Shap…</w:t>
            </w:r>
          </w:p>
        </w:tc>
      </w:tr>
    </w:tbl>
    <w:p>
      <w:pPr>
        <w:snapToGrid w:val="0"/>
        <w:spacing w:lineRule="exact" w:line="160" w:before="0" w:after="0"/>
        <w:jc w:val="both"/>
      </w:pPr>
    </w:p>
    <w:p>
      <w:pPr>
        <w:keepNext/>
        <w:snapToGrid w:val="0"/>
        <w:spacing w:lineRule="exact" w:line="440" w:before="160" w:after="40"/>
        <w:jc w:val="both"/>
      </w:pPr>
      <w:r>
        <w:rPr>
          <w:rFonts w:ascii="Times New Roman" w:hAnsi="Times New Roman" w:eastAsia="黑体" w:cs="Times New Roman"/>
          <w:b/>
          <w:sz w:val="24"/>
        </w:rPr>
        <w:t>三、修改与补充摘要</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s1s2a</w:t>
      </w:r>
      <w:r>
        <w:rPr>
          <w:rFonts w:ascii="Times New Roman" w:hAnsi="Times New Roman" w:eastAsia="宋体" w:cs="Times New Roman"/>
          <w:b w:val="0"/>
          <w:sz w:val="24"/>
        </w:rPr>
        <w:t xml:space="preserve">：文件：/tmp/claude-0/-home-user-gz/e95f3469-84dc-55c6-acde-5caa90728449/scratchpad/draft/s1.md与/tmp/claude-0/-home-user-gz/e95f3469-84dc-55c6-acde-5caa90728449/scratchpad/draft/s2a.md。备份文件及私有构建文件位于scratchpad/rev_backup与scratc…；补充内容：- </w:t>
      </w:r>
      <w:r>
        <w:rPr>
          <w:rFonts w:ascii="Times New Roman" w:hAnsi="Times New Roman" w:eastAsia="宋体" w:cs="Times New Roman"/>
          <w:b/>
          <w:sz w:val="24"/>
        </w:rPr>
        <w:t>新增引文：</w:t>
      </w:r>
      <w:r>
        <w:rPr>
          <w:rFonts w:ascii="Times New Roman" w:hAnsi="Times New Roman" w:eastAsia="宋体" w:cs="Times New Roman"/>
          <w:b w:val="0"/>
          <w:sz w:val="24"/>
        </w:rPr>
        <w:t xml:space="preserve">在s1中以ebi2021hot支撑慢性病患者与户外劳动者风险的论述，参考文献增至48条。- </w:t>
      </w:r>
      <w:r>
        <w:rPr>
          <w:rFonts w:ascii="Times New Roman" w:hAnsi="Times New Roman" w:eastAsia="宋体" w:cs="Times New Roman"/>
          <w:b/>
          <w:sz w:val="24"/>
        </w:rPr>
        <w:t>预注册保障措施：</w:t>
      </w:r>
      <w:r>
        <w:rPr>
          <w:rFonts w:ascii="Times New Roman" w:hAnsi="Times New Roman" w:eastAsia="宋体" w:cs="Times New Roman"/>
          <w:b w:val="0"/>
          <w:sz w:val="24"/>
        </w:rPr>
        <w:t>留出检验期（“封存检验期”）的启用…</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s2bs2c</w:t>
      </w:r>
      <w:r>
        <w:rPr>
          <w:rFonts w:ascii="Times New Roman" w:hAnsi="Times New Roman" w:eastAsia="宋体" w:cs="Times New Roman"/>
          <w:b w:val="0"/>
          <w:sz w:val="24"/>
        </w:rPr>
        <w:t>：</w:t>
      </w:r>
      <w:r>
        <w:rPr>
          <w:rFonts w:ascii="Times New Roman" w:hAnsi="Times New Roman" w:eastAsia="宋体" w:cs="Times New Roman"/>
          <w:b/>
          <w:sz w:val="24"/>
        </w:rPr>
        <w:t>s2b主要问题（均已采纳）：</w:t>
      </w:r>
      <w:r>
        <w:rPr>
          <w:rFonts w:ascii="Times New Roman" w:hAnsi="Times New Roman" w:eastAsia="宋体" w:cs="Times New Roman"/>
          <w:b w:val="0"/>
          <w:sz w:val="24"/>
        </w:rPr>
        <w:t xml:space="preserve"> - </w:t>
      </w:r>
      <w:r>
        <w:rPr>
          <w:rFonts w:ascii="Times New Roman" w:hAnsi="Times New Roman" w:eastAsia="宋体" w:cs="Times New Roman"/>
          <w:b/>
          <w:sz w:val="24"/>
        </w:rPr>
        <w:t>3.1(1) 验证：</w:t>
      </w:r>
      <w:r>
        <w:rPr>
          <w:rFonts w:ascii="Times New Roman" w:hAnsi="Times New Roman" w:eastAsia="宋体" w:cs="Times New Roman"/>
          <w:b w:val="0"/>
          <w:sz w:val="24"/>
        </w:rPr>
        <w:t xml:space="preserve">拆分为两句，并写作均方根误差（RMSE）、平均绝对误差（MAE）。- </w:t>
      </w:r>
      <w:r>
        <w:rPr>
          <w:rFonts w:ascii="Times New Roman" w:hAnsi="Times New Roman" w:eastAsia="宋体" w:cs="Times New Roman"/>
          <w:b/>
          <w:sz w:val="24"/>
        </w:rPr>
        <w:t>区域自动站（专家意见）：</w:t>
      </w:r>
      <w:r>
        <w:rPr>
          <w:rFonts w:ascii="Times New Roman" w:hAnsi="Times New Roman" w:eastAsia="宋体" w:cs="Times New Roman"/>
          <w:b w:val="0"/>
          <w:sz w:val="24"/>
        </w:rPr>
        <w:t>“区域自动站如可得，一并按空间分块参与训练与检验</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 xml:space="preserve">”。- </w:t>
      </w:r>
      <w:r>
        <w:rPr>
          <w:rFonts w:ascii="Times New Roman" w:hAnsi="Times New Roman" w:eastAsia="宋体" w:cs="Times New Roman"/>
          <w:b/>
          <w:sz w:val="24"/>
        </w:rPr>
        <w:t>湿度（专家意见）：</w:t>
      </w:r>
      <w:r>
        <w:rPr>
          <w:rFonts w:ascii="Times New Roman" w:hAnsi="Times New Roman" w:eastAsia="宋体" w:cs="Times New Roman"/>
          <w:b w:val="0"/>
          <w:sz w:val="24"/>
        </w:rPr>
        <w:t>“三城…湿度由站点相对湿度同法降尺度至30 m，全域以形态参数与背…；补充内容：</w:t>
      </w:r>
      <w:r>
        <w:rPr>
          <w:rFonts w:ascii="Times New Roman" w:hAnsi="Times New Roman" w:eastAsia="宋体" w:cs="Times New Roman"/>
          <w:b/>
          <w:sz w:val="24"/>
        </w:rPr>
        <w:t>s2b（所有新增方法细节均标注</w:t>
      </w:r>
      <w:r>
        <w:rPr>
          <w:rFonts w:ascii="Times New Roman" w:hAnsi="Times New Roman" w:eastAsia="宋体" w:cs="Times New Roman"/>
          <w:b/>
          <w:sz w:val="24"/>
          <w:highlight w:val="yellow"/>
        </w:rPr>
        <w:t>【待确认】</w:t>
      </w:r>
      <w:r>
        <w:rPr>
          <w:rFonts w:ascii="Times New Roman" w:hAnsi="Times New Roman" w:eastAsia="宋体" w:cs="Times New Roman"/>
          <w:b/>
          <w:sz w:val="24"/>
        </w:rPr>
        <w:t>）：</w:t>
      </w:r>
      <w:r>
        <w:rPr>
          <w:rFonts w:ascii="Times New Roman" w:hAnsi="Times New Roman" w:eastAsia="宋体" w:cs="Times New Roman"/>
          <w:b w:val="0"/>
          <w:sz w:val="24"/>
        </w:rPr>
        <w:t xml:space="preserve"> - </w:t>
      </w:r>
      <w:r>
        <w:rPr>
          <w:rFonts w:ascii="Times New Roman" w:hAnsi="Times New Roman" w:eastAsia="宋体" w:cs="Times New Roman"/>
          <w:b/>
          <w:sz w:val="24"/>
        </w:rPr>
        <w:t>H3a修饰项设计（优先级1）：</w:t>
      </w:r>
      <w:r>
        <w:rPr>
          <w:rFonts w:ascii="Times New Roman" w:hAnsi="Times New Roman" w:eastAsia="宋体" w:cs="Times New Roman"/>
          <w:b w:val="0"/>
          <w:sz w:val="24"/>
        </w:rPr>
        <w:t>“两类修饰项均于第二阶段以多元meta回归纳入，并共用U反计算的动态暴露以免NbS降温重复计入</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”。该表述与s2a修订后的H3a“以不含NbS局地降温的动态暴露为共同暴露”一致。- *…</w:t>
      </w:r>
    </w:p>
    <w:p>
      <w:pPr>
        <w:snapToGrid w:val="0"/>
        <w:spacing w:lineRule="exact" w:line="440" w:before="0" w:after="0"/>
        <w:ind w:left="720" w:hanging="238"/>
        <w:jc w:val="both"/>
      </w:pPr>
      <w:r>
        <w:rPr>
          <w:rFonts w:ascii="Times New Roman" w:hAnsi="Times New Roman" w:eastAsia="宋体" w:cs="Times New Roman"/>
          <w:sz w:val="24"/>
        </w:rPr>
        <w:t xml:space="preserve">• </w:t>
      </w:r>
      <w:r>
        <w:rPr>
          <w:rFonts w:ascii="Times New Roman" w:hAnsi="Times New Roman" w:eastAsia="宋体" w:cs="Times New Roman"/>
          <w:b/>
          <w:sz w:val="24"/>
        </w:rPr>
        <w:t>s3s4info</w:t>
      </w:r>
      <w:r>
        <w:rPr>
          <w:rFonts w:ascii="Times New Roman" w:hAnsi="Times New Roman" w:eastAsia="宋体" w:cs="Times New Roman"/>
          <w:b w:val="0"/>
          <w:sz w:val="24"/>
        </w:rPr>
        <w:t>：s3（/tmp/claude-0/-home-user-gz/e95f3469-84dc-55c6-acde-5caa90728449/scratchpad/draft/s3.md）：- 重要问题（规范、申请资格）：正文不再表述申请人受聘于HKU-SIRI，现改为“现任职于香港大学城市规划及设计系【待核实：与依托单位香港大学深圳研究院的聘用关系，见（四）5（1…；补充内容：- s3拟补充内容（优先级1），压缩为一句置于（2）末尾：“申请人还协助指导香港大学与浙江大学的研究生和研究助理，并担任LUP、Cities等4种期刊的审稿人。”依据：协助指导研究生；担任SCS、LUP、Cities及Annals …</w:t>
      </w:r>
    </w:p>
    <w:p>
      <w:pPr>
        <w:keepNext/>
        <w:snapToGrid w:val="0"/>
        <w:spacing w:lineRule="exact" w:line="440" w:before="160" w:after="40"/>
        <w:jc w:val="both"/>
      </w:pPr>
      <w:r>
        <w:rPr>
          <w:rFonts w:ascii="Times New Roman" w:hAnsi="Times New Roman" w:eastAsia="黑体" w:cs="Times New Roman"/>
          <w:b/>
          <w:sz w:val="24"/>
        </w:rPr>
        <w:t>四、第二轮（复核）审查结论</w:t>
      </w:r>
    </w:p>
    <w:p>
      <w:pPr>
        <w:keepNext/>
        <w:snapToGrid w:val="0"/>
        <w:spacing w:lineRule="exact" w:line="440" w:before="80" w:after="0"/>
        <w:jc w:val="both"/>
      </w:pPr>
      <w:r>
        <w:rPr>
          <w:rFonts w:ascii="Times New Roman" w:hAnsi="Times New Roman" w:eastAsia="宋体" w:cs="Times New Roman"/>
          <w:b/>
          <w:sz w:val="24"/>
        </w:rPr>
        <w:t>规范与模板合规（残留问题 21 条，已进入终审修改）</w:t>
      </w:r>
    </w:p>
    <w:p>
      <w:pPr>
        <w:keepNext/>
        <w:snapToGrid w:val="0"/>
        <w:spacing w:lineRule="exact" w:line="360" w:before="120" w:after="40"/>
        <w:jc w:val="center"/>
      </w:pPr>
      <w:r>
        <w:rPr>
          <w:rFonts w:ascii="Times New Roman" w:hAnsi="Times New Roman" w:eastAsia="黑体" w:cs="Times New Roman"/>
          <w:b w:val="0"/>
          <w:sz w:val="21"/>
        </w:rPr>
        <w:t>表 复核·规范与模板合规</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模板标题逐字一致且完整…</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使用python-docx对照research/template.json检查build/yrd.docx。标题报告正文（2…</w:t>
            </w:r>
          </w:p>
        </w:tc>
      </w:tr>
      <w:tr>
        <w:tc>
          <w:tcPr>
            <w:tcW w:type="dxa" w:w="2483"/>
          </w:tcPr>
          <w:p>
            <w:pPr>
              <w:snapToGrid w:val="0"/>
              <w:spacing w:lineRule="exact" w:line="320" w:before="0" w:after="0"/>
              <w:jc w:val="left"/>
            </w:pPr>
            <w:r/>
            <w:r>
              <w:rPr>
                <w:rFonts w:ascii="Times New Roman" w:hAnsi="Times New Roman" w:eastAsia="宋体" w:cs="Times New Roman"/>
                <w:b w:val="0"/>
                <w:sz w:val="21"/>
              </w:rPr>
              <w:t>页数上限≤30及末页填充</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运行build_yrd.sh输出：pages=30 last_page_lines=23 per_page=[24, 23, 22, 22, 22, 22,…</w:t>
            </w:r>
          </w:p>
        </w:tc>
      </w:tr>
      <w:tr>
        <w:tc>
          <w:tcPr>
            <w:tcW w:type="dxa" w:w="2483"/>
          </w:tcPr>
          <w:p>
            <w:pPr>
              <w:snapToGrid w:val="0"/>
              <w:spacing w:lineRule="exact" w:line="320" w:before="0" w:after="0"/>
              <w:jc w:val="left"/>
            </w:pPr>
            <w:r/>
            <w:r>
              <w:rPr>
                <w:rFonts w:ascii="Times New Roman" w:hAnsi="Times New Roman" w:eastAsia="宋体" w:cs="Times New Roman"/>
                <w:b w:val="0"/>
                <w:sz w:val="21"/>
              </w:rPr>
              <w:t>（二）（三）（四）规定要素</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（二）包含科学问题与假说、研究目标、研究框架与操作性定义、研究方案及…</w:t>
            </w:r>
          </w:p>
        </w:tc>
      </w:tr>
      <w:tr>
        <w:tc>
          <w:tcPr>
            <w:tcW w:type="dxa" w:w="2483"/>
          </w:tcPr>
          <w:p>
            <w:pPr>
              <w:snapToGrid w:val="0"/>
              <w:spacing w:lineRule="exact" w:line="320" w:before="0" w:after="0"/>
              <w:jc w:val="left"/>
            </w:pPr>
            <w:r/>
            <w:r>
              <w:rPr>
                <w:rFonts w:ascii="Times New Roman" w:hAnsi="Times New Roman" w:eastAsia="宋体" w:cs="Times New Roman"/>
                <w:b w:val="0"/>
                <w:sz w:val="21"/>
              </w:rPr>
              <w:t>NSFC申请规定</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正文写明研究期限为3年，未出现经费数额，也未提及博士后。其中…</w:t>
            </w:r>
          </w:p>
        </w:tc>
      </w:tr>
      <w:tr>
        <w:tc>
          <w:tcPr>
            <w:tcW w:type="dxa" w:w="2483"/>
          </w:tcPr>
          <w:p>
            <w:pPr>
              <w:snapToGrid w:val="0"/>
              <w:spacing w:lineRule="exact" w:line="320" w:before="0" w:after="0"/>
              <w:jc w:val="left"/>
            </w:pPr>
            <w:r/>
            <w:r>
              <w:rPr>
                <w:rFonts w:ascii="Times New Roman" w:hAnsi="Times New Roman" w:eastAsia="宋体" w:cs="Times New Roman"/>
                <w:b w:val="0"/>
                <w:sz w:val="21"/>
              </w:rPr>
              <w:t>参考文献：允许的文献键、GB/T 7714一致…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参考文献共50条（写作简报§9规定的上限），所有文献键均见于写作简报§8/§8b；refs_yrd.jso…</w:t>
            </w:r>
          </w:p>
        </w:tc>
      </w:tr>
      <w:tr>
        <w:tc>
          <w:tcPr>
            <w:tcW w:type="dxa" w:w="2483"/>
          </w:tcPr>
          <w:p>
            <w:pPr>
              <w:snapToGrid w:val="0"/>
              <w:spacing w:lineRule="exact" w:line="320" w:before="0" w:after="0"/>
              <w:jc w:val="left"/>
            </w:pPr>
            <w:r/>
            <w:r>
              <w:rPr>
                <w:rFonts w:ascii="Times New Roman" w:hAnsi="Times New Roman" w:eastAsia="宋体" w:cs="Times New Roman"/>
                <w:b w:val="0"/>
                <w:sz w:val="21"/>
              </w:rPr>
              <w:t>图表</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图1 研究框架与图2 技术路线的图题均位于图下方，且正文中均有引用。表1与…</w:t>
            </w:r>
          </w:p>
        </w:tc>
      </w:tr>
      <w:tr>
        <w:tc>
          <w:tcPr>
            <w:tcW w:type="dxa" w:w="2483"/>
          </w:tcPr>
          <w:p>
            <w:pPr>
              <w:snapToGrid w:val="0"/>
              <w:spacing w:lineRule="exact" w:line="320" w:before="0" w:after="0"/>
              <w:jc w:val="left"/>
            </w:pPr>
            <w:r/>
            <w:r>
              <w:rPr>
                <w:rFonts w:ascii="Times New Roman" w:hAnsi="Times New Roman" w:eastAsia="宋体" w:cs="Times New Roman"/>
                <w:b w:val="0"/>
                <w:sz w:val="21"/>
              </w:rPr>
              <w:t>缩写与术语</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核心术语均按“中文（English，缩写）”格式正确引入：NbS、LST、Ta、Tmrt、UTCI、热…</w:t>
            </w:r>
          </w:p>
        </w:tc>
      </w:tr>
      <w:tr>
        <w:tc>
          <w:tcPr>
            <w:tcW w:type="dxa" w:w="2483"/>
          </w:tcPr>
          <w:p>
            <w:pPr>
              <w:snapToGrid w:val="0"/>
              <w:spacing w:lineRule="exact" w:line="320" w:before="0" w:after="0"/>
              <w:jc w:val="left"/>
            </w:pPr>
            <w:r/>
            <w:r>
              <w:rPr>
                <w:rFonts w:ascii="Times New Roman" w:hAnsi="Times New Roman" w:eastAsia="宋体" w:cs="Times New Roman"/>
                <w:b w:val="0"/>
                <w:sz w:val="21"/>
              </w:rPr>
              <w:t>事实与引文支撑</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已对照写作简报§8中的支撑说明逐条核查全部50条引文。每一项定量表述…</w:t>
            </w:r>
          </w:p>
        </w:tc>
      </w:tr>
      <w:tr>
        <w:tc>
          <w:tcPr>
            <w:tcW w:type="dxa" w:w="2483"/>
          </w:tcPr>
          <w:p>
            <w:pPr>
              <w:snapToGrid w:val="0"/>
              <w:spacing w:lineRule="exact" w:line="320" w:before="0" w:after="0"/>
              <w:jc w:val="left"/>
            </w:pPr>
            <w:r/>
            <w:r>
              <w:rPr>
                <w:rFonts w:ascii="Times New Roman" w:hAnsi="Times New Roman" w:eastAsia="宋体" w:cs="Times New Roman"/>
                <w:b w:val="0"/>
                <w:sz w:val="21"/>
              </w:rPr>
              <w:t>无杜撰的申请人信息</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已对照src/source_dump.txt核查，以下内容均见于原始材料：博士毕业于浙江大学…</w:t>
            </w:r>
          </w:p>
        </w:tc>
      </w:tr>
      <w:tr>
        <w:tc>
          <w:tcPr>
            <w:tcW w:type="dxa" w:w="2483"/>
          </w:tcPr>
          <w:p>
            <w:pPr>
              <w:snapToGrid w:val="0"/>
              <w:spacing w:lineRule="exact" w:line="320" w:before="0" w:after="0"/>
              <w:jc w:val="left"/>
            </w:pPr>
            <w:r/>
            <w:r>
              <w:rPr>
                <w:rFonts w:ascii="Times New Roman" w:hAnsi="Times New Roman" w:eastAsia="宋体" w:cs="Times New Roman"/>
                <w:b w:val="0"/>
                <w:sz w:val="21"/>
              </w:rPr>
              <w:t>疑似杜撰的具体细节未标【待……</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渲染后的文本含67处占位标记（待核实22处、待确认24处、待补充21处）。数据年份、粒…</w:t>
            </w:r>
          </w:p>
        </w:tc>
      </w:tr>
      <w:tr>
        <w:tc>
          <w:tcPr>
            <w:tcW w:type="dxa" w:w="2483"/>
          </w:tcPr>
          <w:p>
            <w:pPr>
              <w:snapToGrid w:val="0"/>
              <w:spacing w:lineRule="exact" w:line="320" w:before="0" w:after="0"/>
              <w:jc w:val="left"/>
            </w:pPr>
            <w:r/>
            <w:r>
              <w:rPr>
                <w:rFonts w:ascii="Times New Roman" w:hAnsi="Times New Roman" w:eastAsia="宋体" w:cs="Times New Roman"/>
                <w:b w:val="0"/>
                <w:sz w:val="21"/>
              </w:rPr>
              <w:t>学术语言</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文本为规范的大陆学术中文，未出现任何被禁…</w:t>
            </w:r>
          </w:p>
        </w:tc>
      </w:tr>
      <w:tr>
        <w:tc>
          <w:tcPr>
            <w:tcW w:type="dxa" w:w="2483"/>
          </w:tcPr>
          <w:p>
            <w:pPr>
              <w:snapToGrid w:val="0"/>
              <w:spacing w:lineRule="exact" w:line="320" w:before="0" w:after="0"/>
              <w:jc w:val="left"/>
            </w:pPr>
            <w:r/>
            <w:r>
              <w:rPr>
                <w:rFonts w:ascii="Times New Roman" w:hAnsi="Times New Roman" w:eastAsia="宋体" w:cs="Times New Roman"/>
                <w:b w:val="0"/>
                <w:sz w:val="21"/>
              </w:rPr>
              <w:t>研究设计内部一致性及交叉…</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交叉引用均可对应：（一）4、2.2、3.2、（三）3、（四）5、表1及表2。各项计数一致…</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学术语言（残留问题 66 条，已进入终审修改）</w:t>
      </w:r>
    </w:p>
    <w:p>
      <w:pPr>
        <w:keepNext/>
        <w:snapToGrid w:val="0"/>
        <w:spacing w:lineRule="exact" w:line="360" w:before="120" w:after="40"/>
        <w:jc w:val="center"/>
      </w:pPr>
      <w:r>
        <w:rPr>
          <w:rFonts w:ascii="Times New Roman" w:hAnsi="Times New Roman" w:eastAsia="黑体" w:cs="Times New Roman"/>
          <w:b w:val="0"/>
          <w:sz w:val="21"/>
        </w:rPr>
        <w:t>表 复核·学术语言</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术语一致性</w:t>
            </w:r>
          </w:p>
        </w:tc>
        <w:tc>
          <w:tcPr>
            <w:tcW w:type="dxa" w:w="1324"/>
          </w:tcPr>
          <w:p>
            <w:pPr>
              <w:snapToGrid w:val="0"/>
              <w:spacing w:lineRule="exact" w:line="320" w:before="0" w:after="0"/>
              <w:jc w:val="left"/>
            </w:pPr>
            <w:r/>
            <w:r>
              <w:rPr>
                <w:rFonts w:ascii="Times New Roman" w:hAnsi="Times New Roman" w:eastAsia="宋体" w:cs="Times New Roman"/>
                <w:b w:val="0"/>
                <w:sz w:val="21"/>
              </w:rPr>
              <w:t>不通过</w:t>
            </w:r>
          </w:p>
        </w:tc>
        <w:tc>
          <w:tcPr>
            <w:tcW w:type="dxa" w:w="4470"/>
          </w:tcPr>
          <w:p>
            <w:pPr>
              <w:snapToGrid w:val="0"/>
              <w:spacing w:lineRule="exact" w:line="320" w:before="0" w:after="0"/>
              <w:jc w:val="left"/>
            </w:pPr>
            <w:r/>
            <w:r>
              <w:rPr>
                <w:rFonts w:ascii="Times New Roman" w:hAnsi="Times New Roman" w:eastAsia="宋体" w:cs="Times New Roman"/>
                <w:b w:val="0"/>
                <w:sz w:val="21"/>
              </w:rPr>
              <w:t>多数核心术语全篇用法一致：DCP、DCP缺口、实得保护、可归因降温、表观降温、遮荫（均为2…</w:t>
            </w:r>
          </w:p>
        </w:tc>
      </w:tr>
      <w:tr>
        <w:tc>
          <w:tcPr>
            <w:tcW w:type="dxa" w:w="2483"/>
          </w:tcPr>
          <w:p>
            <w:pPr>
              <w:snapToGrid w:val="0"/>
              <w:spacing w:lineRule="exact" w:line="320" w:before="0" w:after="0"/>
              <w:jc w:val="left"/>
            </w:pPr>
            <w:r/>
            <w:r>
              <w:rPr>
                <w:rFonts w:ascii="Times New Roman" w:hAnsi="Times New Roman" w:eastAsia="宋体" w:cs="Times New Roman"/>
                <w:b w:val="0"/>
                <w:sz w:val="21"/>
              </w:rPr>
              <w:t>句式规范与可读性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行文总体紧凑、可读。但若干句子的主语…</w:t>
            </w:r>
          </w:p>
        </w:tc>
      </w:tr>
      <w:tr>
        <w:tc>
          <w:tcPr>
            <w:tcW w:type="dxa" w:w="2483"/>
          </w:tcPr>
          <w:p>
            <w:pPr>
              <w:snapToGrid w:val="0"/>
              <w:spacing w:lineRule="exact" w:line="320" w:before="0" w:after="0"/>
              <w:jc w:val="left"/>
            </w:pPr>
            <w:r/>
            <w:r>
              <w:rPr>
                <w:rFonts w:ascii="Times New Roman" w:hAnsi="Times New Roman" w:eastAsia="宋体" w:cs="Times New Roman"/>
                <w:b w:val="0"/>
                <w:sz w:val="21"/>
              </w:rPr>
              <w:t>标点与数字格式</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汉字旁未出现半角标点，无ASCII引号，且…</w:t>
            </w:r>
          </w:p>
        </w:tc>
      </w:tr>
      <w:tr>
        <w:tc>
          <w:tcPr>
            <w:tcW w:type="dxa" w:w="2483"/>
          </w:tcPr>
          <w:p>
            <w:pPr>
              <w:snapToGrid w:val="0"/>
              <w:spacing w:lineRule="exact" w:line="320" w:before="0" w:after="0"/>
              <w:jc w:val="left"/>
            </w:pPr>
            <w:r/>
            <w:r>
              <w:rPr>
                <w:rFonts w:ascii="Times New Roman" w:hAnsi="Times New Roman" w:eastAsia="宋体" w:cs="Times New Roman"/>
                <w:b w:val="0"/>
                <w:sz w:val="21"/>
              </w:rPr>
              <w:t>语体</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全文语体为正式的大陆学术中文，无口号或套…</w:t>
            </w:r>
          </w:p>
        </w:tc>
      </w:tr>
      <w:tr>
        <w:tc>
          <w:tcPr>
            <w:tcW w:type="dxa" w:w="2483"/>
          </w:tcPr>
          <w:p>
            <w:pPr>
              <w:snapToGrid w:val="0"/>
              <w:spacing w:lineRule="exact" w:line="320" w:before="0" w:after="0"/>
              <w:jc w:val="left"/>
            </w:pPr>
            <w:r/>
            <w:r>
              <w:rPr>
                <w:rFonts w:ascii="Times New Roman" w:hAnsi="Times New Roman" w:eastAsia="宋体" w:cs="Times New Roman"/>
                <w:b w:val="0"/>
                <w:sz w:val="21"/>
              </w:rPr>
              <w:t>段落逻辑与衔接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整体论证流畅：研究背景 → 三项研究缺口 → 级联框架 → DCP → KQ/H …</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新增内容与原文风格一致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新增的长三角内容（41城/三城两级设计、区县健康数据层、境内数据处理方式、长三角相关事实）…</w:t>
            </w:r>
          </w:p>
        </w:tc>
      </w:tr>
    </w:tbl>
    <w:p>
      <w:pPr>
        <w:snapToGrid w:val="0"/>
        <w:spacing w:lineRule="exact" w:line="160" w:before="0" w:after="0"/>
        <w:jc w:val="both"/>
      </w:pPr>
    </w:p>
    <w:p>
      <w:pPr>
        <w:keepNext/>
        <w:snapToGrid w:val="0"/>
        <w:spacing w:lineRule="exact" w:line="440" w:before="160" w:after="40"/>
        <w:jc w:val="both"/>
      </w:pPr>
      <w:r>
        <w:rPr>
          <w:rFonts w:ascii="Times New Roman" w:hAnsi="Times New Roman" w:eastAsia="黑体" w:cs="Times New Roman"/>
          <w:b/>
          <w:sz w:val="24"/>
        </w:rPr>
        <w:t>五、终审修改</w:t>
      </w:r>
    </w:p>
    <w:p>
      <w:pPr>
        <w:snapToGrid w:val="0"/>
        <w:spacing w:lineRule="exact" w:line="440" w:before="0" w:after="0"/>
        <w:ind w:firstLineChars="200" w:firstLine="480"/>
        <w:jc w:val="both"/>
      </w:pPr>
      <w:r>
        <w:rPr>
          <w:rFonts w:ascii="Times New Roman" w:hAnsi="Times New Roman" w:eastAsia="宋体" w:cs="Times New Roman"/>
          <w:b w:val="0"/>
          <w:sz w:val="24"/>
        </w:rPr>
        <w:t>全部阻断性问题与重大问题均已修正，各项次要问题均已全部采纳或经调整后采纳。备份位于scratchpad/draft/r7_backup/（含全部六个草稿文件、info.md、refs_yrd.json、fig1.html及fig2.html）。术语（重大问题）：两组修改意见对该术语的处理不一致，故全文统一使用“封存期”，“锁箱期”与“封存检验期”不再出现。- s2a的定义为：“健康数据最后3个暖季</w:t>
      </w:r>
      <w:r>
        <w:rPr>
          <w:rFonts w:ascii="Times New Roman" w:hAnsi="Times New Roman" w:eastAsia="宋体" w:cs="Times New Roman"/>
          <w:b w:val="0"/>
          <w:sz w:val="24"/>
          <w:highlight w:val="yellow"/>
        </w:rPr>
        <w:t>【待补充】</w:t>
      </w:r>
      <w:r>
        <w:rPr>
          <w:rFonts w:ascii="Times New Roman" w:hAnsi="Times New Roman" w:eastAsia="宋体" w:cs="Times New Roman"/>
          <w:b w:val="0"/>
          <w:sz w:val="24"/>
        </w:rPr>
        <w:t>为封存期（须落在YRD-HES覆盖期内</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），M4前全部建模均不使用…修正须在启用封存期数据前完成；该期仅启用一次，其后修正仅作探索性分析，否定结果如实报告。”该表述同时解决了“留出期须位于2000—2024年内”的问题。- s2b中H3a的判据现为“且封存期方向一致”。- s3风险⑥已改写，与1.1节的留出期规…</w:t>
      </w:r>
    </w:p>
    <w:p>
      <w:pPr>
        <w:snapToGrid w:val="0"/>
        <w:spacing w:lineRule="exact" w:line="440" w:before="0" w:after="0"/>
        <w:ind w:firstLineChars="200" w:firstLine="480"/>
        <w:jc w:val="both"/>
      </w:pPr>
      <w:r>
        <w:rPr>
          <w:rFonts w:ascii="Times New Roman" w:hAnsi="Times New Roman" w:eastAsia="宋体" w:cs="Times New Roman"/>
          <w:b w:val="0"/>
          <w:sz w:val="24"/>
        </w:rPr>
        <w:t>未采纳及原因：- Cohen's κ：未添加</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。原稿已明确写有该方法（“系统编码并以Cohen's κ检验一致性”），不属新增细节。- 五折：未添加“拟五折</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”，而是删去折数，使该句仅陈述原稿内容（按空间分块的留站交叉验证）。- s2a 判据：未恢复“（见表2）”的指引，M4已在正文中注明日期…</w:t>
      </w:r>
    </w:p>
    <w:p>
      <w:pPr>
        <w:keepNext/>
        <w:snapToGrid w:val="0"/>
        <w:spacing w:lineRule="exact" w:line="440" w:before="160" w:after="40"/>
        <w:jc w:val="both"/>
      </w:pPr>
      <w:r>
        <w:rPr>
          <w:rFonts w:ascii="Times New Roman" w:hAnsi="Times New Roman" w:eastAsia="黑体" w:cs="Times New Roman"/>
          <w:b/>
          <w:sz w:val="24"/>
        </w:rPr>
        <w:t>六、第三轮（终稿）独立复核</w:t>
      </w:r>
    </w:p>
    <w:p>
      <w:pPr>
        <w:snapToGrid w:val="0"/>
        <w:spacing w:lineRule="exact" w:line="440" w:before="0" w:after="0"/>
        <w:ind w:firstLineChars="200" w:firstLine="480"/>
        <w:jc w:val="both"/>
      </w:pPr>
      <w:r>
        <w:rPr>
          <w:rFonts w:ascii="Times New Roman" w:hAnsi="Times New Roman" w:eastAsia="宋体" w:cs="Times New Roman"/>
          <w:b w:val="0"/>
          <w:sz w:val="24"/>
        </w:rPr>
        <w:t>终审修改完成后，又由两个新的审查代理对终稿从零复核（不参考前两轮结论），残留问题由主控逐条处理。</w:t>
      </w:r>
    </w:p>
    <w:p>
      <w:pPr>
        <w:keepNext/>
        <w:snapToGrid w:val="0"/>
        <w:spacing w:lineRule="exact" w:line="440" w:before="80" w:after="0"/>
        <w:jc w:val="both"/>
      </w:pPr>
      <w:r>
        <w:rPr>
          <w:rFonts w:ascii="Times New Roman" w:hAnsi="Times New Roman" w:eastAsia="宋体" w:cs="Times New Roman"/>
          <w:b/>
          <w:sz w:val="24"/>
        </w:rPr>
        <w:t>规范、事实与术语一致性（残留问题 5 条）</w:t>
      </w:r>
    </w:p>
    <w:p>
      <w:pPr>
        <w:keepNext/>
        <w:snapToGrid w:val="0"/>
        <w:spacing w:lineRule="exact" w:line="360" w:before="120" w:after="40"/>
        <w:jc w:val="center"/>
      </w:pPr>
      <w:r>
        <w:rPr>
          <w:rFonts w:ascii="Times New Roman" w:hAnsi="Times New Roman" w:eastAsia="黑体" w:cs="Times New Roman"/>
          <w:b w:val="0"/>
          <w:sz w:val="21"/>
        </w:rPr>
        <w:t>表 第三轮·规范、事实与术语一致性</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模板标题逐字一致且完整…</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将build/yrd.pdf经pdftotext提取的文本去除空白字符后，对照res…</w:t>
            </w:r>
          </w:p>
        </w:tc>
      </w:tr>
      <w:tr>
        <w:tc>
          <w:tcPr>
            <w:tcW w:type="dxa" w:w="2483"/>
          </w:tcPr>
          <w:p>
            <w:pPr>
              <w:snapToGrid w:val="0"/>
              <w:spacing w:lineRule="exact" w:line="320" w:before="0" w:after="0"/>
              <w:jc w:val="left"/>
            </w:pPr>
            <w:r/>
            <w:r>
              <w:rPr>
                <w:rFonts w:ascii="Times New Roman" w:hAnsi="Times New Roman" w:eastAsia="宋体" w:cs="Times New Roman"/>
                <w:b w:val="0"/>
                <w:sz w:val="21"/>
              </w:rPr>
              <w:t>&lt;=30页</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pdfinfo显示共30页（A4）。第30页距写满约差8行，可用余量很…</w:t>
            </w:r>
          </w:p>
        </w:tc>
      </w:tr>
      <w:tr>
        <w:tc>
          <w:tcPr>
            <w:tcW w:type="dxa" w:w="2483"/>
          </w:tcPr>
          <w:p>
            <w:pPr>
              <w:snapToGrid w:val="0"/>
              <w:spacing w:lineRule="exact" w:line="320" w:before="0" w:after="0"/>
              <w:jc w:val="left"/>
            </w:pPr>
            <w:r/>
            <w:r>
              <w:rPr>
                <w:rFonts w:ascii="Times New Roman" w:hAnsi="Times New Roman" w:eastAsia="宋体" w:cs="Times New Roman"/>
                <w:b w:val="0"/>
                <w:sz w:val="21"/>
              </w:rPr>
              <w:t>规定要素</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（二）5 特色与创新点与（二）6 年度研究计划（表2）均已具备。（三）1包含(1) 前期研究积累、(2) 已取得的研究工作成绩、(3) 可行性…</w:t>
            </w:r>
          </w:p>
        </w:tc>
      </w:tr>
      <w:tr>
        <w:tc>
          <w:tcPr>
            <w:tcW w:type="dxa" w:w="2483"/>
          </w:tcPr>
          <w:p>
            <w:pPr>
              <w:snapToGrid w:val="0"/>
              <w:spacing w:lineRule="exact" w:line="320" w:before="0" w:after="0"/>
              <w:jc w:val="left"/>
            </w:pPr>
            <w:r/>
            <w:r>
              <w:rPr>
                <w:rFonts w:ascii="Times New Roman" w:hAnsi="Times New Roman" w:eastAsia="宋体" w:cs="Times New Roman"/>
                <w:b w:val="0"/>
                <w:sz w:val="21"/>
              </w:rPr>
              <w:t>NSFC申请规定（AI使用声明…</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（四）5（3）中的AI使用说明对ChatGPT与Claude的使用描述详细、如实。但…</w:t>
            </w:r>
          </w:p>
        </w:tc>
      </w:tr>
      <w:tr>
        <w:tc>
          <w:tcPr>
            <w:tcW w:type="dxa" w:w="2483"/>
          </w:tcPr>
          <w:p>
            <w:pPr>
              <w:snapToGrid w:val="0"/>
              <w:spacing w:lineRule="exact" w:line="320" w:before="0" w:after="0"/>
              <w:jc w:val="left"/>
            </w:pPr>
            <w:r/>
            <w:r>
              <w:rPr>
                <w:rFonts w:ascii="Times New Roman" w:hAnsi="Times New Roman" w:eastAsia="宋体" w:cs="Times New Roman"/>
                <w:b w:val="0"/>
                <w:sz w:val="21"/>
              </w:rPr>
              <w:t>每项数字／事实均有写作简报§7支撑…</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已核查s1中全部数字：0.31 °C/10a、华东2025、1.7–2.8 °C、79天、热岛20年、62,961/35,987…</w:t>
            </w:r>
          </w:p>
        </w:tc>
      </w:tr>
      <w:tr>
        <w:tc>
          <w:tcPr>
            <w:tcW w:type="dxa" w:w="2483"/>
          </w:tcPr>
          <w:p>
            <w:pPr>
              <w:snapToGrid w:val="0"/>
              <w:spacing w:lineRule="exact" w:line="320" w:before="0" w:after="0"/>
              <w:jc w:val="left"/>
            </w:pPr>
            <w:r/>
            <w:r>
              <w:rPr>
                <w:rFonts w:ascii="Times New Roman" w:hAnsi="Times New Roman" w:eastAsia="宋体" w:cs="Times New Roman"/>
                <w:b w:val="0"/>
                <w:sz w:val="21"/>
              </w:rPr>
              <w:t>每个</w:t>
            </w:r>
            <w:r>
              <w:rPr>
                <w:rFonts w:ascii="Times New Roman" w:hAnsi="Times New Roman" w:eastAsia="宋体" w:cs="Times New Roman"/>
                <w:b w:val="0"/>
                <w:sz w:val="21"/>
              </w:rPr>
              <w:t>均支撑所在句</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共50个不重复文献键，均见于写作简报§8/§8b，无文献库以外的键。每个键均经…</w:t>
            </w:r>
          </w:p>
        </w:tc>
      </w:tr>
      <w:tr>
        <w:tc>
          <w:tcPr>
            <w:tcW w:type="dxa" w:w="2483"/>
          </w:tcPr>
          <w:p>
            <w:pPr>
              <w:snapToGrid w:val="0"/>
              <w:spacing w:lineRule="exact" w:line="320" w:before="0" w:after="0"/>
              <w:jc w:val="left"/>
            </w:pPr>
            <w:r/>
            <w:r>
              <w:rPr>
                <w:rFonts w:ascii="Times New Roman" w:hAnsi="Times New Roman" w:eastAsia="宋体" w:cs="Times New Roman"/>
                <w:b w:val="0"/>
                <w:sz w:val="21"/>
              </w:rPr>
              <w:t>无杜撰的申请人信息</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已对照src/source_dump.txt核查：博士学位（ZJU，2025年6月）；被引450次，h=9，i10=9，截至…</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新增方法细节标注</w:t>
            </w:r>
            <w:r>
              <w:rPr>
                <w:rFonts w:ascii="Times New Roman" w:hAnsi="Times New Roman" w:eastAsia="宋体" w:cs="Times New Roman"/>
                <w:b w:val="0"/>
                <w:sz w:val="21"/>
                <w:highlight w:val="yellow"/>
              </w:rPr>
              <w:t>【待确认】</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多数新增细节已标注：DCP定义、RMSE ≤1.5 °C、暖季5–10月、6–8个EN…</w:t>
            </w:r>
          </w:p>
        </w:tc>
      </w:tr>
      <w:tr>
        <w:tc>
          <w:tcPr>
            <w:tcW w:type="dxa" w:w="2483"/>
          </w:tcPr>
          <w:p>
            <w:pPr>
              <w:snapToGrid w:val="0"/>
              <w:spacing w:lineRule="exact" w:line="320" w:before="0" w:after="0"/>
              <w:jc w:val="left"/>
            </w:pPr>
            <w:r/>
            <w:r>
              <w:rPr>
                <w:rFonts w:ascii="Times New Roman" w:hAnsi="Times New Roman" w:eastAsia="宋体" w:cs="Times New Roman"/>
                <w:b w:val="0"/>
                <w:sz w:val="21"/>
              </w:rPr>
              <w:t>核心术语跨章节一致性…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以下术语在s1、s2a、s2b、s2c、s3、s4、info及两幅图中一致：封存期（s2a/s2b…</w:t>
            </w:r>
          </w:p>
        </w:tc>
      </w:tr>
      <w:tr>
        <w:tc>
          <w:tcPr>
            <w:tcW w:type="dxa" w:w="2483"/>
          </w:tcPr>
          <w:p>
            <w:pPr>
              <w:snapToGrid w:val="0"/>
              <w:spacing w:lineRule="exact" w:line="320" w:before="0" w:after="0"/>
              <w:jc w:val="left"/>
            </w:pPr>
            <w:r/>
            <w:r>
              <w:rPr>
                <w:rFonts w:ascii="Times New Roman" w:hAnsi="Times New Roman" w:eastAsia="宋体" w:cs="Times New Roman"/>
                <w:b w:val="0"/>
                <w:sz w:val="21"/>
              </w:rPr>
              <w:t>参考文献GB/T 7714格式一致性</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共50条，按顺序编号。格式一致：[J]/[M]//[R]/[EB/OL]/[R/OL]…</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学术语言（残留问题 35 条）</w:t>
      </w:r>
    </w:p>
    <w:p>
      <w:pPr>
        <w:keepNext/>
        <w:snapToGrid w:val="0"/>
        <w:spacing w:lineRule="exact" w:line="360" w:before="120" w:after="40"/>
        <w:jc w:val="center"/>
      </w:pPr>
      <w:r>
        <w:rPr>
          <w:rFonts w:ascii="Times New Roman" w:hAnsi="Times New Roman" w:eastAsia="黑体" w:cs="Times New Roman"/>
          <w:b w:val="0"/>
          <w:sz w:val="21"/>
        </w:rPr>
        <w:t>表 第三轮·学术语言</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术语一致性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核心术语在s1–s4中用法一致：DCP、DCP缺口、NbS可归因降温、资源供给—实得保护—保护缺口、封存期、…</w:t>
            </w:r>
          </w:p>
        </w:tc>
      </w:tr>
      <w:tr>
        <w:tc>
          <w:tcPr>
            <w:tcW w:type="dxa" w:w="2483"/>
          </w:tcPr>
          <w:p>
            <w:pPr>
              <w:snapToGrid w:val="0"/>
              <w:spacing w:lineRule="exact" w:line="320" w:before="0" w:after="0"/>
              <w:jc w:val="left"/>
            </w:pPr>
            <w:r/>
            <w:r>
              <w:rPr>
                <w:rFonts w:ascii="Times New Roman" w:hAnsi="Times New Roman" w:eastAsia="宋体" w:cs="Times New Roman"/>
                <w:b w:val="0"/>
                <w:sz w:val="21"/>
              </w:rPr>
              <w:t>句式规范与可读性（无流水句、无叠加括注、主谓搭配）</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多数句子紧凑、结构正确。残留问题：H2b出现两个冒号，位于…</w:t>
            </w:r>
          </w:p>
        </w:tc>
      </w:tr>
      <w:tr>
        <w:tc>
          <w:tcPr>
            <w:tcW w:type="dxa" w:w="2483"/>
          </w:tcPr>
          <w:p>
            <w:pPr>
              <w:snapToGrid w:val="0"/>
              <w:spacing w:lineRule="exact" w:line="320" w:before="0" w:after="0"/>
              <w:jc w:val="left"/>
            </w:pPr>
            <w:r/>
            <w:r>
              <w:rPr>
                <w:rFonts w:ascii="Times New Roman" w:hAnsi="Times New Roman" w:eastAsia="宋体" w:cs="Times New Roman"/>
                <w:b w:val="0"/>
                <w:sz w:val="21"/>
              </w:rPr>
              <w:t>标点与数字格式</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经脚本检查：标点均为全角。引号、括号与加粗标记均成…</w:t>
            </w:r>
          </w:p>
        </w:tc>
      </w:tr>
      <w:tr>
        <w:tc>
          <w:tcPr>
            <w:tcW w:type="dxa" w:w="2483"/>
          </w:tcPr>
          <w:p>
            <w:pPr>
              <w:snapToGrid w:val="0"/>
              <w:spacing w:lineRule="exact" w:line="320" w:before="0" w:after="0"/>
              <w:jc w:val="left"/>
            </w:pPr>
            <w:r/>
            <w:r>
              <w:rPr>
                <w:rFonts w:ascii="Times New Roman" w:hAnsi="Times New Roman" w:eastAsia="宋体" w:cs="Times New Roman"/>
                <w:b w:val="0"/>
                <w:sz w:val="21"/>
              </w:rPr>
              <w:t>语体（学术、克制、无口号、无口语）</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无口号（填补空白、国际领先、突破、赋能等均零命中）。仍有口语化或表述松散之处：…</w:t>
            </w:r>
          </w:p>
        </w:tc>
      </w:tr>
      <w:tr>
        <w:tc>
          <w:tcPr>
            <w:tcW w:type="dxa" w:w="2483"/>
          </w:tcPr>
          <w:p>
            <w:pPr>
              <w:snapToGrid w:val="0"/>
              <w:spacing w:lineRule="exact" w:line="320" w:before="0" w:after="0"/>
              <w:jc w:val="left"/>
            </w:pPr>
            <w:r/>
            <w:r>
              <w:rPr>
                <w:rFonts w:ascii="Times New Roman" w:hAnsi="Times New Roman" w:eastAsia="宋体" w:cs="Times New Roman"/>
                <w:b w:val="0"/>
                <w:sz w:val="21"/>
              </w:rPr>
              <w:t>段落逻辑与衔接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论证链条清晰：研究背景 → 2.1–2.3研究缺口 → 小结 → 级联框架 → …</w:t>
            </w:r>
          </w:p>
        </w:tc>
      </w:tr>
      <w:tr>
        <w:tc>
          <w:tcPr>
            <w:tcW w:type="dxa" w:w="2483"/>
          </w:tcPr>
          <w:p>
            <w:pPr>
              <w:snapToGrid w:val="0"/>
              <w:spacing w:lineRule="exact" w:line="320" w:before="0" w:after="0"/>
              <w:jc w:val="left"/>
            </w:pPr>
            <w:r/>
            <w:r>
              <w:rPr>
                <w:rFonts w:ascii="Times New Roman" w:hAnsi="Times New Roman" w:eastAsia="宋体" w:cs="Times New Roman"/>
                <w:b w:val="0"/>
                <w:sz w:val="21"/>
              </w:rPr>
              <w:t>中英文混排规范（首次出现定义缩写、间距）</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经脚本列出每个拉丁字符词的首次出现，LST、Ta、Tmrt、UTCI、LC…</w:t>
            </w:r>
          </w:p>
        </w:tc>
      </w:tr>
    </w:tbl>
    <w:p>
      <w:pPr>
        <w:snapToGrid w:val="0"/>
        <w:spacing w:lineRule="exact" w:line="160" w:before="0" w:after="0"/>
        <w:jc w:val="both"/>
      </w:pPr>
    </w:p>
    <w:p>
      <w:pPr>
        <w:snapToGrid w:val="0"/>
        <w:spacing w:lineRule="exact" w:line="440" w:before="0" w:after="0"/>
        <w:ind w:firstLineChars="200" w:firstLine="480"/>
        <w:jc w:val="both"/>
      </w:pPr>
      <w:r>
        <w:rPr>
          <w:rFonts w:ascii="Times New Roman" w:hAnsi="Times New Roman" w:eastAsia="宋体" w:cs="Times New Roman"/>
          <w:b w:val="0"/>
          <w:sz w:val="24"/>
        </w:rPr>
        <w:t>第三轮残留问题处理：共39条残留问题，采纳37条（含统一“城市间”“独立检验”“资源供给”等术语、修正标点与搭配、补足AI使用说明中的图件表述、英文摘要术语改为protection deficit）；另在正文开头增加生成式人工智能使用标识。未采纳2条：Cohen's κ已见于申请人英文原稿，不属新增方法细节，故不加</w:t>
      </w:r>
      <w:r>
        <w:rPr>
          <w:rFonts w:ascii="Times New Roman" w:hAnsi="Times New Roman" w:eastAsia="宋体" w:cs="Times New Roman"/>
          <w:b w:val="0"/>
          <w:sz w:val="24"/>
          <w:highlight w:val="yellow"/>
        </w:rPr>
        <w:t>【待确认】</w:t>
      </w:r>
      <w:r>
        <w:rPr>
          <w:rFonts w:ascii="Times New Roman" w:hAnsi="Times New Roman" w:eastAsia="宋体" w:cs="Times New Roman"/>
          <w:b w:val="0"/>
          <w:sz w:val="24"/>
        </w:rPr>
        <w:t>；“城市层”一条与另一条重复。</w:t>
      </w:r>
    </w:p>
    <w:p>
      <w:pPr>
        <w:keepNext/>
        <w:snapToGrid w:val="0"/>
        <w:spacing w:lineRule="exact" w:line="440" w:before="160" w:after="40"/>
        <w:jc w:val="both"/>
      </w:pPr>
      <w:r>
        <w:rPr>
          <w:rFonts w:ascii="Times New Roman" w:hAnsi="Times New Roman" w:eastAsia="黑体" w:cs="Times New Roman"/>
          <w:b/>
          <w:sz w:val="24"/>
        </w:rPr>
        <w:t>八、页数校正与扩写</w:t>
      </w:r>
    </w:p>
    <w:p>
      <w:pPr>
        <w:snapToGrid w:val="0"/>
        <w:spacing w:lineRule="exact" w:line="440" w:before="0" w:after="0"/>
        <w:ind w:firstLineChars="200" w:firstLine="480"/>
        <w:jc w:val="both"/>
      </w:pPr>
      <w:r>
        <w:rPr>
          <w:rFonts w:ascii="Times New Roman" w:hAnsi="Times New Roman" w:eastAsia="宋体" w:cs="Times New Roman"/>
          <w:b w:val="0"/>
          <w:sz w:val="24"/>
        </w:rPr>
        <w:t>用户在Word中打开第三轮后的定稿，显示为21页，而此前LibreOffice渲染为30页。经排查，原因在于官方模板的节设置了行网格（docGrid，行距15.6磅），LibreOffice将每行固定值行距吸附到两个网格行上（约31磅/行），Word则不吸附。此前的页数核对因此高估约1.4倍。已在生成的全部段落上关闭网格吸附，使LibreOffice与Word一致；另编写独立的版式估算程序，以用户在Word中看到的21页校准，作为主要页数依据。随后改用官方模板正文段落的固定值22磅行距，并按“立项依据约30%、研究内容约50%、研究基础约20%”的比例扩写实质内容（文献综述、方法细节、研究基础与转化路径），参考文献由50条增至69条。</w:t>
      </w:r>
    </w:p>
    <w:p>
      <w:pPr>
        <w:keepNext/>
        <w:snapToGrid w:val="0"/>
        <w:spacing w:lineRule="exact" w:line="440" w:before="160" w:after="40"/>
        <w:jc w:val="both"/>
      </w:pPr>
      <w:r>
        <w:rPr>
          <w:rFonts w:ascii="Times New Roman" w:hAnsi="Times New Roman" w:eastAsia="黑体" w:cs="Times New Roman"/>
          <w:b/>
          <w:sz w:val="24"/>
        </w:rPr>
        <w:t>九、第四轮（扩写后）四维对抗式审查</w:t>
      </w:r>
    </w:p>
    <w:p>
      <w:pPr>
        <w:keepNext/>
        <w:snapToGrid w:val="0"/>
        <w:spacing w:lineRule="exact" w:line="440" w:before="80" w:after="0"/>
        <w:jc w:val="both"/>
      </w:pPr>
      <w:r>
        <w:rPr>
          <w:rFonts w:ascii="Times New Roman" w:hAnsi="Times New Roman" w:eastAsia="宋体" w:cs="Times New Roman"/>
          <w:b/>
          <w:sz w:val="24"/>
        </w:rPr>
        <w:t>规范与模板合规（发现问题 26 条）</w:t>
      </w:r>
    </w:p>
    <w:p>
      <w:pPr>
        <w:keepNext/>
        <w:snapToGrid w:val="0"/>
        <w:spacing w:lineRule="exact" w:line="360" w:before="120" w:after="40"/>
        <w:jc w:val="center"/>
      </w:pPr>
      <w:r>
        <w:rPr>
          <w:rFonts w:ascii="Times New Roman" w:hAnsi="Times New Roman" w:eastAsia="黑体" w:cs="Times New Roman"/>
          <w:b w:val="0"/>
          <w:sz w:val="21"/>
        </w:rPr>
        <w:t>表 第四轮·规范与模板合规</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模板标题逐字一致且完整…</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全部15个提纲条目及引导段均逐字、按顺序出现在build/y…</w:t>
            </w:r>
          </w:p>
        </w:tc>
      </w:tr>
      <w:tr>
        <w:tc>
          <w:tcPr>
            <w:tcW w:type="dxa" w:w="2483"/>
          </w:tcPr>
          <w:p>
            <w:pPr>
              <w:snapToGrid w:val="0"/>
              <w:spacing w:lineRule="exact" w:line="320" w:before="0" w:after="0"/>
              <w:jc w:val="left"/>
            </w:pPr>
            <w:r/>
            <w:r>
              <w:rPr>
                <w:rFonts w:ascii="Times New Roman" w:hAnsi="Times New Roman" w:eastAsia="宋体" w:cs="Times New Roman"/>
                <w:b w:val="0"/>
                <w:sz w:val="21"/>
              </w:rPr>
              <w:t>页数（目标为恰好30整页…</w:t>
            </w:r>
          </w:p>
        </w:tc>
        <w:tc>
          <w:tcPr>
            <w:tcW w:type="dxa" w:w="1324"/>
          </w:tcPr>
          <w:p>
            <w:pPr>
              <w:snapToGrid w:val="0"/>
              <w:spacing w:lineRule="exact" w:line="320" w:before="0" w:after="0"/>
              <w:jc w:val="left"/>
            </w:pPr>
            <w:r/>
            <w:r>
              <w:rPr>
                <w:rFonts w:ascii="Times New Roman" w:hAnsi="Times New Roman" w:eastAsia="宋体" w:cs="Times New Roman"/>
                <w:b w:val="0"/>
                <w:sz w:val="21"/>
              </w:rPr>
              <w:t>不通过</w:t>
            </w:r>
          </w:p>
        </w:tc>
        <w:tc>
          <w:tcPr>
            <w:tcW w:type="dxa" w:w="4470"/>
          </w:tcPr>
          <w:p>
            <w:pPr>
              <w:snapToGrid w:val="0"/>
              <w:spacing w:lineRule="exact" w:line="320" w:before="0" w:after="0"/>
              <w:jc w:val="left"/>
            </w:pPr>
            <w:r/>
            <w:r>
              <w:rPr>
                <w:rFonts w:ascii="Times New Roman" w:hAnsi="Times New Roman" w:eastAsia="宋体" w:cs="Times New Roman"/>
                <w:b w:val="0"/>
                <w:sz w:val="21"/>
              </w:rPr>
              <w:t>build_yrd.sh输出pages=31 last_page_lines=20，即19行正文另加页码…</w:t>
            </w:r>
          </w:p>
        </w:tc>
      </w:tr>
      <w:tr>
        <w:tc>
          <w:tcPr>
            <w:tcW w:type="dxa" w:w="2483"/>
          </w:tcPr>
          <w:p>
            <w:pPr>
              <w:snapToGrid w:val="0"/>
              <w:spacing w:lineRule="exact" w:line="320" w:before="0" w:after="0"/>
              <w:jc w:val="left"/>
            </w:pPr>
            <w:r/>
            <w:r>
              <w:rPr>
                <w:rFonts w:ascii="Times New Roman" w:hAnsi="Times New Roman" w:eastAsia="宋体" w:cs="Times New Roman"/>
                <w:b w:val="0"/>
                <w:sz w:val="21"/>
              </w:rPr>
              <w:t>渲染器与Word的一致性（用户的…</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诊断正确。模板的docGrid type=lines linePitch=312（15.6 pt）使L…</w:t>
            </w:r>
          </w:p>
        </w:tc>
      </w:tr>
      <w:tr>
        <w:tc>
          <w:tcPr>
            <w:tcW w:type="dxa" w:w="2483"/>
          </w:tcPr>
          <w:p>
            <w:pPr>
              <w:snapToGrid w:val="0"/>
              <w:spacing w:lineRule="exact" w:line="320" w:before="0" w:after="0"/>
              <w:jc w:val="left"/>
            </w:pPr>
            <w:r/>
            <w:r>
              <w:rPr>
                <w:rFonts w:ascii="Times New Roman" w:hAnsi="Times New Roman" w:eastAsia="宋体" w:cs="Times New Roman"/>
                <w:b w:val="0"/>
                <w:sz w:val="21"/>
              </w:rPr>
              <w:t>（二）（三）（四）中的规定要素</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（二）：含“5. 特色与创新点”及“6. 年度研究计划”（附表2）。（三）1：前期研究积累、已取得的研究工作成绩及研究风险的应对…</w:t>
            </w:r>
          </w:p>
        </w:tc>
      </w:tr>
      <w:tr>
        <w:tc>
          <w:tcPr>
            <w:tcW w:type="dxa" w:w="2483"/>
          </w:tcPr>
          <w:p>
            <w:pPr>
              <w:snapToGrid w:val="0"/>
              <w:spacing w:lineRule="exact" w:line="320" w:before="0" w:after="0"/>
              <w:jc w:val="left"/>
            </w:pPr>
            <w:r/>
            <w:r>
              <w:rPr>
                <w:rFonts w:ascii="Times New Roman" w:hAnsi="Times New Roman" w:eastAsia="宋体" w:cs="Times New Roman"/>
                <w:b w:val="0"/>
                <w:sz w:val="21"/>
              </w:rPr>
              <w:t>NSFC规定（AI使用声明位于开头及…</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开头有AI说明（“注：本正文使用了生成式人工智能辅助撰写与制图，详见（四）5（3）。”），另有完整声…</w:t>
            </w:r>
          </w:p>
        </w:tc>
      </w:tr>
      <w:tr>
        <w:tc>
          <w:tcPr>
            <w:tcW w:type="dxa" w:w="2483"/>
          </w:tcPr>
          <w:p>
            <w:pPr>
              <w:snapToGrid w:val="0"/>
              <w:spacing w:lineRule="exact" w:line="320" w:before="0" w:after="0"/>
              <w:jc w:val="left"/>
            </w:pPr>
            <w:r/>
            <w:r>
              <w:rPr>
                <w:rFonts w:ascii="Times New Roman" w:hAnsi="Times New Roman" w:eastAsia="宋体" w:cs="Times New Roman"/>
                <w:b w:val="0"/>
                <w:sz w:val="21"/>
              </w:rPr>
              <w:t>参考文献：GB/T 7714一致性与排…</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共67条不重复文献（上限70条）。所有文献键均见于写作简报§8/§8b；经脚本检查发现…</w:t>
            </w:r>
          </w:p>
        </w:tc>
      </w:tr>
      <w:tr>
        <w:tc>
          <w:tcPr>
            <w:tcW w:type="dxa" w:w="2483"/>
          </w:tcPr>
          <w:p>
            <w:pPr>
              <w:snapToGrid w:val="0"/>
              <w:spacing w:lineRule="exact" w:line="320" w:before="0" w:after="0"/>
              <w:jc w:val="left"/>
            </w:pPr>
            <w:r/>
            <w:r>
              <w:rPr>
                <w:rFonts w:ascii="Times New Roman" w:hAnsi="Times New Roman" w:eastAsia="宋体" w:cs="Times New Roman"/>
                <w:b w:val="0"/>
                <w:sz w:val="21"/>
              </w:rPr>
              <w:t>图表：编号、题注、…</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图1 研究框架与图2 技术路线的图题位于图下方；表1 主要数据与获取状态和表2 年度研究计划与考核节点的表题…</w:t>
            </w:r>
          </w:p>
        </w:tc>
      </w:tr>
      <w:tr>
        <w:tc>
          <w:tcPr>
            <w:tcW w:type="dxa" w:w="2483"/>
          </w:tcPr>
          <w:p>
            <w:pPr>
              <w:snapToGrid w:val="0"/>
              <w:spacing w:lineRule="exact" w:line="320" w:before="0" w:after="0"/>
              <w:jc w:val="left"/>
            </w:pPr>
            <w:r/>
            <w:r>
              <w:rPr>
                <w:rFonts w:ascii="Times New Roman" w:hAnsi="Times New Roman" w:eastAsia="宋体" w:cs="Times New Roman"/>
                <w:b w:val="0"/>
                <w:sz w:val="21"/>
              </w:rPr>
              <w:t>缩写在首次出现时给出定义</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LST、LCZ、Ta、Tmrt、UTCI、DLNM、DCP、YRD-HES、KQ、GAM、SHAP、DID、OD、QAIC、BLUP、CLCD、IS…</w:t>
            </w:r>
          </w:p>
        </w:tc>
      </w:tr>
      <w:tr>
        <w:tc>
          <w:tcPr>
            <w:tcW w:type="dxa" w:w="2483"/>
          </w:tcPr>
          <w:p>
            <w:pPr>
              <w:snapToGrid w:val="0"/>
              <w:spacing w:lineRule="exact" w:line="320" w:before="0" w:after="0"/>
              <w:jc w:val="left"/>
            </w:pPr>
            <w:r/>
            <w:r>
              <w:rPr>
                <w:rFonts w:ascii="Times New Roman" w:hAnsi="Times New Roman" w:eastAsia="宋体" w:cs="Times New Roman"/>
                <w:b w:val="0"/>
                <w:sz w:val="21"/>
              </w:rPr>
              <w:t>单位、数字与标点</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正文统一使用“°C”（未用℃），单位前留空格（30 m、1 km、500 m、30 min）…</w:t>
            </w:r>
          </w:p>
        </w:tc>
      </w:tr>
      <w:tr>
        <w:tc>
          <w:tcPr>
            <w:tcW w:type="dxa" w:w="2483"/>
          </w:tcPr>
          <w:p>
            <w:pPr>
              <w:snapToGrid w:val="0"/>
              <w:spacing w:lineRule="exact" w:line="320" w:before="0" w:after="0"/>
              <w:jc w:val="left"/>
            </w:pPr>
            <w:r/>
            <w:r>
              <w:rPr>
                <w:rFonts w:ascii="Times New Roman" w:hAnsi="Times New Roman" w:eastAsia="宋体" w:cs="Times New Roman"/>
                <w:b w:val="0"/>
                <w:sz w:val="21"/>
              </w:rPr>
              <w:t>硬性规则：不编造事实，</w:t>
            </w:r>
            <w:r>
              <w:rPr>
                <w:rFonts w:ascii="Times New Roman" w:hAnsi="Times New Roman" w:eastAsia="宋体" w:cs="Times New Roman"/>
                <w:b w:val="0"/>
                <w:sz w:val="21"/>
                <w:highlight w:val="yellow"/>
              </w:rPr>
              <w:t>【待确认】</w:t>
            </w:r>
            <w:r>
              <w:rPr>
                <w:rFonts w:ascii="Times New Roman" w:hAnsi="Times New Roman" w:eastAsia="宋体" w:cs="Times New Roman"/>
                <w:b w:val="0"/>
                <w:sz w:val="21"/>
              </w:rPr>
              <w:t>标注于…</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将新增立项依据中的数字与写作简报§7、§8抽查核对，未发现编造数值：6.3万…</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学术语言（发现问题 85 条）</w:t>
      </w:r>
    </w:p>
    <w:p>
      <w:pPr>
        <w:keepNext/>
        <w:snapToGrid w:val="0"/>
        <w:spacing w:lineRule="exact" w:line="360" w:before="120" w:after="40"/>
        <w:jc w:val="center"/>
      </w:pPr>
      <w:r>
        <w:rPr>
          <w:rFonts w:ascii="Times New Roman" w:hAnsi="Times New Roman" w:eastAsia="黑体" w:cs="Times New Roman"/>
          <w:b w:val="0"/>
          <w:sz w:val="21"/>
        </w:rPr>
        <w:t>表 第四轮·学术语言</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术语一致性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核心术语（封存期、DCP/DCP</w:t>
            </w:r>
            <w:r>
              <w:rPr>
                <w:rFonts w:ascii="Times New Roman" w:hAnsi="Times New Roman" w:eastAsia="宋体" w:cs="Times New Roman"/>
                <w:b w:val="0"/>
                <w:sz w:val="21"/>
                <w:vertAlign w:val="subscript"/>
              </w:rPr>
              <w:t>res</w:t>
            </w:r>
            <w:r>
              <w:rPr>
                <w:rFonts w:ascii="Times New Roman" w:hAnsi="Times New Roman" w:eastAsia="宋体" w:cs="Times New Roman"/>
                <w:b w:val="0"/>
                <w:sz w:val="21"/>
              </w:rPr>
              <w:t>/DCP缺口、YRD-HES、全域层/三城层、九类NbS、KQ/H/M/G编号）总体一致，但新增文字引入了若干变体：s1用“县区”（3处…</w:t>
            </w:r>
          </w:p>
        </w:tc>
      </w:tr>
      <w:tr>
        <w:tc>
          <w:tcPr>
            <w:tcW w:type="dxa" w:w="2483"/>
          </w:tcPr>
          <w:p>
            <w:pPr>
              <w:snapToGrid w:val="0"/>
              <w:spacing w:lineRule="exact" w:line="320" w:before="0" w:after="0"/>
              <w:jc w:val="left"/>
            </w:pPr>
            <w:r/>
            <w:r>
              <w:rPr>
                <w:rFonts w:ascii="Times New Roman" w:hAnsi="Times New Roman" w:eastAsia="宋体" w:cs="Times New Roman"/>
                <w:b w:val="0"/>
                <w:sz w:val="21"/>
              </w:rPr>
              <w:t>句式规范与可读性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多数新增句子合规，但有几处长句或残缺句：s1“科学意义”其一约140字，“可接受健康结局检验”有歧义；s2b GAM一句塞进公式和7项定义，没有用“式中”分句，x、y也未定义；“研…</w:t>
            </w:r>
          </w:p>
        </w:tc>
      </w:tr>
      <w:tr>
        <w:tc>
          <w:tcPr>
            <w:tcW w:type="dxa" w:w="2483"/>
          </w:tcPr>
          <w:p>
            <w:pPr>
              <w:snapToGrid w:val="0"/>
              <w:spacing w:lineRule="exact" w:line="320" w:before="0" w:after="0"/>
              <w:jc w:val="left"/>
            </w:pPr>
            <w:r/>
            <w:r>
              <w:rPr>
                <w:rFonts w:ascii="Times New Roman" w:hAnsi="Times New Roman" w:eastAsia="宋体" w:cs="Times New Roman"/>
                <w:b w:val="0"/>
                <w:sz w:val="21"/>
              </w:rPr>
              <w:t>标点与数字格式</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数值范围多用“～”（1.7～2.8 °C、2.3～5.8倍、6～8个、2～4 m），但s2b写“0—10天”；千位分隔不统一，s2b为“1,000”（3处），s3为“178 441…</w:t>
            </w:r>
          </w:p>
        </w:tc>
      </w:tr>
      <w:tr>
        <w:tc>
          <w:tcPr>
            <w:tcW w:type="dxa" w:w="2483"/>
          </w:tcPr>
          <w:p>
            <w:pPr>
              <w:snapToGrid w:val="0"/>
              <w:spacing w:lineRule="exact" w:line="320" w:before="0" w:after="0"/>
              <w:jc w:val="left"/>
            </w:pPr>
            <w:r/>
            <w:r>
              <w:rPr>
                <w:rFonts w:ascii="Times New Roman" w:hAnsi="Times New Roman" w:eastAsia="宋体" w:cs="Times New Roman"/>
                <w:b w:val="0"/>
                <w:sz w:val="21"/>
              </w:rPr>
              <w:t>语体（学术、克制、无口号/口语）</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整体克制，无“填补空白”类套话。零星口语和行话：s1“在规划侧/在风险管理侧”，s2b“入模”“星期几”“如可得”，s2c“解耦”“适得其反”。另有评价性或过度断言：s1“长三角亦…</w:t>
            </w:r>
          </w:p>
        </w:tc>
      </w:tr>
      <w:tr>
        <w:tc>
          <w:tcPr>
            <w:tcW w:type="dxa" w:w="2483"/>
          </w:tcPr>
          <w:p>
            <w:pPr>
              <w:snapToGrid w:val="0"/>
              <w:spacing w:lineRule="exact" w:line="320" w:before="0" w:after="0"/>
              <w:jc w:val="left"/>
            </w:pPr>
            <w:r/>
            <w:r>
              <w:rPr>
                <w:rFonts w:ascii="Times New Roman" w:hAnsi="Times New Roman" w:eastAsia="宋体" w:cs="Times New Roman"/>
                <w:b w:val="0"/>
                <w:sz w:val="21"/>
              </w:rPr>
              <w:t>段落逻辑与衔接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 2.1“国内研究在长三角积累了较多案例：”之后第一例是全国311城研究，论据与主张不对应；s1把海绵城市不降温推及“NbS的降温效益不能默认存在”，属推论过度；s1 2.2先…</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新增内容与原文风格一致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新增的方法细节（嵌套交叉验证、马氏距离匹配、事件研究、ENVI-met参数、集中指数公式、3.4步骤）语体与原文一致，并按规定标了</w:t>
            </w:r>
            <w:r>
              <w:rPr>
                <w:rFonts w:ascii="Times New Roman" w:hAnsi="Times New Roman" w:eastAsia="宋体" w:cs="Times New Roman"/>
                <w:b w:val="0"/>
                <w:sz w:val="21"/>
                <w:highlight w:val="yellow"/>
              </w:rPr>
              <w:t>【待确认】</w:t>
            </w:r>
            <w:r>
              <w:rPr>
                <w:rFonts w:ascii="Times New Roman" w:hAnsi="Times New Roman" w:eastAsia="宋体" w:cs="Times New Roman"/>
                <w:b w:val="0"/>
                <w:sz w:val="21"/>
              </w:rPr>
              <w:t>。新增的3.6节编号格式（“（1）**……</w:t>
            </w:r>
          </w:p>
        </w:tc>
      </w:tr>
      <w:tr>
        <w:tc>
          <w:tcPr>
            <w:tcW w:type="dxa" w:w="2483"/>
          </w:tcPr>
          <w:p>
            <w:pPr>
              <w:snapToGrid w:val="0"/>
              <w:spacing w:lineRule="exact" w:line="320" w:before="0" w:after="0"/>
              <w:jc w:val="left"/>
            </w:pPr>
            <w:r/>
            <w:r>
              <w:rPr>
                <w:rFonts w:ascii="Times New Roman" w:hAnsi="Times New Roman" w:eastAsia="宋体" w:cs="Times New Roman"/>
                <w:b w:val="0"/>
                <w:sz w:val="21"/>
              </w:rPr>
              <w:t>无重复与凑字</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“预警/露天作业按城市或气温分级、无法指明地点、时段与人群”这一论点在s1出现4次（第1部分第3段末句、2.4节末句、2.5节“转化衔接不足”、第4部分“现实意义”），前两处由本轮…</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评审专家视角（发现问题 24 条）</w:t>
      </w:r>
    </w:p>
    <w:p>
      <w:pPr>
        <w:keepNext/>
        <w:snapToGrid w:val="0"/>
        <w:spacing w:lineRule="exact" w:line="360" w:before="120" w:after="40"/>
        <w:jc w:val="center"/>
      </w:pPr>
      <w:r>
        <w:rPr>
          <w:rFonts w:ascii="Times New Roman" w:hAnsi="Times New Roman" w:eastAsia="黑体" w:cs="Times New Roman"/>
          <w:b w:val="0"/>
          <w:sz w:val="21"/>
        </w:rPr>
        <w:t>表 第四轮·评审专家视角</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篇幅预算／渲染器（≤30页；须…</w:t>
            </w:r>
          </w:p>
        </w:tc>
        <w:tc>
          <w:tcPr>
            <w:tcW w:type="dxa" w:w="1324"/>
          </w:tcPr>
          <w:p>
            <w:pPr>
              <w:snapToGrid w:val="0"/>
              <w:spacing w:lineRule="exact" w:line="320" w:before="0" w:after="0"/>
              <w:jc w:val="left"/>
            </w:pPr>
            <w:r/>
            <w:r>
              <w:rPr>
                <w:rFonts w:ascii="Times New Roman" w:hAnsi="Times New Roman" w:eastAsia="宋体" w:cs="Times New Roman"/>
                <w:b w:val="0"/>
                <w:sz w:val="21"/>
              </w:rPr>
              <w:t>不通过</w:t>
            </w:r>
          </w:p>
        </w:tc>
        <w:tc>
          <w:tcPr>
            <w:tcW w:type="dxa" w:w="4470"/>
          </w:tcPr>
          <w:p>
            <w:pPr>
              <w:snapToGrid w:val="0"/>
              <w:spacing w:lineRule="exact" w:line="320" w:before="0" w:after="0"/>
              <w:jc w:val="left"/>
            </w:pPr>
            <w:r/>
            <w:r>
              <w:rPr>
                <w:rFonts w:ascii="Times New Roman" w:hAnsi="Times New Roman" w:eastAsia="宋体" w:cs="Times New Roman"/>
                <w:b w:val="0"/>
                <w:sz w:val="21"/>
              </w:rPr>
              <w:t>当前构建（yrd.pdf于06:38重建，晚于06:37的s2b修改）结果为pages=31，las…</w:t>
            </w:r>
          </w:p>
        </w:tc>
      </w:tr>
      <w:tr>
        <w:tc>
          <w:tcPr>
            <w:tcW w:type="dxa" w:w="2483"/>
          </w:tcPr>
          <w:p>
            <w:pPr>
              <w:snapToGrid w:val="0"/>
              <w:spacing w:lineRule="exact" w:line="320" w:before="0" w:after="0"/>
              <w:jc w:val="left"/>
            </w:pPr>
            <w:r/>
            <w:r>
              <w:rPr>
                <w:rFonts w:ascii="Times New Roman" w:hAnsi="Times New Roman" w:eastAsia="宋体" w:cs="Times New Roman"/>
                <w:b w:val="0"/>
                <w:sz w:val="21"/>
              </w:rPr>
              <w:t>创新性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DCP概念阐述清楚且具新意：可归因降温×逐时在场人数，测度…</w:t>
            </w:r>
          </w:p>
        </w:tc>
      </w:tr>
      <w:tr>
        <w:tc>
          <w:tcPr>
            <w:tcW w:type="dxa" w:w="2483"/>
          </w:tcPr>
          <w:p>
            <w:pPr>
              <w:snapToGrid w:val="0"/>
              <w:spacing w:lineRule="exact" w:line="320" w:before="0" w:after="0"/>
              <w:jc w:val="left"/>
            </w:pPr>
            <w:r/>
            <w:r>
              <w:rPr>
                <w:rFonts w:ascii="Times New Roman" w:hAnsi="Times New Roman" w:eastAsia="宋体" w:cs="Times New Roman"/>
                <w:b w:val="0"/>
                <w:sz w:val="21"/>
              </w:rPr>
              <w:t>科学问题凝练</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设一个核心问题，KQ1–KQ3与研究内容一至三一一对应，H1a–H3b各有一个…</w:t>
            </w:r>
          </w:p>
        </w:tc>
      </w:tr>
      <w:tr>
        <w:tc>
          <w:tcPr>
            <w:tcW w:type="dxa" w:w="2483"/>
          </w:tcPr>
          <w:p>
            <w:pPr>
              <w:snapToGrid w:val="0"/>
              <w:spacing w:lineRule="exact" w:line="320" w:before="0" w:after="0"/>
              <w:jc w:val="left"/>
            </w:pPr>
            <w:r/>
            <w:r>
              <w:rPr>
                <w:rFonts w:ascii="Times New Roman" w:hAnsi="Times New Roman" w:eastAsia="宋体" w:cs="Times New Roman"/>
                <w:b w:val="0"/>
                <w:sz w:val="21"/>
              </w:rPr>
              <w:t>研究方案可行性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方法设定详细，且大多标注</w:t>
            </w:r>
            <w:r>
              <w:rPr>
                <w:rFonts w:ascii="Times New Roman" w:hAnsi="Times New Roman" w:eastAsia="宋体" w:cs="Times New Roman"/>
                <w:b w:val="0"/>
                <w:sz w:val="21"/>
                <w:highlight w:val="yellow"/>
              </w:rPr>
              <w:t>【待确认】</w:t>
            </w:r>
            <w:r>
              <w:rPr>
                <w:rFonts w:ascii="Times New Roman" w:hAnsi="Times New Roman" w:eastAsia="宋体" w:cs="Times New Roman"/>
                <w:b w:val="0"/>
                <w:sz w:val="21"/>
              </w:rPr>
              <w:t>。存在四个较大但可修正的问…</w:t>
            </w:r>
          </w:p>
        </w:tc>
      </w:tr>
      <w:tr>
        <w:tc>
          <w:tcPr>
            <w:tcW w:type="dxa" w:w="2483"/>
          </w:tcPr>
          <w:p>
            <w:pPr>
              <w:snapToGrid w:val="0"/>
              <w:spacing w:lineRule="exact" w:line="320" w:before="0" w:after="0"/>
              <w:jc w:val="left"/>
            </w:pPr>
            <w:r/>
            <w:r>
              <w:rPr>
                <w:rFonts w:ascii="Times New Roman" w:hAnsi="Times New Roman" w:eastAsia="宋体" w:cs="Times New Roman"/>
                <w:b w:val="0"/>
                <w:sz w:val="21"/>
              </w:rPr>
              <w:t>研究基础与条件</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申请人各项事实均与source_dump.txt核对一致：5篇第一作者LUP/SCS论文，450次引…</w:t>
            </w:r>
          </w:p>
        </w:tc>
      </w:tr>
      <w:tr>
        <w:tc>
          <w:tcPr>
            <w:tcW w:type="dxa" w:w="2483"/>
          </w:tcPr>
          <w:p>
            <w:pPr>
              <w:snapToGrid w:val="0"/>
              <w:spacing w:lineRule="exact" w:line="320" w:before="0" w:after="0"/>
              <w:jc w:val="left"/>
            </w:pPr>
            <w:r/>
            <w:r>
              <w:rPr>
                <w:rFonts w:ascii="Times New Roman" w:hAnsi="Times New Roman" w:eastAsia="宋体" w:cs="Times New Roman"/>
                <w:b w:val="0"/>
                <w:sz w:val="21"/>
              </w:rPr>
              <w:t>预期成果</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成果具体，符合3年期青C的体量：YRD-HES（含发布日期与DOI）、代码、3…</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新增内容有实质，并非凑…</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s1新增内容（+2,175字）均有写作简报§7/§8中的事实及允许的文献键支撑。…</w:t>
            </w:r>
          </w:p>
        </w:tc>
      </w:tr>
      <w:tr>
        <w:tc>
          <w:tcPr>
            <w:tcW w:type="dxa" w:w="2483"/>
          </w:tcPr>
          <w:p>
            <w:pPr>
              <w:snapToGrid w:val="0"/>
              <w:spacing w:lineRule="exact" w:line="320" w:before="0" w:after="0"/>
              <w:jc w:val="left"/>
            </w:pPr>
            <w:r/>
            <w:r>
              <w:rPr>
                <w:rFonts w:ascii="Times New Roman" w:hAnsi="Times New Roman" w:eastAsia="宋体" w:cs="Times New Roman"/>
                <w:b w:val="0"/>
                <w:sz w:val="21"/>
              </w:rPr>
              <w:t>逻辑衔接与术语</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核定术语使用一致：封存期、DCP/DCP</w:t>
            </w:r>
            <w:r>
              <w:rPr>
                <w:rFonts w:ascii="Times New Roman" w:hAnsi="Times New Roman" w:eastAsia="宋体" w:cs="Times New Roman"/>
                <w:b w:val="0"/>
                <w:sz w:val="21"/>
                <w:vertAlign w:val="subscript"/>
              </w:rPr>
              <w:t>res</w:t>
            </w:r>
            <w:r>
              <w:rPr>
                <w:rFonts w:ascii="Times New Roman" w:hAnsi="Times New Roman" w:eastAsia="宋体" w:cs="Times New Roman"/>
                <w:b w:val="0"/>
                <w:sz w:val="21"/>
              </w:rPr>
              <w:t>/DCP缺口、YRD-HES、全域层/三城层、九类NbS、K…</w:t>
            </w:r>
          </w:p>
        </w:tc>
      </w:tr>
      <w:tr>
        <w:tc>
          <w:tcPr>
            <w:tcW w:type="dxa" w:w="2483"/>
          </w:tcPr>
          <w:p>
            <w:pPr>
              <w:snapToGrid w:val="0"/>
              <w:spacing w:lineRule="exact" w:line="320" w:before="0" w:after="0"/>
              <w:jc w:val="left"/>
            </w:pPr>
            <w:r/>
            <w:r>
              <w:rPr>
                <w:rFonts w:ascii="Times New Roman" w:hAnsi="Times New Roman" w:eastAsia="宋体" w:cs="Times New Roman"/>
                <w:b w:val="0"/>
                <w:sz w:val="21"/>
              </w:rPr>
              <w:t>事实与参考文献合规</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全部67个不重复文献键均见于写作简报§8/§8b及refs_yrd.json。任务说明为50条，但实…</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事实与引文（发现问题 14 条）</w:t>
      </w:r>
    </w:p>
    <w:p>
      <w:pPr>
        <w:keepNext/>
        <w:snapToGrid w:val="0"/>
        <w:spacing w:lineRule="exact" w:line="360" w:before="120" w:after="40"/>
        <w:jc w:val="center"/>
      </w:pPr>
      <w:r>
        <w:rPr>
          <w:rFonts w:ascii="Times New Roman" w:hAnsi="Times New Roman" w:eastAsia="黑体" w:cs="Times New Roman"/>
          <w:b w:val="0"/>
          <w:sz w:val="21"/>
        </w:rPr>
        <w:t>表 第四轮·事实与引文</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修正渲染器后的页数与…</w:t>
            </w:r>
          </w:p>
        </w:tc>
        <w:tc>
          <w:tcPr>
            <w:tcW w:type="dxa" w:w="1324"/>
          </w:tcPr>
          <w:p>
            <w:pPr>
              <w:snapToGrid w:val="0"/>
              <w:spacing w:lineRule="exact" w:line="320" w:before="0" w:after="0"/>
              <w:jc w:val="left"/>
            </w:pPr>
            <w:r/>
            <w:r>
              <w:rPr>
                <w:rFonts w:ascii="Times New Roman" w:hAnsi="Times New Roman" w:eastAsia="宋体" w:cs="Times New Roman"/>
                <w:b w:val="0"/>
                <w:sz w:val="21"/>
              </w:rPr>
              <w:t>不通过</w:t>
            </w:r>
          </w:p>
        </w:tc>
        <w:tc>
          <w:tcPr>
            <w:tcW w:type="dxa" w:w="4470"/>
          </w:tcPr>
          <w:p>
            <w:pPr>
              <w:snapToGrid w:val="0"/>
              <w:spacing w:lineRule="exact" w:line="320" w:before="0" w:after="0"/>
              <w:jc w:val="left"/>
            </w:pPr>
            <w:r/>
            <w:r>
              <w:rPr>
                <w:rFonts w:ascii="Times New Roman" w:hAnsi="Times New Roman" w:eastAsia="宋体" w:cs="Times New Roman"/>
                <w:b w:val="0"/>
                <w:sz w:val="21"/>
              </w:rPr>
              <w:t>渲染器修正确实有效。此前LibreOffice将每个22 pt固定值行吸附到两个15.6 pt…</w:t>
            </w:r>
          </w:p>
        </w:tc>
      </w:tr>
      <w:tr>
        <w:tc>
          <w:tcPr>
            <w:tcW w:type="dxa" w:w="2483"/>
          </w:tcPr>
          <w:p>
            <w:pPr>
              <w:snapToGrid w:val="0"/>
              <w:spacing w:lineRule="exact" w:line="320" w:before="0" w:after="0"/>
              <w:jc w:val="left"/>
            </w:pPr>
            <w:r/>
            <w:r>
              <w:rPr>
                <w:rFonts w:ascii="Times New Roman" w:hAnsi="Times New Roman" w:eastAsia="宋体" w:cs="Times New Roman"/>
                <w:b w:val="0"/>
                <w:sz w:val="21"/>
              </w:rPr>
              <w:t>所有数字与事实均与写作简报§7相符（…</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以下数字与§7中已确认条目相符：0.31 °C/10年；2025年华东最暖；1.7–2.8 °…</w:t>
            </w:r>
          </w:p>
        </w:tc>
      </w:tr>
      <w:tr>
        <w:tc>
          <w:tcPr>
            <w:tcW w:type="dxa" w:w="2483"/>
          </w:tcPr>
          <w:p>
            <w:pPr>
              <w:snapToGrid w:val="0"/>
              <w:spacing w:lineRule="exact" w:line="320" w:before="0" w:after="0"/>
              <w:jc w:val="left"/>
            </w:pPr>
            <w:r/>
            <w:r>
              <w:rPr>
                <w:rFonts w:ascii="Times New Roman" w:hAnsi="Times New Roman" w:eastAsia="宋体" w:cs="Times New Roman"/>
                <w:b w:val="0"/>
                <w:sz w:val="21"/>
              </w:rPr>
              <w:t>每个</w:t>
            </w:r>
            <w:r>
              <w:rPr>
                <w:rFonts w:ascii="Times New Roman" w:hAnsi="Times New Roman" w:eastAsia="宋体" w:cs="Times New Roman"/>
                <w:b w:val="0"/>
                <w:sz w:val="21"/>
              </w:rPr>
              <w:t>均有写作简报§8“su…</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已将全部67个被引文献键与其§8“supports”文本逐一核对，多数句子转…</w:t>
            </w:r>
          </w:p>
        </w:tc>
      </w:tr>
      <w:tr>
        <w:tc>
          <w:tcPr>
            <w:tcW w:type="dxa" w:w="2483"/>
          </w:tcPr>
          <w:p>
            <w:pPr>
              <w:snapToGrid w:val="0"/>
              <w:spacing w:lineRule="exact" w:line="320" w:before="0" w:after="0"/>
              <w:jc w:val="left"/>
            </w:pPr>
            <w:r/>
            <w:r>
              <w:rPr>
                <w:rFonts w:ascii="Times New Roman" w:hAnsi="Times New Roman" w:eastAsia="宋体" w:cs="Times New Roman"/>
                <w:b w:val="0"/>
                <w:sz w:val="21"/>
              </w:rPr>
              <w:t>仅使用允许的文献键；不重复文献总…</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共67个不重复文献键，均见于写作简报§8/§8b，且均可在refs_yrd.json中解析（渲…</w:t>
            </w:r>
          </w:p>
        </w:tc>
      </w:tr>
      <w:tr>
        <w:tc>
          <w:tcPr>
            <w:tcW w:type="dxa" w:w="2483"/>
          </w:tcPr>
          <w:p>
            <w:pPr>
              <w:snapToGrid w:val="0"/>
              <w:spacing w:lineRule="exact" w:line="320" w:before="0" w:after="0"/>
              <w:jc w:val="left"/>
            </w:pPr>
            <w:r/>
            <w:r>
              <w:rPr>
                <w:rFonts w:ascii="Times New Roman" w:hAnsi="Times New Roman" w:eastAsia="宋体" w:cs="Times New Roman"/>
                <w:b w:val="0"/>
                <w:sz w:val="21"/>
              </w:rPr>
              <w:t>申请人信息与JRFS来源一致</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以下与来源一致：ZJU本科及博士（设计学，2025年6月）；5篇第一作…</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新增方法细节标注</w:t>
            </w:r>
            <w:r>
              <w:rPr>
                <w:rFonts w:ascii="Times New Roman" w:hAnsi="Times New Roman" w:eastAsia="宋体" w:cs="Times New Roman"/>
                <w:b w:val="0"/>
                <w:sz w:val="21"/>
                <w:highlight w:val="yellow"/>
              </w:rPr>
              <w:t>【待确认】</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来源中无依据的细节均标注</w:t>
            </w:r>
            <w:r>
              <w:rPr>
                <w:rFonts w:ascii="Times New Roman" w:hAnsi="Times New Roman" w:eastAsia="宋体" w:cs="Times New Roman"/>
                <w:b w:val="0"/>
                <w:sz w:val="21"/>
                <w:highlight w:val="yellow"/>
              </w:rPr>
              <w:t>【待确认】</w:t>
            </w:r>
            <w:r>
              <w:rPr>
                <w:rFonts w:ascii="Times New Roman" w:hAnsi="Times New Roman" w:eastAsia="宋体" w:cs="Times New Roman"/>
                <w:b w:val="0"/>
                <w:sz w:val="21"/>
              </w:rPr>
              <w:t>：RMSE ≤1.5 °C；SMD&lt;0.1匹配；GAM…</w:t>
            </w:r>
          </w:p>
        </w:tc>
      </w:tr>
      <w:tr>
        <w:tc>
          <w:tcPr>
            <w:tcW w:type="dxa" w:w="2483"/>
          </w:tcPr>
          <w:p>
            <w:pPr>
              <w:snapToGrid w:val="0"/>
              <w:spacing w:lineRule="exact" w:line="320" w:before="0" w:after="0"/>
              <w:jc w:val="left"/>
            </w:pPr>
            <w:r/>
            <w:r>
              <w:rPr>
                <w:rFonts w:ascii="Times New Roman" w:hAnsi="Times New Roman" w:eastAsia="宋体" w:cs="Times New Roman"/>
                <w:b w:val="0"/>
                <w:sz w:val="21"/>
              </w:rPr>
              <w:t>各节间数字、日…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s2a、s2b、s2c、s3、图2及info之间一致：M1（2028年3月）、M2与G1（2028年12月），…</w:t>
            </w:r>
          </w:p>
        </w:tc>
      </w:tr>
    </w:tbl>
    <w:p>
      <w:pPr>
        <w:snapToGrid w:val="0"/>
        <w:spacing w:lineRule="exact" w:line="160" w:before="0" w:after="0"/>
        <w:jc w:val="both"/>
      </w:pPr>
    </w:p>
    <w:p>
      <w:pPr>
        <w:keepNext/>
        <w:snapToGrid w:val="0"/>
        <w:spacing w:lineRule="exact" w:line="440" w:before="160" w:after="40"/>
        <w:jc w:val="both"/>
      </w:pPr>
      <w:r>
        <w:rPr>
          <w:rFonts w:ascii="Times New Roman" w:hAnsi="Times New Roman" w:eastAsia="黑体" w:cs="Times New Roman"/>
          <w:b/>
          <w:sz w:val="24"/>
        </w:rPr>
        <w:t>十、第五轮（修改后）独立复核</w:t>
      </w:r>
    </w:p>
    <w:p>
      <w:pPr>
        <w:snapToGrid w:val="0"/>
        <w:spacing w:lineRule="exact" w:line="440" w:before="0" w:after="0"/>
        <w:ind w:firstLineChars="200" w:firstLine="480"/>
        <w:jc w:val="both"/>
      </w:pPr>
      <w:r>
        <w:rPr>
          <w:rFonts w:ascii="Times New Roman" w:hAnsi="Times New Roman" w:eastAsia="宋体" w:cs="Times New Roman"/>
          <w:b w:val="0"/>
          <w:sz w:val="24"/>
        </w:rPr>
        <w:t>分节编辑代理处理第四轮问题后（含：DCP主分析只对室外暴露人·小时计入室外UTCI；H3a比较在同一暴露上估计与预测；H1b判据改以全部位点的统计估计为准；说明计算负荷；（三）3不再将申请人列为青年A类项目组成员），由两个新的审查代理从零复核，残留问题经终审修改。</w:t>
      </w:r>
    </w:p>
    <w:p>
      <w:pPr>
        <w:keepNext/>
        <w:snapToGrid w:val="0"/>
        <w:spacing w:lineRule="exact" w:line="440" w:before="80" w:after="0"/>
        <w:jc w:val="both"/>
      </w:pPr>
      <w:r>
        <w:rPr>
          <w:rFonts w:ascii="Times New Roman" w:hAnsi="Times New Roman" w:eastAsia="宋体" w:cs="Times New Roman"/>
          <w:b/>
          <w:sz w:val="24"/>
        </w:rPr>
        <w:t>规范与模板合规（残留问题 6 条）</w:t>
      </w:r>
    </w:p>
    <w:p>
      <w:pPr>
        <w:keepNext/>
        <w:snapToGrid w:val="0"/>
        <w:spacing w:lineRule="exact" w:line="360" w:before="120" w:after="40"/>
        <w:jc w:val="center"/>
      </w:pPr>
      <w:r>
        <w:rPr>
          <w:rFonts w:ascii="Times New Roman" w:hAnsi="Times New Roman" w:eastAsia="黑体" w:cs="Times New Roman"/>
          <w:b w:val="0"/>
          <w:sz w:val="21"/>
        </w:rPr>
        <w:t>表 第五轮·规范与模板合规</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模板标题逐字一致且完整</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据当前s1–s4重建私有副本（scratchpad/_v14/v.docx），使用build_docx.…</w:t>
            </w:r>
          </w:p>
        </w:tc>
      </w:tr>
      <w:tr>
        <w:tc>
          <w:tcPr>
            <w:tcW w:type="dxa" w:w="2483"/>
          </w:tcPr>
          <w:p>
            <w:pPr>
              <w:snapToGrid w:val="0"/>
              <w:spacing w:lineRule="exact" w:line="320" w:before="0" w:after="0"/>
              <w:jc w:val="left"/>
            </w:pPr>
            <w:r/>
            <w:r>
              <w:rPr>
                <w:rFonts w:ascii="Times New Roman" w:hAnsi="Times New Roman" w:eastAsia="宋体" w:cs="Times New Roman"/>
                <w:b w:val="0"/>
                <w:sz w:val="21"/>
              </w:rPr>
              <w:t>（二）（三）（四）中的规定要素</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（二）含5. 特色与创新点（三项）及6. 年度研究计划（表2，含M1–M6/G1）。（三）1涵盖前期研究积累、已取得的…</w:t>
            </w:r>
          </w:p>
        </w:tc>
      </w:tr>
      <w:tr>
        <w:tc>
          <w:tcPr>
            <w:tcW w:type="dxa" w:w="2483"/>
          </w:tcPr>
          <w:p>
            <w:pPr>
              <w:snapToGrid w:val="0"/>
              <w:spacing w:lineRule="exact" w:line="320" w:before="0" w:after="0"/>
              <w:jc w:val="left"/>
            </w:pPr>
            <w:r/>
            <w:r>
              <w:rPr>
                <w:rFonts w:ascii="Times New Roman" w:hAnsi="Times New Roman" w:eastAsia="宋体" w:cs="Times New Roman"/>
                <w:b w:val="0"/>
                <w:sz w:val="21"/>
              </w:rPr>
              <w:t>NSFC规定：AI使用声明、JRFS如实说明、…</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首尾均有AI使用声明：s1首行（“注：本正文使用了生成式人工智能辅助撰写与制图…”）及…</w:t>
            </w:r>
          </w:p>
        </w:tc>
      </w:tr>
      <w:tr>
        <w:tc>
          <w:tcPr>
            <w:tcW w:type="dxa" w:w="2483"/>
          </w:tcPr>
          <w:p>
            <w:pPr>
              <w:snapToGrid w:val="0"/>
              <w:spacing w:lineRule="exact" w:line="320" w:before="0" w:after="0"/>
              <w:jc w:val="left"/>
            </w:pPr>
            <w:r/>
            <w:r>
              <w:rPr>
                <w:rFonts w:ascii="Times New Roman" w:hAnsi="Times New Roman" w:eastAsia="宋体" w:cs="Times New Roman"/>
                <w:b w:val="0"/>
                <w:sz w:val="21"/>
              </w:rPr>
              <w:t>事实与写作简报§7及source_dump的核对</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所核数字均与§7或所引文献键的支撑说明相符：0.31 °C/10a；华东2025最高；1.…</w:t>
            </w:r>
          </w:p>
        </w:tc>
      </w:tr>
      <w:tr>
        <w:tc>
          <w:tcPr>
            <w:tcW w:type="dxa" w:w="2483"/>
          </w:tcPr>
          <w:p>
            <w:pPr>
              <w:snapToGrid w:val="0"/>
              <w:spacing w:lineRule="exact" w:line="320" w:before="0" w:after="0"/>
              <w:jc w:val="left"/>
            </w:pPr>
            <w:r/>
            <w:r>
              <w:rPr>
                <w:rFonts w:ascii="Times New Roman" w:hAnsi="Times New Roman" w:eastAsia="宋体" w:cs="Times New Roman"/>
                <w:b w:val="0"/>
                <w:sz w:val="21"/>
              </w:rPr>
              <w:t>每个</w:t>
            </w:r>
            <w:r>
              <w:rPr>
                <w:rFonts w:ascii="Times New Roman" w:hAnsi="Times New Roman" w:eastAsia="宋体" w:cs="Times New Roman"/>
                <w:b w:val="0"/>
                <w:sz w:val="21"/>
              </w:rPr>
              <w:t>均支撑所在句；不重…</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共引用68个不重复文献键（而非67个）。均见于写作简报§8/§8b及refs_yrd.json，且每个…</w:t>
            </w:r>
          </w:p>
        </w:tc>
      </w:tr>
      <w:tr>
        <w:tc>
          <w:tcPr>
            <w:tcW w:type="dxa" w:w="2483"/>
          </w:tcPr>
          <w:p>
            <w:pPr>
              <w:snapToGrid w:val="0"/>
              <w:spacing w:lineRule="exact" w:line="320" w:before="0" w:after="0"/>
              <w:jc w:val="left"/>
            </w:pPr>
            <w:r/>
            <w:r>
              <w:rPr>
                <w:rFonts w:ascii="Times New Roman" w:hAnsi="Times New Roman" w:eastAsia="宋体" w:cs="Times New Roman"/>
                <w:b w:val="0"/>
                <w:sz w:val="21"/>
              </w:rPr>
              <w:t>新增方法细节标注</w:t>
            </w:r>
            <w:r>
              <w:rPr>
                <w:rFonts w:ascii="Times New Roman" w:hAnsi="Times New Roman" w:eastAsia="宋体" w:cs="Times New Roman"/>
                <w:b w:val="0"/>
                <w:sz w:val="21"/>
                <w:highlight w:val="yellow"/>
              </w:rPr>
              <w:t>【待确认】</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几乎所有阈值与设定均有标注：s2b有40处</w:t>
            </w:r>
            <w:r>
              <w:rPr>
                <w:rFonts w:ascii="Times New Roman" w:hAnsi="Times New Roman" w:eastAsia="宋体" w:cs="Times New Roman"/>
                <w:b w:val="0"/>
                <w:sz w:val="21"/>
                <w:highlight w:val="yellow"/>
              </w:rPr>
              <w:t>【待确认】</w:t>
            </w:r>
            <w:r>
              <w:rPr>
                <w:rFonts w:ascii="Times New Roman" w:hAnsi="Times New Roman" w:eastAsia="宋体" w:cs="Times New Roman"/>
                <w:b w:val="0"/>
                <w:sz w:val="21"/>
              </w:rPr>
              <w:t>，s2a有6处，s2b第…</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术语与数字一致，涵盖…</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以下在所有文件中一致：DCP/人均DCP/DCP缺口/DCP</w:t>
            </w:r>
            <w:r>
              <w:rPr>
                <w:rFonts w:ascii="Times New Roman" w:hAnsi="Times New Roman" w:eastAsia="宋体" w:cs="Times New Roman"/>
                <w:b w:val="0"/>
                <w:sz w:val="21"/>
                <w:vertAlign w:val="subscript"/>
              </w:rPr>
              <w:t>res</w:t>
            </w:r>
            <w:r>
              <w:rPr>
                <w:rFonts w:ascii="Times New Roman" w:hAnsi="Times New Roman" w:eastAsia="宋体" w:cs="Times New Roman"/>
                <w:b w:val="0"/>
                <w:sz w:val="21"/>
              </w:rPr>
              <w:t>、YRD-HES、九类/七类、遮荫（无遮…</w:t>
            </w:r>
          </w:p>
        </w:tc>
      </w:tr>
      <w:tr>
        <w:tc>
          <w:tcPr>
            <w:tcW w:type="dxa" w:w="2483"/>
          </w:tcPr>
          <w:p>
            <w:pPr>
              <w:snapToGrid w:val="0"/>
              <w:spacing w:lineRule="exact" w:line="320" w:before="0" w:after="0"/>
              <w:jc w:val="left"/>
            </w:pPr>
            <w:r/>
            <w:r>
              <w:rPr>
                <w:rFonts w:ascii="Times New Roman" w:hAnsi="Times New Roman" w:eastAsia="宋体" w:cs="Times New Roman"/>
                <w:b w:val="0"/>
                <w:sz w:val="21"/>
              </w:rPr>
              <w:t>参考文献采用GB/T 7714格式</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生成的文献表[1]–[68]按首次引用顺序编号，并使用正确的文献类型标…</w:t>
            </w:r>
          </w:p>
        </w:tc>
      </w:tr>
      <w:tr>
        <w:tc>
          <w:tcPr>
            <w:tcW w:type="dxa" w:w="2483"/>
          </w:tcPr>
          <w:p>
            <w:pPr>
              <w:snapToGrid w:val="0"/>
              <w:spacing w:lineRule="exact" w:line="320" w:before="0" w:after="0"/>
              <w:jc w:val="left"/>
            </w:pPr>
            <w:r/>
            <w:r>
              <w:rPr>
                <w:rFonts w:ascii="Times New Roman" w:hAnsi="Times New Roman" w:eastAsia="宋体" w:cs="Times New Roman"/>
                <w:b w:val="0"/>
                <w:sz w:val="21"/>
              </w:rPr>
              <w:t>页数（仅报告）</w:t>
            </w:r>
          </w:p>
        </w:tc>
        <w:tc>
          <w:tcPr>
            <w:tcW w:type="dxa" w:w="1324"/>
          </w:tcPr>
          <w:p>
            <w:pPr>
              <w:snapToGrid w:val="0"/>
              <w:spacing w:lineRule="exact" w:line="320" w:before="0" w:after="0"/>
              <w:jc w:val="left"/>
            </w:pPr>
            <w:r/>
            <w:r>
              <w:rPr>
                <w:rFonts w:ascii="Times New Roman" w:hAnsi="Times New Roman" w:eastAsia="宋体" w:cs="Times New Roman"/>
                <w:b w:val="0"/>
                <w:sz w:val="21"/>
              </w:rPr>
              <w:t>通过</w:t>
            </w:r>
          </w:p>
        </w:tc>
        <w:tc>
          <w:tcPr>
            <w:tcW w:type="dxa" w:w="4470"/>
          </w:tcPr>
          <w:p>
            <w:pPr>
              <w:snapToGrid w:val="0"/>
              <w:spacing w:lineRule="exact" w:line="320" w:before="0" w:after="0"/>
              <w:jc w:val="left"/>
            </w:pPr>
            <w:r/>
            <w:r>
              <w:rPr>
                <w:rFonts w:ascii="Times New Roman" w:hAnsi="Times New Roman" w:eastAsia="宋体" w:cs="Times New Roman"/>
                <w:b w:val="0"/>
                <w:sz w:val="21"/>
              </w:rPr>
              <w:t>基于重建副本，estimate_pages.py给出estimated_pages=31、last_page_fill=35%、forced_ga…</w:t>
            </w:r>
          </w:p>
        </w:tc>
      </w:tr>
    </w:tbl>
    <w:p>
      <w:pPr>
        <w:snapToGrid w:val="0"/>
        <w:spacing w:lineRule="exact" w:line="160" w:before="0" w:after="0"/>
        <w:jc w:val="both"/>
      </w:pPr>
    </w:p>
    <w:p>
      <w:pPr>
        <w:keepNext/>
        <w:snapToGrid w:val="0"/>
        <w:spacing w:lineRule="exact" w:line="440" w:before="80" w:after="0"/>
        <w:jc w:val="both"/>
      </w:pPr>
      <w:r>
        <w:rPr>
          <w:rFonts w:ascii="Times New Roman" w:hAnsi="Times New Roman" w:eastAsia="宋体" w:cs="Times New Roman"/>
          <w:b/>
          <w:sz w:val="24"/>
        </w:rPr>
        <w:t>学术语言（残留问题 43 条）</w:t>
      </w:r>
    </w:p>
    <w:p>
      <w:pPr>
        <w:keepNext/>
        <w:snapToGrid w:val="0"/>
        <w:spacing w:lineRule="exact" w:line="360" w:before="120" w:after="40"/>
        <w:jc w:val="center"/>
      </w:pPr>
      <w:r>
        <w:rPr>
          <w:rFonts w:ascii="Times New Roman" w:hAnsi="Times New Roman" w:eastAsia="黑体" w:cs="Times New Roman"/>
          <w:b w:val="0"/>
          <w:sz w:val="21"/>
        </w:rPr>
        <w:t>表 第五轮·学术语言</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83"/>
        <w:gridCol w:w="1324"/>
        <w:gridCol w:w="4470"/>
      </w:tblGrid>
      <w:tr>
        <w:trPr>
          <w:tblHeader w:val="true"/>
        </w:trPr>
        <w:tc>
          <w:tcPr>
            <w:tcW w:type="dxa" w:w="2483"/>
            <w:shd w:val="clear" w:color="auto" w:fill="DCE6F1"/>
          </w:tcPr>
          <w:p>
            <w:pPr>
              <w:snapToGrid w:val="0"/>
              <w:spacing w:lineRule="exact" w:line="320" w:before="0" w:after="0"/>
              <w:jc w:val="center"/>
            </w:pPr>
            <w:r/>
            <w:r>
              <w:rPr>
                <w:rFonts w:ascii="Times New Roman" w:hAnsi="Times New Roman" w:eastAsia="黑体" w:cs="Times New Roman"/>
                <w:b/>
                <w:sz w:val="21"/>
              </w:rPr>
              <w:t>审查项</w:t>
            </w:r>
          </w:p>
        </w:tc>
        <w:tc>
          <w:tcPr>
            <w:tcW w:type="dxa" w:w="1324"/>
            <w:shd w:val="clear" w:color="auto" w:fill="DCE6F1"/>
          </w:tcPr>
          <w:p>
            <w:pPr>
              <w:snapToGrid w:val="0"/>
              <w:spacing w:lineRule="exact" w:line="320" w:before="0" w:after="0"/>
              <w:jc w:val="center"/>
            </w:pPr>
            <w:r/>
            <w:r>
              <w:rPr>
                <w:rFonts w:ascii="Times New Roman" w:hAnsi="Times New Roman" w:eastAsia="黑体" w:cs="Times New Roman"/>
                <w:b/>
                <w:sz w:val="21"/>
              </w:rPr>
              <w:t>结论</w:t>
            </w:r>
          </w:p>
        </w:tc>
        <w:tc>
          <w:tcPr>
            <w:tcW w:type="dxa" w:w="4470"/>
            <w:shd w:val="clear" w:color="auto" w:fill="DCE6F1"/>
          </w:tcPr>
          <w:p>
            <w:pPr>
              <w:snapToGrid w:val="0"/>
              <w:spacing w:lineRule="exact" w:line="320" w:before="0" w:after="0"/>
              <w:jc w:val="center"/>
            </w:pPr>
            <w:r/>
            <w:r>
              <w:rPr>
                <w:rFonts w:ascii="Times New Roman" w:hAnsi="Times New Roman" w:eastAsia="黑体" w:cs="Times New Roman"/>
                <w:b/>
                <w:sz w:val="21"/>
              </w:rPr>
              <w:t>依据摘要</w:t>
            </w:r>
          </w:p>
        </w:tc>
      </w:tr>
      <w:tr>
        <w:tc>
          <w:tcPr>
            <w:tcW w:type="dxa" w:w="2483"/>
          </w:tcPr>
          <w:p>
            <w:pPr>
              <w:snapToGrid w:val="0"/>
              <w:spacing w:lineRule="exact" w:line="320" w:before="0" w:after="0"/>
              <w:jc w:val="left"/>
            </w:pPr>
            <w:r/>
            <w:r>
              <w:rPr>
                <w:rFonts w:ascii="Times New Roman" w:hAnsi="Times New Roman" w:eastAsia="宋体" w:cs="Times New Roman"/>
                <w:b w:val="0"/>
                <w:sz w:val="21"/>
              </w:rPr>
              <w:t>术语一致性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核心术语（DCP、DCP缺口、NbS可归因降温、表观降温、分类型静态蓝绿空间指标、封存期、去NbS变量模型、形态分层）全文统一。残留漂移：s2b“建筑遮挡”与他处“建筑遮荫”不一致…</w:t>
            </w:r>
          </w:p>
        </w:tc>
      </w:tr>
      <w:tr>
        <w:tc>
          <w:tcPr>
            <w:tcW w:type="dxa" w:w="2483"/>
          </w:tcPr>
          <w:p>
            <w:pPr>
              <w:snapToGrid w:val="0"/>
              <w:spacing w:lineRule="exact" w:line="320" w:before="0" w:after="0"/>
              <w:jc w:val="left"/>
            </w:pPr>
            <w:r/>
            <w:r>
              <w:rPr>
                <w:rFonts w:ascii="Times New Roman" w:hAnsi="Times New Roman" w:eastAsia="宋体" w:cs="Times New Roman"/>
                <w:b w:val="0"/>
                <w:sz w:val="21"/>
              </w:rPr>
              <w:t>句式规范与可读性</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有歧义或搭配不当的句子：s1“其中心血管疾病患者”（可切分为“其中/心血管”或“其/中心血管”）；s2b“已避免负担另以……DLNM估计暴露—反应关系”主谓不搭；“未达平衡的分层不…</w:t>
            </w:r>
          </w:p>
        </w:tc>
      </w:tr>
      <w:tr>
        <w:tc>
          <w:tcPr>
            <w:tcW w:type="dxa" w:w="2483"/>
          </w:tcPr>
          <w:p>
            <w:pPr>
              <w:snapToGrid w:val="0"/>
              <w:spacing w:lineRule="exact" w:line="320" w:before="0" w:after="0"/>
              <w:jc w:val="left"/>
            </w:pPr>
            <w:r/>
            <w:r>
              <w:rPr>
                <w:rFonts w:ascii="Times New Roman" w:hAnsi="Times New Roman" w:eastAsia="宋体" w:cs="Times New Roman"/>
                <w:b w:val="0"/>
                <w:sz w:val="21"/>
              </w:rPr>
              <w:t>标点与数字格式</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已用脚本检查：中文正文无半角标点，括号与引号成对；年份区间统一用“—”，数值区间统一用“～”；°C与数字间留空，km、m单位写法统一；四位数不分节、六位数用空格分节（178 441…</w:t>
            </w:r>
          </w:p>
        </w:tc>
      </w:tr>
      <w:tr>
        <w:tc>
          <w:tcPr>
            <w:tcW w:type="dxa" w:w="2483"/>
          </w:tcPr>
          <w:p>
            <w:pPr>
              <w:snapToGrid w:val="0"/>
              <w:spacing w:lineRule="exact" w:line="320" w:before="0" w:after="0"/>
              <w:jc w:val="left"/>
            </w:pPr>
            <w:r/>
            <w:r>
              <w:rPr>
                <w:rFonts w:ascii="Times New Roman" w:hAnsi="Times New Roman" w:eastAsia="宋体" w:cs="Times New Roman"/>
                <w:b w:val="0"/>
                <w:sz w:val="21"/>
              </w:rPr>
              <w:t>语体</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总体为规范的大陆学术语体，无“填补空白”“国际领先”等套话。少量口语或非正式表述：“而不是将适应责任转嫁给个人”“通过改变出行时间和地点来避热”；s2b“检验判据均为建议方案”删去…</w:t>
            </w:r>
          </w:p>
        </w:tc>
      </w:tr>
      <w:tr>
        <w:tc>
          <w:tcPr>
            <w:tcW w:type="dxa" w:w="2483"/>
          </w:tcPr>
          <w:p>
            <w:pPr>
              <w:snapToGrid w:val="0"/>
              <w:spacing w:lineRule="exact" w:line="320" w:before="0" w:after="0"/>
              <w:jc w:val="left"/>
            </w:pPr>
            <w:r/>
            <w:r>
              <w:rPr>
                <w:rFonts w:ascii="Times New Roman" w:hAnsi="Times New Roman" w:eastAsia="宋体" w:cs="Times New Roman"/>
                <w:b w:val="0"/>
                <w:sz w:val="21"/>
              </w:rPr>
              <w:t>段落逻辑与衔接</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s1第1段主题句写“人口老龄化”，但该段内容为升温、极端高温与夜间高温，老龄化在第2段展开；s2c（1）“以DCP度量后者”指代对象过远；s2b 3.1（1）加粗句称逐时变化只来自…</w:t>
            </w:r>
          </w:p>
        </w:tc>
      </w:tr>
      <w:tr>
        <w:tc>
          <w:tcPr>
            <w:tcW w:type="dxa" w:w="2483"/>
          </w:tcPr>
          <w:p>
            <w:pPr>
              <w:snapToGrid w:val="0"/>
              <w:spacing w:lineRule="exact" w:line="320" w:before="0" w:after="0"/>
              <w:jc w:val="left"/>
            </w:pPr>
            <w:r/>
            <w:r>
              <w:rPr>
                <w:rFonts w:ascii="Times New Roman" w:hAnsi="Times New Roman" w:eastAsia="宋体" w:cs="Times New Roman"/>
                <w:b w:val="0"/>
                <w:sz w:val="21"/>
              </w:rPr>
              <w:t>无重复与凑字</w:t>
            </w:r>
          </w:p>
        </w:tc>
        <w:tc>
          <w:tcPr>
            <w:tcW w:type="dxa" w:w="1324"/>
          </w:tcPr>
          <w:p>
            <w:pPr>
              <w:snapToGrid w:val="0"/>
              <w:spacing w:lineRule="exact" w:line="320" w:before="0" w:after="0"/>
              <w:jc w:val="left"/>
            </w:pPr>
            <w:r/>
            <w:r>
              <w:rPr>
                <w:rFonts w:ascii="Times New Roman" w:hAnsi="Times New Roman" w:eastAsia="宋体" w:cs="Times New Roman"/>
                <w:b w:val="0"/>
                <w:sz w:val="21"/>
              </w:rPr>
              <w:t>基本通过（小问题）</w:t>
            </w:r>
          </w:p>
        </w:tc>
        <w:tc>
          <w:tcPr>
            <w:tcW w:type="dxa" w:w="4470"/>
          </w:tcPr>
          <w:p>
            <w:pPr>
              <w:snapToGrid w:val="0"/>
              <w:spacing w:lineRule="exact" w:line="320" w:before="0" w:after="0"/>
              <w:jc w:val="left"/>
            </w:pPr>
            <w:r/>
            <w:r>
              <w:rPr>
                <w:rFonts w:ascii="Times New Roman" w:hAnsi="Times New Roman" w:eastAsia="宋体" w:cs="Times New Roman"/>
                <w:b w:val="0"/>
                <w:sz w:val="21"/>
              </w:rPr>
              <w:t>s4末尾AI注释重复s1首行注释，且指向本节两段之前的内容；s3风险⑥第三次重复“修正须在启用封存期数据前完成……否定结果如实报告”（s2a 1.1、s3理论与设计已写）；s2c工…</w:t>
            </w:r>
          </w:p>
        </w:tc>
      </w:tr>
    </w:tbl>
    <w:p>
      <w:pPr>
        <w:snapToGrid w:val="0"/>
        <w:spacing w:lineRule="exact" w:line="160" w:before="0" w:after="0"/>
        <w:jc w:val="both"/>
      </w:pPr>
    </w:p>
    <w:p>
      <w:pPr>
        <w:keepNext/>
        <w:snapToGrid w:val="0"/>
        <w:spacing w:lineRule="exact" w:line="440" w:before="160" w:after="40"/>
        <w:jc w:val="both"/>
      </w:pPr>
      <w:r>
        <w:rPr>
          <w:rFonts w:ascii="Times New Roman" w:hAnsi="Times New Roman" w:eastAsia="黑体" w:cs="Times New Roman"/>
          <w:b/>
          <w:sz w:val="24"/>
        </w:rPr>
        <w:t>十一、终稿定向复核</w:t>
      </w:r>
    </w:p>
    <w:p>
      <w:pPr>
        <w:snapToGrid w:val="0"/>
        <w:spacing w:lineRule="exact" w:line="440" w:before="0" w:after="0"/>
        <w:ind w:firstLineChars="200" w:firstLine="480"/>
        <w:jc w:val="both"/>
      </w:pPr>
      <w:r>
        <w:rPr>
          <w:rFonts w:ascii="Times New Roman" w:hAnsi="Times New Roman" w:eastAsia="宋体" w:cs="Times New Roman"/>
          <w:b w:val="0"/>
          <w:sz w:val="24"/>
        </w:rPr>
        <w:t>第五轮之后，主控又对图1位置、转化路径、风险信息规范与高温健康风险预警的衔接及可行性分析中的一处删改作了调整。对这些改动段落另请一个审查代理定向复核，并对全文的引文、交叉引用、编号与术语再扫描一遍：未发现阻断性问题；发现主要问题2条（近期转化对象表述过度、预警衔接句中引文位置不当）与若干小问题，均已按建议修改。唯一未照搬的是“将图1移至列表之后”：该改动会使图1无法排入当前页、重新产生约半页空白，故保留图1位置，在图后补一句引导语以恢复行文衔接。</w:t>
      </w:r>
    </w:p>
    <w:p>
      <w:pPr>
        <w:keepNext/>
        <w:snapToGrid w:val="0"/>
        <w:spacing w:lineRule="exact" w:line="440" w:before="160" w:after="40"/>
        <w:jc w:val="both"/>
      </w:pPr>
      <w:r>
        <w:rPr>
          <w:rFonts w:ascii="Times New Roman" w:hAnsi="Times New Roman" w:eastAsia="黑体" w:cs="Times New Roman"/>
          <w:b/>
          <w:sz w:val="24"/>
        </w:rPr>
        <w:t>十二、说明</w:t>
      </w:r>
    </w:p>
    <w:p>
      <w:pPr>
        <w:snapToGrid w:val="0"/>
        <w:spacing w:lineRule="exact" w:line="440" w:before="0" w:after="0"/>
        <w:ind w:firstLineChars="200" w:firstLine="480"/>
        <w:jc w:val="both"/>
      </w:pPr>
      <w:r>
        <w:rPr>
          <w:rFonts w:ascii="Times New Roman" w:hAnsi="Times New Roman" w:eastAsia="宋体" w:cs="Times New Roman"/>
          <w:b w:val="0"/>
          <w:sz w:val="24"/>
        </w:rPr>
        <w:t>审查代理的结论基于申请书文本、2026版官方模板与基金委申请规定、已核实的事实与文献库以及申请人英文原稿。正文中黄色</w:t>
      </w:r>
      <w:r>
        <w:rPr>
          <w:rFonts w:ascii="Times New Roman" w:hAnsi="Times New Roman" w:eastAsia="宋体" w:cs="Times New Roman"/>
          <w:b w:val="0"/>
          <w:sz w:val="24"/>
          <w:highlight w:val="yellow"/>
        </w:rPr>
        <w:t>【待补充／待核实／待确认】</w:t>
      </w:r>
      <w:r>
        <w:rPr>
          <w:rFonts w:ascii="Times New Roman" w:hAnsi="Times New Roman" w:eastAsia="宋体" w:cs="Times New Roman"/>
          <w:b w:val="0"/>
          <w:sz w:val="24"/>
        </w:rPr>
        <w:t>标记仍需申请人逐项处理；审查不能替代申请人对全部内容、数据与参考文献的最终核实。</w:t>
      </w:r>
    </w:p>
    <w:sectPr w:rsidR="00FC693F" w:rsidRPr="0006063C" w:rsidSect="00034616">
      <w:footerReference w:type="default" r:id="rId9"/>
      <w:pgSz w:w="11906" w:h="16838"/>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