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440" w:before="0" w:after="157"/>
        <w:jc w:val="center"/>
        <w:textAlignment w:val="auto"/>
        <w:rPr>
          <w:rFonts w:ascii="楷体" w:hAnsi="楷体" w:eastAsia="楷体" w:cs="楷体"/>
          <w:b/>
          <w:sz w:val="32"/>
          <w:szCs w:val="32"/>
        </w:rPr>
      </w:pPr>
      <w:r>
        <w:rPr>
          <w:rFonts w:ascii="楷体" w:hAnsi="楷体" w:cs="楷体" w:eastAsia="楷体"/>
          <w:b/>
          <w:sz w:val="32"/>
          <w:szCs w:val="32"/>
          <w:lang w:eastAsia="zh-CN"/>
        </w:rPr>
        <w:t>报告正文</w:t>
      </w:r>
      <w:r>
        <w:rPr>
          <w:rFonts w:ascii="楷体" w:hAnsi="楷体" w:cs="楷体" w:eastAsia="楷体"/>
          <w:b/>
          <w:sz w:val="32"/>
          <w:szCs w:val="32"/>
        </w:rPr>
        <w:t>（</w:t>
      </w:r>
      <w:r>
        <w:rPr>
          <w:rFonts w:eastAsia="楷体" w:cs="楷体" w:ascii="楷体" w:hAnsi="楷体"/>
          <w:b/>
          <w:sz w:val="32"/>
          <w:szCs w:val="32"/>
        </w:rPr>
        <w:t>202</w:t>
      </w:r>
      <w:r>
        <w:rPr>
          <w:rFonts w:eastAsia="楷体" w:cs="楷体" w:ascii="楷体" w:hAnsi="楷体"/>
          <w:b/>
          <w:sz w:val="32"/>
          <w:szCs w:val="32"/>
          <w:lang w:val="en-US" w:eastAsia="zh-CN"/>
        </w:rPr>
        <w:t>6</w:t>
      </w:r>
      <w:r>
        <w:rPr>
          <w:rFonts w:ascii="楷体" w:hAnsi="楷体" w:cs="楷体" w:eastAsia="楷体"/>
          <w:b/>
          <w:sz w:val="32"/>
          <w:szCs w:val="32"/>
        </w:rPr>
        <w:t>版）</w:t>
      </w:r>
    </w:p>
    <w:p>
      <w:pPr>
        <w:pStyle w:val="Normal"/>
        <w:keepNext w:val="false"/>
        <w:keepLines w:val="false"/>
        <w:pageBreakBefore w:val="false"/>
        <w:widowControl w:val="false"/>
        <w:kinsoku w:val="true"/>
        <w:overflowPunct w:val="true"/>
        <w:autoSpaceDE w:val="true"/>
        <w:bidi w:val="0"/>
        <w:snapToGrid w:val="false"/>
        <w:spacing w:lineRule="exact" w:line="440"/>
        <w:ind w:firstLine="560" w:right="0"/>
        <w:textAlignment w:val="auto"/>
        <w:rPr>
          <w:rFonts w:ascii="楷体" w:hAnsi="楷体" w:eastAsia="楷体" w:cs="楷体"/>
          <w:b/>
          <w:bCs/>
          <w:color w:val="0070C0"/>
          <w:sz w:val="28"/>
          <w:szCs w:val="28"/>
        </w:rPr>
      </w:pPr>
      <w:r>
        <w:rPr>
          <w:rFonts w:ascii="楷体" w:hAnsi="楷体" w:cs="楷体_GB2312" w:eastAsia="楷体"/>
          <w:sz w:val="28"/>
          <w:szCs w:val="28"/>
        </w:rPr>
        <w:t>参照以下提纲撰写，要求内容翔实、清晰，层次分明，标题突出</w:t>
      </w:r>
      <w:r>
        <w:rPr>
          <w:rFonts w:ascii="楷体" w:hAnsi="楷体" w:cs="楷体_GB2312" w:eastAsia="楷体"/>
          <w:iCs/>
          <w:sz w:val="28"/>
          <w:szCs w:val="28"/>
        </w:rPr>
        <w:t>。</w:t>
      </w:r>
      <w:r>
        <w:rPr>
          <w:rFonts w:ascii="楷体" w:hAnsi="楷体" w:cs="楷体_GB2312" w:eastAsia="楷体"/>
          <w:iCs/>
          <w:sz w:val="28"/>
          <w:szCs w:val="28"/>
          <w:lang w:eastAsia="zh-CN"/>
        </w:rPr>
        <w:t>申请书正文原则上不超过</w:t>
      </w:r>
      <w:r>
        <w:rPr>
          <w:rFonts w:eastAsia="楷体" w:cs="楷体_GB2312" w:ascii="楷体" w:hAnsi="楷体"/>
          <w:iCs/>
          <w:sz w:val="28"/>
          <w:szCs w:val="28"/>
          <w:lang w:val="en-US" w:eastAsia="zh-CN"/>
        </w:rPr>
        <w:t>30</w:t>
      </w:r>
      <w:r>
        <w:rPr>
          <w:rFonts w:ascii="楷体" w:hAnsi="楷体" w:cs="楷体_GB2312" w:eastAsia="楷体"/>
          <w:iCs/>
          <w:sz w:val="28"/>
          <w:szCs w:val="28"/>
          <w:lang w:val="en-US" w:eastAsia="zh-CN"/>
        </w:rPr>
        <w:t>页，鼓励简洁表达。</w:t>
      </w:r>
      <w:r>
        <w:rPr>
          <w:rFonts w:ascii="楷体" w:hAnsi="楷体" w:cs="楷体_GB2312" w:eastAsia="楷体"/>
          <w:b/>
          <w:iCs/>
          <w:color w:val="0070C0"/>
          <w:sz w:val="28"/>
          <w:szCs w:val="28"/>
        </w:rPr>
        <w:t>请勿删除或改动下述提纲标题及括号中的文字。</w:t>
      </w:r>
    </w:p>
    <w:p>
      <w:pPr>
        <w:pStyle w:val="Normal"/>
        <w:keepNext w:val="false"/>
        <w:keepLines w:val="false"/>
        <w:pageBreakBefore w:val="false"/>
        <w:widowControl w:val="false"/>
        <w:kinsoku w:val="true"/>
        <w:overflowPunct w:val="true"/>
        <w:autoSpaceDE w:val="true"/>
        <w:bidi w:val="0"/>
        <w:snapToGrid w:val="false"/>
        <w:spacing w:lineRule="exact" w:line="440"/>
        <w:ind w:firstLine="562" w:right="0"/>
        <w:textAlignment w:val="auto"/>
        <w:rPr>
          <w:rFonts w:ascii="楷体" w:hAnsi="楷体" w:eastAsia="楷体" w:cs="楷体_GB2312"/>
          <w:color w:val="0070C0"/>
          <w:sz w:val="28"/>
          <w:szCs w:val="28"/>
        </w:rPr>
      </w:pPr>
      <w:r>
        <w:rPr>
          <w:rFonts w:ascii="楷体" w:hAnsi="楷体" w:cs="楷体_GB2312" w:eastAsia="楷体"/>
          <w:b/>
          <w:bCs/>
          <w:color w:val="0070C0"/>
          <w:sz w:val="28"/>
          <w:szCs w:val="28"/>
        </w:rPr>
        <w:t>（一）立项依据</w:t>
      </w:r>
    </w:p>
    <w:p>
      <w:pPr>
        <w:pStyle w:val="Normal"/>
        <w:keepNext w:val="false"/>
        <w:keepLines w:val="false"/>
        <w:pageBreakBefore w:val="false"/>
        <w:widowControl w:val="false"/>
        <w:kinsoku w:val="true"/>
        <w:overflowPunct w:val="true"/>
        <w:autoSpaceDE w:val="true"/>
        <w:bidi w:val="0"/>
        <w:snapToGrid w:val="false"/>
        <w:spacing w:lineRule="exact" w:line="440"/>
        <w:ind w:firstLine="560" w:right="0"/>
        <w:textAlignment w:val="auto"/>
        <w:rPr>
          <w:rFonts w:ascii="楷体" w:hAnsi="楷体" w:eastAsia="楷体" w:cs="楷体_GB2312"/>
          <w:color w:val="0070C0"/>
          <w:sz w:val="28"/>
          <w:szCs w:val="28"/>
          <w:lang w:eastAsia="zh-CN"/>
        </w:rPr>
      </w:pPr>
      <w:r>
        <w:rPr>
          <w:rFonts w:ascii="楷体" w:hAnsi="楷体" w:cs="楷体_GB2312" w:eastAsia="楷体"/>
          <w:color w:val="0070C0"/>
          <w:sz w:val="28"/>
          <w:szCs w:val="28"/>
          <w:lang w:eastAsia="zh-CN"/>
        </w:rPr>
        <w:t>（为什么要开展此项研究，研究的科学技术价值如何）</w:t>
      </w:r>
    </w:p>
    <w:p>
      <w:pPr>
        <w:snapToGrid w:val="0"/>
        <w:spacing w:lineRule="exact" w:line="440" w:before="0" w:after="0"/>
        <w:ind w:firstLineChars="200" w:firstLine="480"/>
        <w:jc w:val="both"/>
      </w:pPr>
      <w:r>
        <w:rPr>
          <w:rFonts w:ascii="Times New Roman" w:hAnsi="Times New Roman" w:eastAsia="宋体" w:cs="Times New Roman"/>
          <w:b w:val="0"/>
          <w:sz w:val="24"/>
        </w:rPr>
        <w:t>注：本正文使用了生成式人工智能辅助撰写与制图，详见（四）5（3）。</w:t>
      </w:r>
    </w:p>
    <w:p>
      <w:pPr>
        <w:keepNext/>
        <w:snapToGrid w:val="0"/>
        <w:spacing w:lineRule="exact" w:line="440" w:before="160" w:after="40"/>
        <w:jc w:val="both"/>
      </w:pPr>
      <w:r>
        <w:rPr>
          <w:rFonts w:ascii="Times New Roman" w:hAnsi="Times New Roman" w:eastAsia="黑体" w:cs="Times New Roman"/>
          <w:b/>
          <w:sz w:val="24"/>
        </w:rPr>
        <w:t>1. 研究背景</w:t>
      </w:r>
    </w:p>
    <w:p>
      <w:pPr>
        <w:snapToGrid w:val="0"/>
        <w:spacing w:lineRule="exact" w:line="440" w:before="0" w:after="0"/>
        <w:ind w:firstLineChars="200" w:firstLine="480"/>
        <w:jc w:val="both"/>
      </w:pPr>
      <w:r>
        <w:rPr>
          <w:rFonts w:ascii="Times New Roman" w:hAnsi="Times New Roman" w:eastAsia="宋体" w:cs="Times New Roman"/>
          <w:b/>
          <w:sz w:val="24"/>
        </w:rPr>
        <w:t>长江三角洲（简称长三角）面临升温、极端高温与夜间高温叠加的热健康压力。</w:t>
      </w:r>
      <w:r>
        <w:rPr>
          <w:rFonts w:ascii="Times New Roman" w:hAnsi="Times New Roman" w:eastAsia="宋体" w:cs="Times New Roman"/>
          <w:b w:val="0"/>
          <w:sz w:val="24"/>
        </w:rPr>
        <w:t>1961—2025年中国年平均气温每10年升高0.31 °C，2025年华东平均气温为1961年以来最高</w:t>
      </w:r>
      <w:r>
        <w:rPr>
          <w:rFonts w:ascii="Times New Roman" w:hAnsi="Times New Roman" w:eastAsia="宋体" w:cs="Times New Roman"/>
          <w:b w:val="0"/>
          <w:sz w:val="24"/>
          <w:vertAlign w:val="superscript"/>
        </w:rPr>
        <w:t>[1]</w:t>
      </w:r>
      <w:r>
        <w:rPr>
          <w:rFonts w:ascii="Times New Roman" w:hAnsi="Times New Roman" w:eastAsia="宋体" w:cs="Times New Roman"/>
          <w:b w:val="0"/>
          <w:sz w:val="24"/>
        </w:rPr>
        <w:t>；据预估，未来30年中国区域平均极端最高气温将升高1.7～2.8 °C，以华东和新疆西部增幅最大</w:t>
      </w:r>
      <w:r>
        <w:rPr>
          <w:rFonts w:ascii="Times New Roman" w:hAnsi="Times New Roman" w:eastAsia="宋体" w:cs="Times New Roman"/>
          <w:b w:val="0"/>
          <w:sz w:val="24"/>
          <w:vertAlign w:val="superscript"/>
        </w:rPr>
        <w:t>[2]</w:t>
      </w:r>
      <w:r>
        <w:rPr>
          <w:rFonts w:ascii="Times New Roman" w:hAnsi="Times New Roman" w:eastAsia="宋体" w:cs="Times New Roman"/>
          <w:b w:val="0"/>
          <w:sz w:val="24"/>
        </w:rPr>
        <w:t>。2022年中东部出现持续79天、综合强度为1961年以来最强的区域性高温过程</w:t>
      </w:r>
      <w:r>
        <w:rPr>
          <w:rFonts w:ascii="Times New Roman" w:hAnsi="Times New Roman" w:eastAsia="宋体" w:cs="Times New Roman"/>
          <w:b w:val="0"/>
          <w:sz w:val="24"/>
          <w:vertAlign w:val="superscript"/>
        </w:rPr>
        <w:t>[3]</w:t>
      </w:r>
      <w:r>
        <w:rPr>
          <w:rFonts w:ascii="Times New Roman" w:hAnsi="Times New Roman" w:eastAsia="宋体" w:cs="Times New Roman"/>
          <w:b w:val="0"/>
          <w:sz w:val="24"/>
        </w:rPr>
        <w:t>，长三角城市群夏季热岛面积为近20年最大</w:t>
      </w:r>
      <w:r>
        <w:rPr>
          <w:rFonts w:ascii="Times New Roman" w:hAnsi="Times New Roman" w:eastAsia="宋体" w:cs="Times New Roman"/>
          <w:b w:val="0"/>
          <w:sz w:val="24"/>
          <w:vertAlign w:val="superscript"/>
        </w:rPr>
        <w:t>[4]</w:t>
      </w:r>
      <w:r>
        <w:rPr>
          <w:rFonts w:ascii="Times New Roman" w:hAnsi="Times New Roman" w:eastAsia="宋体" w:cs="Times New Roman"/>
          <w:b w:val="0"/>
          <w:sz w:val="24"/>
        </w:rPr>
        <w:t>；当年全国热浪相关死亡约6.3万例，显著高于2000—2021年年均约3.6万例，心血管疾病患者与65岁以上人群尤为脆弱</w:t>
      </w:r>
      <w:r>
        <w:rPr>
          <w:rFonts w:ascii="Times New Roman" w:hAnsi="Times New Roman" w:eastAsia="宋体" w:cs="Times New Roman"/>
          <w:b w:val="0"/>
          <w:sz w:val="24"/>
          <w:vertAlign w:val="superscript"/>
        </w:rPr>
        <w:t>[5]</w:t>
      </w:r>
      <w:r>
        <w:rPr>
          <w:rFonts w:ascii="Times New Roman" w:hAnsi="Times New Roman" w:eastAsia="宋体" w:cs="Times New Roman"/>
          <w:b w:val="0"/>
          <w:sz w:val="24"/>
        </w:rPr>
        <w:t>。上海徐家汇站2022年7月13日气温达40.9 °C，追平1873年以来最高纪录；2026年7月18日最低气温达32.3 °C，为该站日最低气温的历史最高值；杭州2025年出现连续37天高温，为有记录以来最长</w:t>
      </w:r>
      <w:r>
        <w:rPr>
          <w:rFonts w:ascii="Times New Roman" w:hAnsi="Times New Roman" w:eastAsia="宋体" w:cs="Times New Roman"/>
          <w:b w:val="0"/>
          <w:sz w:val="24"/>
          <w:highlight w:val="yellow"/>
        </w:rPr>
        <w:t>【待核实：以沪杭气象部门发布为准】</w:t>
      </w:r>
      <w:r>
        <w:rPr>
          <w:rFonts w:ascii="Times New Roman" w:hAnsi="Times New Roman" w:eastAsia="宋体" w:cs="Times New Roman"/>
          <w:b w:val="0"/>
          <w:sz w:val="24"/>
        </w:rPr>
        <w:t>。夜间高温同样危害健康：中日韩28个城市的研究表明，热夜超额温度（hot night excess）与死亡风险升高显著相关，且预计至21世纪末，热夜频率与强度的增幅将超过日平均气温的增幅</w:t>
      </w:r>
      <w:r>
        <w:rPr>
          <w:rFonts w:ascii="Times New Roman" w:hAnsi="Times New Roman" w:eastAsia="宋体" w:cs="Times New Roman"/>
          <w:b w:val="0"/>
          <w:sz w:val="24"/>
          <w:vertAlign w:val="superscript"/>
        </w:rPr>
        <w:t>[6]</w:t>
      </w:r>
      <w:r>
        <w:rPr>
          <w:rFonts w:ascii="Times New Roman" w:hAnsi="Times New Roman" w:eastAsia="宋体" w:cs="Times New Roman"/>
          <w:b w:val="0"/>
          <w:sz w:val="24"/>
        </w:rPr>
        <w:t>。仅以日最高气温或卫星过境时刻刻画热暴露，会遗漏夜间及其他时段的风险。</w:t>
      </w:r>
    </w:p>
    <w:p>
      <w:pPr>
        <w:snapToGrid w:val="0"/>
        <w:spacing w:lineRule="exact" w:line="440" w:before="0" w:after="0"/>
        <w:ind w:firstLineChars="200" w:firstLine="480"/>
        <w:jc w:val="both"/>
      </w:pPr>
      <w:r>
        <w:rPr>
          <w:rFonts w:ascii="Times New Roman" w:hAnsi="Times New Roman" w:eastAsia="宋体" w:cs="Times New Roman"/>
          <w:b/>
          <w:sz w:val="24"/>
        </w:rPr>
        <w:t>高温健康风险普遍存在，且在人群与地区间分布不均。</w:t>
      </w:r>
      <w:r>
        <w:rPr>
          <w:rFonts w:ascii="Times New Roman" w:hAnsi="Times New Roman" w:eastAsia="宋体" w:cs="Times New Roman"/>
          <w:b w:val="0"/>
          <w:sz w:val="24"/>
        </w:rPr>
        <w:t>中国272个主要城市（2013—2015年）中，极端高温时的死亡风险约为最小死亡温度下的1.16倍</w:t>
      </w:r>
      <w:r>
        <w:rPr>
          <w:rFonts w:ascii="Times New Roman" w:hAnsi="Times New Roman" w:eastAsia="宋体" w:cs="Times New Roman"/>
          <w:b w:val="0"/>
          <w:sz w:val="24"/>
          <w:vertAlign w:val="superscript"/>
        </w:rPr>
        <w:t>[7]</w:t>
      </w:r>
      <w:r>
        <w:rPr>
          <w:rFonts w:ascii="Times New Roman" w:hAnsi="Times New Roman" w:eastAsia="宋体" w:cs="Times New Roman"/>
          <w:b w:val="0"/>
          <w:sz w:val="24"/>
        </w:rPr>
        <w:t>；高温还加重慢性心血管、肾脏及代谢性疾病</w:t>
      </w:r>
      <w:r>
        <w:rPr>
          <w:rFonts w:ascii="Times New Roman" w:hAnsi="Times New Roman" w:eastAsia="宋体" w:cs="Times New Roman"/>
          <w:b w:val="0"/>
          <w:sz w:val="24"/>
          <w:vertAlign w:val="superscript"/>
        </w:rPr>
        <w:t>[8]</w:t>
      </w:r>
      <w:r>
        <w:rPr>
          <w:rFonts w:ascii="Times New Roman" w:hAnsi="Times New Roman" w:eastAsia="宋体" w:cs="Times New Roman"/>
          <w:b w:val="0"/>
          <w:sz w:val="24"/>
        </w:rPr>
        <w:t>。长三角内部热脆弱性差异明显：江苏102个区县（2009—2013年）中，极端高温（第99百分位温度相对于第75百分位）的死亡相对危险度在城镇化程度较低的区县为1.43，高于城镇化程度较高区县的1.26</w:t>
      </w:r>
      <w:r>
        <w:rPr>
          <w:rFonts w:ascii="Times New Roman" w:hAnsi="Times New Roman" w:eastAsia="宋体" w:cs="Times New Roman"/>
          <w:b w:val="0"/>
          <w:sz w:val="24"/>
          <w:vertAlign w:val="superscript"/>
        </w:rPr>
        <w:t>[9]</w:t>
      </w:r>
      <w:r>
        <w:rPr>
          <w:rFonts w:ascii="Times New Roman" w:hAnsi="Times New Roman" w:eastAsia="宋体" w:cs="Times New Roman"/>
          <w:b w:val="0"/>
          <w:sz w:val="24"/>
        </w:rPr>
        <w:t>；上海热浪期间城区的热相关死亡率高于郊区，城市热岛加重了热浪的健康危害</w:t>
      </w:r>
      <w:r>
        <w:rPr>
          <w:rFonts w:ascii="Times New Roman" w:hAnsi="Times New Roman" w:eastAsia="宋体" w:cs="Times New Roman"/>
          <w:b w:val="0"/>
          <w:sz w:val="24"/>
          <w:vertAlign w:val="superscript"/>
        </w:rPr>
        <w:t>[10]</w:t>
      </w:r>
      <w:r>
        <w:rPr>
          <w:rFonts w:ascii="Times New Roman" w:hAnsi="Times New Roman" w:eastAsia="宋体" w:cs="Times New Roman"/>
          <w:b w:val="0"/>
          <w:sz w:val="24"/>
        </w:rPr>
        <w:t>。第七次全国人口普查显示，上海、江苏、安徽65岁及以上人口占比（16.28%、16.20%、15.01%）高于全国（13.50%），浙江为13.27%</w:t>
      </w:r>
      <w:r>
        <w:rPr>
          <w:rFonts w:ascii="Times New Roman" w:hAnsi="Times New Roman" w:eastAsia="宋体" w:cs="Times New Roman"/>
          <w:b w:val="0"/>
          <w:sz w:val="24"/>
          <w:vertAlign w:val="superscript"/>
        </w:rPr>
        <w:t>[11]</w:t>
      </w:r>
      <w:r>
        <w:rPr>
          <w:rFonts w:ascii="Times New Roman" w:hAnsi="Times New Roman" w:eastAsia="宋体" w:cs="Times New Roman"/>
          <w:b w:val="0"/>
          <w:sz w:val="24"/>
        </w:rPr>
        <w:t>；人口老龄化将使中国未来热相关超额死亡放大至2.3～5.8倍</w:t>
      </w:r>
      <w:r>
        <w:rPr>
          <w:rFonts w:ascii="Times New Roman" w:hAnsi="Times New Roman" w:eastAsia="宋体" w:cs="Times New Roman"/>
          <w:b w:val="0"/>
          <w:sz w:val="24"/>
          <w:vertAlign w:val="superscript"/>
        </w:rPr>
        <w:t>[12]</w:t>
      </w:r>
      <w:r>
        <w:rPr>
          <w:rFonts w:ascii="Times New Roman" w:hAnsi="Times New Roman" w:eastAsia="宋体" w:cs="Times New Roman"/>
          <w:b w:val="0"/>
          <w:sz w:val="24"/>
        </w:rPr>
        <w:t>。居住条件较差者夜间室内热负荷高，老年人与行动不便者也难以靠调整出行时间和地点避热。</w:t>
      </w:r>
    </w:p>
    <w:p>
      <w:pPr>
        <w:snapToGrid w:val="0"/>
        <w:spacing w:lineRule="exact" w:line="440" w:before="0" w:after="0"/>
        <w:ind w:firstLineChars="200" w:firstLine="480"/>
        <w:jc w:val="both"/>
      </w:pPr>
      <w:r>
        <w:rPr>
          <w:rFonts w:ascii="Times New Roman" w:hAnsi="Times New Roman" w:eastAsia="宋体" w:cs="Times New Roman"/>
          <w:b/>
          <w:sz w:val="24"/>
        </w:rPr>
        <w:t>户外工作者承受持续且难以回避的职业热暴露。</w:t>
      </w:r>
      <w:r>
        <w:rPr>
          <w:rFonts w:ascii="Times New Roman" w:hAnsi="Times New Roman" w:eastAsia="宋体" w:cs="Times New Roman"/>
          <w:b w:val="0"/>
          <w:sz w:val="24"/>
        </w:rPr>
        <w:t>系统综述显示，在热应激条件下作业的劳动者约35%出现职业热应变，长期高温作业者约15%出现肾病或急性肾损伤</w:t>
      </w:r>
      <w:r>
        <w:rPr>
          <w:rFonts w:ascii="Times New Roman" w:hAnsi="Times New Roman" w:eastAsia="宋体" w:cs="Times New Roman"/>
          <w:b w:val="0"/>
          <w:sz w:val="24"/>
          <w:vertAlign w:val="superscript"/>
        </w:rPr>
        <w:t>[13]</w:t>
      </w:r>
      <w:r>
        <w:rPr>
          <w:rFonts w:ascii="Times New Roman" w:hAnsi="Times New Roman" w:eastAsia="宋体" w:cs="Times New Roman"/>
          <w:b w:val="0"/>
          <w:sz w:val="24"/>
        </w:rPr>
        <w:t>。据中华全国总工会第九次全国职工队伍状况调查（2023年公布），新就业形态劳动者约8400万人，其中快递员、外卖骑手等需在高温天气下户外作业。《防暑降温措施管理办法》按日最高气温35、37、40 °C分段缩短、限制直至停止露天作业</w:t>
      </w:r>
      <w:r>
        <w:rPr>
          <w:rFonts w:ascii="Times New Roman" w:hAnsi="Times New Roman" w:eastAsia="宋体" w:cs="Times New Roman"/>
          <w:b w:val="0"/>
          <w:sz w:val="24"/>
          <w:vertAlign w:val="superscript"/>
        </w:rPr>
        <w:t>[14]</w:t>
      </w:r>
      <w:r>
        <w:rPr>
          <w:rFonts w:ascii="Times New Roman" w:hAnsi="Times New Roman" w:eastAsia="宋体" w:cs="Times New Roman"/>
          <w:b w:val="0"/>
          <w:sz w:val="24"/>
        </w:rPr>
        <w:t>；人力资源社会保障部2025年进一步要求各地指导平台企业为高温天气在室外接单的快递员、外卖骑手增发高温补贴，并采取延长配送时间、缩短连续工作时长、增加工间休息等措施</w:t>
      </w:r>
      <w:r>
        <w:rPr>
          <w:rFonts w:ascii="Times New Roman" w:hAnsi="Times New Roman" w:eastAsia="宋体" w:cs="Times New Roman"/>
          <w:b w:val="0"/>
          <w:sz w:val="24"/>
          <w:vertAlign w:val="superscript"/>
        </w:rPr>
        <w:t>[15]</w:t>
      </w:r>
      <w:r>
        <w:rPr>
          <w:rFonts w:ascii="Times New Roman" w:hAnsi="Times New Roman" w:eastAsia="宋体" w:cs="Times New Roman"/>
          <w:b w:val="0"/>
          <w:sz w:val="24"/>
        </w:rPr>
        <w:t>。上述措施均以日最高气温或高温天气为触发条件，不区分同一时段内作业路线与停留地点是否有遮荫或邻近绿地、水体。</w:t>
      </w:r>
    </w:p>
    <w:p>
      <w:pPr>
        <w:snapToGrid w:val="0"/>
        <w:spacing w:lineRule="exact" w:line="440" w:before="0" w:after="0"/>
        <w:ind w:firstLineChars="200" w:firstLine="480"/>
        <w:jc w:val="both"/>
      </w:pPr>
      <w:r>
        <w:rPr>
          <w:rFonts w:ascii="Times New Roman" w:hAnsi="Times New Roman" w:eastAsia="宋体" w:cs="Times New Roman"/>
          <w:b/>
          <w:sz w:val="24"/>
        </w:rPr>
        <w:t>长三角城市众多、河网密布、夏季湿热。</w:t>
      </w:r>
      <w:r>
        <w:rPr>
          <w:rFonts w:ascii="Times New Roman" w:hAnsi="Times New Roman" w:eastAsia="宋体" w:cs="Times New Roman"/>
          <w:b w:val="0"/>
          <w:sz w:val="24"/>
        </w:rPr>
        <w:t>三省一市共有41个城市（下称41城），面积35.8万km²</w:t>
      </w:r>
      <w:r>
        <w:rPr>
          <w:rFonts w:ascii="Times New Roman" w:hAnsi="Times New Roman" w:eastAsia="宋体" w:cs="Times New Roman"/>
          <w:b w:val="0"/>
          <w:sz w:val="24"/>
          <w:vertAlign w:val="superscript"/>
        </w:rPr>
        <w:t>[16]</w:t>
      </w:r>
      <w:r>
        <w:rPr>
          <w:rFonts w:ascii="Times New Roman" w:hAnsi="Times New Roman" w:eastAsia="宋体" w:cs="Times New Roman"/>
          <w:b w:val="0"/>
          <w:sz w:val="24"/>
        </w:rPr>
        <w:t>；2024年末常住人口约2.38亿人，2025年经济总量约占全国1/4。太湖流域为典型平原河网地区，河网密度约3.3 km/km²</w:t>
      </w:r>
      <w:r>
        <w:rPr>
          <w:rFonts w:ascii="Times New Roman" w:hAnsi="Times New Roman" w:eastAsia="宋体" w:cs="Times New Roman"/>
          <w:b w:val="0"/>
          <w:sz w:val="24"/>
          <w:vertAlign w:val="superscript"/>
        </w:rPr>
        <w:t>[17]</w:t>
      </w:r>
      <w:r>
        <w:rPr>
          <w:rFonts w:ascii="Times New Roman" w:hAnsi="Times New Roman" w:eastAsia="宋体" w:cs="Times New Roman"/>
          <w:b w:val="0"/>
          <w:sz w:val="24"/>
        </w:rPr>
        <w:t>；据《上海市河道（湖泊）报告（2025年）》，上海河湖水面率为10.37%。2022年高温过程中，城市扩张在改变近地表气温的同时改变了湿度</w:t>
      </w:r>
      <w:r>
        <w:rPr>
          <w:rFonts w:ascii="Times New Roman" w:hAnsi="Times New Roman" w:eastAsia="宋体" w:cs="Times New Roman"/>
          <w:b w:val="0"/>
          <w:sz w:val="24"/>
          <w:vertAlign w:val="superscript"/>
        </w:rPr>
        <w:t>[18]</w:t>
      </w:r>
      <w:r>
        <w:rPr>
          <w:rFonts w:ascii="Times New Roman" w:hAnsi="Times New Roman" w:eastAsia="宋体" w:cs="Times New Roman"/>
          <w:b w:val="0"/>
          <w:sz w:val="24"/>
        </w:rPr>
        <w:t>，湿度在该区域的热暴露评估中不可忽略。</w:t>
      </w:r>
    </w:p>
    <w:p>
      <w:pPr>
        <w:snapToGrid w:val="0"/>
        <w:spacing w:lineRule="exact" w:line="440" w:before="0" w:after="0"/>
        <w:ind w:firstLineChars="200" w:firstLine="480"/>
        <w:jc w:val="both"/>
      </w:pPr>
      <w:r>
        <w:rPr>
          <w:rFonts w:ascii="Times New Roman" w:hAnsi="Times New Roman" w:eastAsia="宋体" w:cs="Times New Roman"/>
          <w:b/>
          <w:sz w:val="24"/>
        </w:rPr>
        <w:t>基于自然的解决方案（nature-based solutions，NbS）已纳入国家与地方适应政策，但其效果评估明显滞后。</w:t>
      </w:r>
      <w:r>
        <w:rPr>
          <w:rFonts w:ascii="Times New Roman" w:hAnsi="Times New Roman" w:eastAsia="宋体" w:cs="Times New Roman"/>
          <w:b w:val="0"/>
          <w:sz w:val="24"/>
        </w:rPr>
        <w:t>行道树、绿地、河湖、湿地与滨水空间等NbS可通过遮荫、蒸散与通风被动降温。《国家适应气候变化战略2035》提出优先实施NbS、有效缓解城市热岛效应</w:t>
      </w:r>
      <w:r>
        <w:rPr>
          <w:rFonts w:ascii="Times New Roman" w:hAnsi="Times New Roman" w:eastAsia="宋体" w:cs="Times New Roman"/>
          <w:b w:val="0"/>
          <w:sz w:val="24"/>
          <w:vertAlign w:val="superscript"/>
        </w:rPr>
        <w:t>[19]</w:t>
      </w:r>
      <w:r>
        <w:rPr>
          <w:rFonts w:ascii="Times New Roman" w:hAnsi="Times New Roman" w:eastAsia="宋体" w:cs="Times New Roman"/>
          <w:b w:val="0"/>
          <w:sz w:val="24"/>
        </w:rPr>
        <w:t>；2024年公布的深化气候适应型城市建设试点中，长三角有上海崇明区、扬州、金华和丽水入选</w:t>
      </w:r>
      <w:r>
        <w:rPr>
          <w:rFonts w:ascii="Times New Roman" w:hAnsi="Times New Roman" w:eastAsia="宋体" w:cs="Times New Roman"/>
          <w:b w:val="0"/>
          <w:sz w:val="24"/>
          <w:vertAlign w:val="superscript"/>
        </w:rPr>
        <w:t>[20]</w:t>
      </w:r>
      <w:r>
        <w:rPr>
          <w:rFonts w:ascii="Times New Roman" w:hAnsi="Times New Roman" w:eastAsia="宋体" w:cs="Times New Roman"/>
          <w:b w:val="0"/>
          <w:sz w:val="24"/>
        </w:rPr>
        <w:t>；《上海市适应气候变化行动方案（2024—2035年）》将构筑绿道网络与开放生态空间、缓解城市热岛和提升健康领域适应能力列为任务</w:t>
      </w:r>
      <w:r>
        <w:rPr>
          <w:rFonts w:ascii="Times New Roman" w:hAnsi="Times New Roman" w:eastAsia="宋体" w:cs="Times New Roman"/>
          <w:b w:val="0"/>
          <w:sz w:val="24"/>
          <w:vertAlign w:val="superscript"/>
        </w:rPr>
        <w:t>[21]</w:t>
      </w:r>
      <w:r>
        <w:rPr>
          <w:rFonts w:ascii="Times New Roman" w:hAnsi="Times New Roman" w:eastAsia="宋体" w:cs="Times New Roman"/>
          <w:b w:val="0"/>
          <w:sz w:val="24"/>
        </w:rPr>
        <w:t>。长三角城市较早参与国家海绵城市建设：2015年首批16个试点中有镇江、嘉兴、池州，2016年第二批14个试点中有上海、宁波。2025年《关于持续推进城市更新行动的意见》要求增加群众身边的社区公园和口袋公园</w:t>
      </w:r>
      <w:r>
        <w:rPr>
          <w:rFonts w:ascii="Times New Roman" w:hAnsi="Times New Roman" w:eastAsia="宋体" w:cs="Times New Roman"/>
          <w:b w:val="0"/>
          <w:sz w:val="24"/>
          <w:vertAlign w:val="superscript"/>
        </w:rPr>
        <w:t>[22]</w:t>
      </w:r>
      <w:r>
        <w:rPr>
          <w:rFonts w:ascii="Times New Roman" w:hAnsi="Times New Roman" w:eastAsia="宋体" w:cs="Times New Roman"/>
          <w:b w:val="0"/>
          <w:sz w:val="24"/>
        </w:rPr>
        <w:t>。但评价仍以供给型指标为主，如上海（2025年）与全国城市人均公园绿地面积分别为9.5 m²和15.9 m²，南京建成区绿化覆盖率为44.96%（2022年底）。这类指标衡量“城市拥有多少自然”，而非“高温时为谁减少了多少热负荷”；规划亟须明确哪类NbS在何种形态与时段有效、失效乃至产生反效果。</w:t>
      </w:r>
    </w:p>
    <w:p>
      <w:pPr>
        <w:keepNext/>
        <w:snapToGrid w:val="0"/>
        <w:spacing w:lineRule="exact" w:line="440" w:before="160" w:after="40"/>
        <w:jc w:val="both"/>
      </w:pPr>
      <w:r>
        <w:rPr>
          <w:rFonts w:ascii="Times New Roman" w:hAnsi="Times New Roman" w:eastAsia="黑体" w:cs="Times New Roman"/>
          <w:b/>
          <w:sz w:val="24"/>
        </w:rPr>
        <w:t>2. 国内外研究现状与不足</w:t>
      </w:r>
    </w:p>
    <w:p>
      <w:pPr>
        <w:keepNext/>
        <w:snapToGrid w:val="0"/>
        <w:spacing w:lineRule="exact" w:line="440" w:before="80" w:after="0"/>
        <w:jc w:val="both"/>
      </w:pPr>
      <w:r>
        <w:rPr>
          <w:rFonts w:ascii="Times New Roman" w:hAnsi="Times New Roman" w:eastAsia="宋体" w:cs="Times New Roman"/>
          <w:b/>
          <w:sz w:val="24"/>
        </w:rPr>
        <w:t>2.1 NbS降温效应：从表观降温到可归因降温</w:t>
      </w:r>
    </w:p>
    <w:p>
      <w:pPr>
        <w:snapToGrid w:val="0"/>
        <w:spacing w:lineRule="exact" w:line="440" w:before="0" w:after="0"/>
        <w:ind w:firstLineChars="200" w:firstLine="480"/>
        <w:jc w:val="both"/>
      </w:pPr>
      <w:r>
        <w:rPr>
          <w:rFonts w:ascii="Times New Roman" w:hAnsi="Times New Roman" w:eastAsia="宋体" w:cs="Times New Roman"/>
          <w:b w:val="0"/>
          <w:sz w:val="24"/>
        </w:rPr>
        <w:t>国际研究多报告NbS的降温效应，但效应量高度依赖测度方式与时段：蓝色空间的Meta分析得到约2.5 °C的平均降温，且纳入遥感数据的研究效应更大</w:t>
      </w:r>
      <w:r>
        <w:rPr>
          <w:rFonts w:ascii="Times New Roman" w:hAnsi="Times New Roman" w:eastAsia="宋体" w:cs="Times New Roman"/>
          <w:b w:val="0"/>
          <w:sz w:val="24"/>
          <w:vertAlign w:val="superscript"/>
        </w:rPr>
        <w:t>[23]</w:t>
      </w:r>
      <w:r>
        <w:rPr>
          <w:rFonts w:ascii="Times New Roman" w:hAnsi="Times New Roman" w:eastAsia="宋体" w:cs="Times New Roman"/>
          <w:b w:val="0"/>
          <w:sz w:val="24"/>
        </w:rPr>
        <w:t>；实测则表明小型城市水体午后仅降低气温约0.2 °C，夜间水体可能比空气更暖</w:t>
      </w:r>
      <w:r>
        <w:rPr>
          <w:rFonts w:ascii="Times New Roman" w:hAnsi="Times New Roman" w:eastAsia="宋体" w:cs="Times New Roman"/>
          <w:b w:val="0"/>
          <w:sz w:val="24"/>
          <w:vertAlign w:val="superscript"/>
        </w:rPr>
        <w:t>[24]</w:t>
      </w:r>
      <w:r>
        <w:rPr>
          <w:rFonts w:ascii="Times New Roman" w:hAnsi="Times New Roman" w:eastAsia="宋体" w:cs="Times New Roman"/>
          <w:b w:val="0"/>
          <w:sz w:val="24"/>
        </w:rPr>
        <w:t>。国内研究既有全国尺度的多城市比较，也在长三角积累了较多案例：申请人对中国311个城市的研究表明，单位面积绿地降温潜力受城市形态与背景气候共同约束</w:t>
      </w:r>
      <w:r>
        <w:rPr>
          <w:rFonts w:ascii="Times New Roman" w:hAnsi="Times New Roman" w:eastAsia="宋体" w:cs="Times New Roman"/>
          <w:b w:val="0"/>
          <w:sz w:val="24"/>
          <w:vertAlign w:val="superscript"/>
        </w:rPr>
        <w:t>[25]</w:t>
      </w:r>
      <w:r>
        <w:rPr>
          <w:rFonts w:ascii="Times New Roman" w:hAnsi="Times New Roman" w:eastAsia="宋体" w:cs="Times New Roman"/>
          <w:b w:val="0"/>
          <w:sz w:val="24"/>
        </w:rPr>
        <w:t>；在长三角，绿地降温与增湿并存，且存在植被结构阈值</w:t>
      </w:r>
      <w:r>
        <w:rPr>
          <w:rFonts w:ascii="Times New Roman" w:hAnsi="Times New Roman" w:eastAsia="宋体" w:cs="Times New Roman"/>
          <w:b w:val="0"/>
          <w:sz w:val="24"/>
          <w:vertAlign w:val="superscript"/>
        </w:rPr>
        <w:t>[26]</w:t>
      </w:r>
      <w:r>
        <w:rPr>
          <w:rFonts w:ascii="Times New Roman" w:hAnsi="Times New Roman" w:eastAsia="宋体" w:cs="Times New Roman"/>
          <w:b w:val="0"/>
          <w:sz w:val="24"/>
        </w:rPr>
        <w:t>，黄浦江的降温效应受两岸空间格局调节</w:t>
      </w:r>
      <w:r>
        <w:rPr>
          <w:rFonts w:ascii="Times New Roman" w:hAnsi="Times New Roman" w:eastAsia="宋体" w:cs="Times New Roman"/>
          <w:b w:val="0"/>
          <w:sz w:val="24"/>
          <w:vertAlign w:val="superscript"/>
        </w:rPr>
        <w:t>[27]</w:t>
      </w:r>
      <w:r>
        <w:rPr>
          <w:rFonts w:ascii="Times New Roman" w:hAnsi="Times New Roman" w:eastAsia="宋体" w:cs="Times New Roman"/>
          <w:b w:val="0"/>
          <w:sz w:val="24"/>
        </w:rPr>
        <w:t>。</w:t>
      </w:r>
    </w:p>
    <w:p>
      <w:pPr>
        <w:snapToGrid w:val="0"/>
        <w:spacing w:lineRule="exact" w:line="440" w:before="0" w:after="0"/>
        <w:ind w:firstLineChars="200" w:firstLine="480"/>
        <w:jc w:val="both"/>
      </w:pPr>
      <w:r>
        <w:rPr>
          <w:rFonts w:ascii="Times New Roman" w:hAnsi="Times New Roman" w:eastAsia="宋体" w:cs="Times New Roman"/>
          <w:b w:val="0"/>
          <w:sz w:val="24"/>
        </w:rPr>
        <w:t>既有证据有两点局限。</w:t>
      </w:r>
      <w:r>
        <w:rPr>
          <w:rFonts w:ascii="Times New Roman" w:hAnsi="Times New Roman" w:eastAsia="宋体" w:cs="Times New Roman"/>
          <w:b/>
          <w:sz w:val="24"/>
        </w:rPr>
        <w:t>其一，地表温度与气温、气温与人体热负荷均存在系统差异。</w:t>
      </w:r>
      <w:r>
        <w:rPr>
          <w:rFonts w:ascii="Times New Roman" w:hAnsi="Times New Roman" w:eastAsia="宋体" w:cs="Times New Roman"/>
          <w:b w:val="0"/>
          <w:sz w:val="24"/>
        </w:rPr>
        <w:t>长三角热环境研究常以卫星地表温度（land surface temperature，LST）刻画，如局地气候区（local climate zone，LCZ）—LST关系</w:t>
      </w:r>
      <w:r>
        <w:rPr>
          <w:rFonts w:ascii="Times New Roman" w:hAnsi="Times New Roman" w:eastAsia="宋体" w:cs="Times New Roman"/>
          <w:b w:val="0"/>
          <w:sz w:val="24"/>
          <w:vertAlign w:val="superscript"/>
        </w:rPr>
        <w:t>[28]</w:t>
      </w:r>
      <w:r>
        <w:rPr>
          <w:rFonts w:ascii="Times New Roman" w:hAnsi="Times New Roman" w:eastAsia="宋体" w:cs="Times New Roman"/>
          <w:b w:val="0"/>
          <w:sz w:val="24"/>
        </w:rPr>
        <w:t>，但LST与近地表气温（near-surface air temperature，Ta）并不等同：欧洲342个城市的卫星地表热岛强度约为众包气象站所测冠层热岛强度的6倍</w:t>
      </w:r>
      <w:r>
        <w:rPr>
          <w:rFonts w:ascii="Times New Roman" w:hAnsi="Times New Roman" w:eastAsia="宋体" w:cs="Times New Roman"/>
          <w:b w:val="0"/>
          <w:sz w:val="24"/>
          <w:vertAlign w:val="superscript"/>
        </w:rPr>
        <w:t>[29]</w:t>
      </w:r>
      <w:r>
        <w:rPr>
          <w:rFonts w:ascii="Times New Roman" w:hAnsi="Times New Roman" w:eastAsia="宋体" w:cs="Times New Roman"/>
          <w:b w:val="0"/>
          <w:sz w:val="24"/>
        </w:rPr>
        <w:t>。人体热负荷还取决于平均辐射温度（mean radiant temperature，Tmrt）、风速与湿度，可由通用热气候指数（Universal Thermal Climate Index，UTCI）及其热应激（heat stress）等级综合表征</w:t>
      </w:r>
      <w:r>
        <w:rPr>
          <w:rFonts w:ascii="Times New Roman" w:hAnsi="Times New Roman" w:eastAsia="宋体" w:cs="Times New Roman"/>
          <w:b w:val="0"/>
          <w:sz w:val="24"/>
          <w:vertAlign w:val="superscript"/>
        </w:rPr>
        <w:t>[30]</w:t>
      </w:r>
      <w:r>
        <w:rPr>
          <w:rFonts w:ascii="Times New Roman" w:hAnsi="Times New Roman" w:eastAsia="宋体" w:cs="Times New Roman"/>
          <w:b w:val="0"/>
          <w:sz w:val="24"/>
        </w:rPr>
        <w:t>；卫星瞬时观测不提供各要素的逐时变化。高湿弱风时，水体与绿地降温伴随增湿，热应激可能难以缓解甚至加重。</w:t>
      </w:r>
    </w:p>
    <w:p>
      <w:pPr>
        <w:snapToGrid w:val="0"/>
        <w:spacing w:lineRule="exact" w:line="440" w:before="0" w:after="0"/>
        <w:ind w:firstLineChars="200" w:firstLine="480"/>
        <w:jc w:val="both"/>
      </w:pPr>
      <w:r>
        <w:rPr>
          <w:rFonts w:ascii="Times New Roman" w:hAnsi="Times New Roman" w:eastAsia="宋体" w:cs="Times New Roman"/>
          <w:b/>
          <w:sz w:val="24"/>
        </w:rPr>
        <w:t>其二，表观降温（NbS与周边的温差）不等于NbS可归因降温（attributable cooling）。</w:t>
      </w:r>
      <w:r>
        <w:rPr>
          <w:rFonts w:ascii="Times New Roman" w:hAnsi="Times New Roman" w:eastAsia="宋体" w:cs="Times New Roman"/>
          <w:b w:val="0"/>
          <w:sz w:val="24"/>
        </w:rPr>
        <w:t>建筑阴影、街谷（street canyon）几何及通风常与NbS并存，且遮荫对热应激的缓解作用随城市形态而异</w:t>
      </w:r>
      <w:r>
        <w:rPr>
          <w:rFonts w:ascii="Times New Roman" w:hAnsi="Times New Roman" w:eastAsia="宋体" w:cs="Times New Roman"/>
          <w:b w:val="0"/>
          <w:sz w:val="24"/>
          <w:vertAlign w:val="superscript"/>
        </w:rPr>
        <w:t>[31]</w:t>
      </w:r>
      <w:r>
        <w:rPr>
          <w:rFonts w:ascii="Times New Roman" w:hAnsi="Times New Roman" w:eastAsia="宋体" w:cs="Times New Roman"/>
          <w:b w:val="0"/>
          <w:sz w:val="24"/>
        </w:rPr>
        <w:t>；因此，表观降温混有城市形态的贡献，可能高估NbS降温。已有研究从二维与三维视角分离了建筑与树木对城市热环境的单独及联合影响</w:t>
      </w:r>
      <w:r>
        <w:rPr>
          <w:rFonts w:ascii="Times New Roman" w:hAnsi="Times New Roman" w:eastAsia="宋体" w:cs="Times New Roman"/>
          <w:b w:val="0"/>
          <w:sz w:val="24"/>
          <w:vertAlign w:val="superscript"/>
        </w:rPr>
        <w:t>[32]</w:t>
      </w:r>
      <w:r>
        <w:rPr>
          <w:rFonts w:ascii="Times New Roman" w:hAnsi="Times New Roman" w:eastAsia="宋体" w:cs="Times New Roman"/>
          <w:b w:val="0"/>
          <w:sz w:val="24"/>
        </w:rPr>
        <w:t>，为遮荫分离提供了思路，但分NbS类型、逐时并以UTCI衡量的可归因降温估计仍较少，在城市群的形态与气候梯度上更缺乏系统比较。因果识别同样薄弱：对45个城市（2010—2020年）的双重差分与合成控制分析发现，多数情形下海绵城市建设未带来统计显著的气温下降</w:t>
      </w:r>
      <w:r>
        <w:rPr>
          <w:rFonts w:ascii="Times New Roman" w:hAnsi="Times New Roman" w:eastAsia="宋体" w:cs="Times New Roman"/>
          <w:b w:val="0"/>
          <w:sz w:val="24"/>
          <w:vertAlign w:val="superscript"/>
        </w:rPr>
        <w:t>[33]</w:t>
      </w:r>
      <w:r>
        <w:rPr>
          <w:rFonts w:ascii="Times New Roman" w:hAnsi="Times New Roman" w:eastAsia="宋体" w:cs="Times New Roman"/>
          <w:b w:val="0"/>
          <w:sz w:val="24"/>
        </w:rPr>
        <w:t>，提示含蓝绿改造的城市建设未必产生可检测的降温，NbS的降温效益须经因果检验，而不能默认存在。</w:t>
      </w:r>
    </w:p>
    <w:p>
      <w:pPr>
        <w:keepNext/>
        <w:snapToGrid w:val="0"/>
        <w:spacing w:lineRule="exact" w:line="440" w:before="80" w:after="0"/>
        <w:jc w:val="both"/>
      </w:pPr>
      <w:r>
        <w:rPr>
          <w:rFonts w:ascii="Times New Roman" w:hAnsi="Times New Roman" w:eastAsia="宋体" w:cs="Times New Roman"/>
          <w:b/>
          <w:sz w:val="24"/>
        </w:rPr>
        <w:t>2.2 热暴露评估：从居住地暴露到动态暴露</w:t>
      </w:r>
    </w:p>
    <w:p>
      <w:pPr>
        <w:snapToGrid w:val="0"/>
        <w:spacing w:lineRule="exact" w:line="440" w:before="0" w:after="0"/>
        <w:ind w:firstLineChars="200" w:firstLine="480"/>
        <w:jc w:val="both"/>
      </w:pPr>
      <w:r>
        <w:rPr>
          <w:rFonts w:ascii="Times New Roman" w:hAnsi="Times New Roman" w:eastAsia="宋体" w:cs="Times New Roman"/>
          <w:b w:val="0"/>
          <w:sz w:val="24"/>
        </w:rPr>
        <w:t>关于不确定地理背景问题（uncertain geographic context problem，UGCoP）的研究指出，仅以居住邻里界定暴露会忽视活动的时空差异，使暴露估计与效应推断产生偏误</w:t>
      </w:r>
      <w:r>
        <w:rPr>
          <w:rFonts w:ascii="Times New Roman" w:hAnsi="Times New Roman" w:eastAsia="宋体" w:cs="Times New Roman"/>
          <w:b w:val="0"/>
          <w:sz w:val="24"/>
          <w:vertAlign w:val="superscript"/>
        </w:rPr>
        <w:t>[34]</w:t>
      </w:r>
      <w:r>
        <w:rPr>
          <w:rFonts w:ascii="Times New Roman" w:hAnsi="Times New Roman" w:eastAsia="宋体" w:cs="Times New Roman"/>
          <w:b w:val="0"/>
          <w:sz w:val="24"/>
        </w:rPr>
        <w:t>。热暴露研究由此转向动态暴露：基于匿名手机位置数据的动态热暴露指数显示，热暴露高值不一定出现在城市中心</w:t>
      </w:r>
      <w:r>
        <w:rPr>
          <w:rFonts w:ascii="Times New Roman" w:hAnsi="Times New Roman" w:eastAsia="宋体" w:cs="Times New Roman"/>
          <w:b w:val="0"/>
          <w:sz w:val="24"/>
          <w:vertAlign w:val="superscript"/>
        </w:rPr>
        <w:t>[35]</w:t>
      </w:r>
      <w:r>
        <w:rPr>
          <w:rFonts w:ascii="Times New Roman" w:hAnsi="Times New Roman" w:eastAsia="宋体" w:cs="Times New Roman"/>
          <w:b w:val="0"/>
          <w:sz w:val="24"/>
        </w:rPr>
        <w:t>。国内研究以手机定位数据逐时整合人口与温度分布，刻画了深圳2018年7月热浪期间的人口动态暴露</w:t>
      </w:r>
      <w:r>
        <w:rPr>
          <w:rFonts w:ascii="Times New Roman" w:hAnsi="Times New Roman" w:eastAsia="宋体" w:cs="Times New Roman"/>
          <w:b w:val="0"/>
          <w:sz w:val="24"/>
          <w:vertAlign w:val="superscript"/>
        </w:rPr>
        <w:t>[36]</w:t>
      </w:r>
      <w:r>
        <w:rPr>
          <w:rFonts w:ascii="Times New Roman" w:hAnsi="Times New Roman" w:eastAsia="宋体" w:cs="Times New Roman"/>
          <w:b w:val="0"/>
          <w:sz w:val="24"/>
        </w:rPr>
        <w:t>，并结合ECOSTRESS地表温度与手机信令评价了西安人口热暴露</w:t>
      </w:r>
      <w:r>
        <w:rPr>
          <w:rFonts w:ascii="Times New Roman" w:hAnsi="Times New Roman" w:eastAsia="宋体" w:cs="Times New Roman"/>
          <w:b w:val="0"/>
          <w:sz w:val="24"/>
          <w:vertAlign w:val="superscript"/>
        </w:rPr>
        <w:t>[37]</w:t>
      </w:r>
      <w:r>
        <w:rPr>
          <w:rFonts w:ascii="Times New Roman" w:hAnsi="Times New Roman" w:eastAsia="宋体" w:cs="Times New Roman"/>
          <w:b w:val="0"/>
          <w:sz w:val="24"/>
        </w:rPr>
        <w:t>；申请人基于大规模多期手机信令的研究表明，忽略日常流动的居住地绿地暴露估计存在系统偏差</w:t>
      </w:r>
      <w:r>
        <w:rPr>
          <w:rFonts w:ascii="Times New Roman" w:hAnsi="Times New Roman" w:eastAsia="宋体" w:cs="Times New Roman"/>
          <w:b w:val="0"/>
          <w:sz w:val="24"/>
          <w:vertAlign w:val="superscript"/>
        </w:rPr>
        <w:t>[38]</w:t>
      </w:r>
      <w:r>
        <w:rPr>
          <w:rFonts w:ascii="Times New Roman" w:hAnsi="Times New Roman" w:eastAsia="宋体" w:cs="Times New Roman"/>
          <w:b w:val="0"/>
          <w:sz w:val="24"/>
        </w:rPr>
        <w:t>。高温还会改变人群在场本身：手机流动数据显示，热浪平均使中国城市市内出行率下降1.5%，规模较小、经济资源与绿地有限的城市受影响更大</w:t>
      </w:r>
      <w:r>
        <w:rPr>
          <w:rFonts w:ascii="Times New Roman" w:hAnsi="Times New Roman" w:eastAsia="宋体" w:cs="Times New Roman"/>
          <w:b w:val="0"/>
          <w:sz w:val="24"/>
          <w:vertAlign w:val="superscript"/>
        </w:rPr>
        <w:t>[39]</w:t>
      </w:r>
      <w:r>
        <w:rPr>
          <w:rFonts w:ascii="Times New Roman" w:hAnsi="Times New Roman" w:eastAsia="宋体" w:cs="Times New Roman"/>
          <w:b w:val="0"/>
          <w:sz w:val="24"/>
        </w:rPr>
        <w:t>；以常态出行模式或居住人口推算高温时段在场，会造成暴露错配。但现有动态暴露研究或以LST、逐日气温为环境输入，或仅覆盖单次热浪与单一年份，难以刻画多年逐时变化，也较少关联人群停留之处与NbS可归因降温。</w:t>
      </w:r>
    </w:p>
    <w:p>
      <w:pPr>
        <w:keepNext/>
        <w:snapToGrid w:val="0"/>
        <w:spacing w:lineRule="exact" w:line="440" w:before="80" w:after="0"/>
        <w:jc w:val="both"/>
      </w:pPr>
      <w:r>
        <w:rPr>
          <w:rFonts w:ascii="Times New Roman" w:hAnsi="Times New Roman" w:eastAsia="宋体" w:cs="Times New Roman"/>
          <w:b/>
          <w:sz w:val="24"/>
        </w:rPr>
        <w:t>2.3 热健康公平与效应修饰：从资源供给到实得保护</w:t>
      </w:r>
    </w:p>
    <w:p>
      <w:pPr>
        <w:snapToGrid w:val="0"/>
        <w:spacing w:lineRule="exact" w:line="440" w:before="0" w:after="0"/>
        <w:ind w:firstLineChars="200" w:firstLine="480"/>
        <w:jc w:val="both"/>
      </w:pPr>
      <w:r>
        <w:rPr>
          <w:rFonts w:ascii="Times New Roman" w:hAnsi="Times New Roman" w:eastAsia="宋体" w:cs="Times New Roman"/>
          <w:b w:val="0"/>
          <w:sz w:val="24"/>
        </w:rPr>
        <w:t>环境正义研究揭示了绿地暴露及其降温收益的不平等：中国303个城市中207个城市绿地暴露的基尼系数超过0.6，且随人群的日内分布而变化</w:t>
      </w:r>
      <w:r>
        <w:rPr>
          <w:rFonts w:ascii="Times New Roman" w:hAnsi="Times New Roman" w:eastAsia="宋体" w:cs="Times New Roman"/>
          <w:b w:val="0"/>
          <w:sz w:val="24"/>
          <w:vertAlign w:val="superscript"/>
        </w:rPr>
        <w:t>[40]</w:t>
      </w:r>
      <w:r>
        <w:rPr>
          <w:rFonts w:ascii="Times New Roman" w:hAnsi="Times New Roman" w:eastAsia="宋体" w:cs="Times New Roman"/>
          <w:b w:val="0"/>
          <w:sz w:val="24"/>
        </w:rPr>
        <w:t>；全球绿地降温也因绿地数量与质量差异而分配不均</w:t>
      </w:r>
      <w:r>
        <w:rPr>
          <w:rFonts w:ascii="Times New Roman" w:hAnsi="Times New Roman" w:eastAsia="宋体" w:cs="Times New Roman"/>
          <w:b w:val="0"/>
          <w:sz w:val="24"/>
          <w:vertAlign w:val="superscript"/>
        </w:rPr>
        <w:t>[41]</w:t>
      </w:r>
      <w:r>
        <w:rPr>
          <w:rFonts w:ascii="Times New Roman" w:hAnsi="Times New Roman" w:eastAsia="宋体" w:cs="Times New Roman"/>
          <w:b w:val="0"/>
          <w:sz w:val="24"/>
        </w:rPr>
        <w:t>；申请人对中国城市绿地可达性公平及其社会经济驱动因素的研究</w:t>
      </w:r>
      <w:r>
        <w:rPr>
          <w:rFonts w:ascii="Times New Roman" w:hAnsi="Times New Roman" w:eastAsia="宋体" w:cs="Times New Roman"/>
          <w:b w:val="0"/>
          <w:sz w:val="24"/>
          <w:vertAlign w:val="superscript"/>
        </w:rPr>
        <w:t>[42]</w:t>
      </w:r>
      <w:r>
        <w:rPr>
          <w:rFonts w:ascii="Times New Roman" w:hAnsi="Times New Roman" w:eastAsia="宋体" w:cs="Times New Roman"/>
          <w:b w:val="0"/>
          <w:sz w:val="24"/>
        </w:rPr>
        <w:t>亦属资源供给层面的测度。长三角热健康风险存在多尺度不平等，快速而不均衡的发展使欠发达地区热暴露增长快于发达地区</w:t>
      </w:r>
      <w:r>
        <w:rPr>
          <w:rFonts w:ascii="Times New Roman" w:hAnsi="Times New Roman" w:eastAsia="宋体" w:cs="Times New Roman"/>
          <w:b w:val="0"/>
          <w:sz w:val="24"/>
          <w:vertAlign w:val="superscript"/>
        </w:rPr>
        <w:t>[43]</w:t>
      </w:r>
      <w:r>
        <w:rPr>
          <w:rFonts w:ascii="Times New Roman" w:hAnsi="Times New Roman" w:eastAsia="宋体" w:cs="Times New Roman"/>
          <w:b w:val="0"/>
          <w:sz w:val="24"/>
        </w:rPr>
        <w:t>；上海57.83%的街道地表温度升幅与夏季地表温度均高于平均水平，老年人与老旧住房居民在局地尺度上暴露偏高</w:t>
      </w:r>
      <w:r>
        <w:rPr>
          <w:rFonts w:ascii="Times New Roman" w:hAnsi="Times New Roman" w:eastAsia="宋体" w:cs="Times New Roman"/>
          <w:b w:val="0"/>
          <w:sz w:val="24"/>
          <w:vertAlign w:val="superscript"/>
        </w:rPr>
        <w:t>[44]</w:t>
      </w:r>
      <w:r>
        <w:rPr>
          <w:rFonts w:ascii="Times New Roman" w:hAnsi="Times New Roman" w:eastAsia="宋体" w:cs="Times New Roman"/>
          <w:b w:val="0"/>
          <w:sz w:val="24"/>
        </w:rPr>
        <w:t>。这些研究度量的是绿地暴露、潜在降温或地表热暴露，未回答人群在场时是否实际获得NbS降温。上海低收入群体的公园可达性并不处于劣势</w:t>
      </w:r>
      <w:r>
        <w:rPr>
          <w:rFonts w:ascii="Times New Roman" w:hAnsi="Times New Roman" w:eastAsia="宋体" w:cs="Times New Roman"/>
          <w:b w:val="0"/>
          <w:sz w:val="24"/>
          <w:vertAlign w:val="superscript"/>
        </w:rPr>
        <w:t>[45]</w:t>
      </w:r>
      <w:r>
        <w:rPr>
          <w:rFonts w:ascii="Times New Roman" w:hAnsi="Times New Roman" w:eastAsia="宋体" w:cs="Times New Roman"/>
          <w:b w:val="0"/>
          <w:sz w:val="24"/>
        </w:rPr>
        <w:t>，但可达性不等于高温时段实际获得降温；南京外卖骑手研究表明，建筑与树木遮荫可使Tmrt平均降低10.6～21.1 °C</w:t>
      </w:r>
      <w:r>
        <w:rPr>
          <w:rFonts w:ascii="Times New Roman" w:hAnsi="Times New Roman" w:eastAsia="宋体" w:cs="Times New Roman"/>
          <w:b w:val="0"/>
          <w:sz w:val="24"/>
          <w:vertAlign w:val="superscript"/>
        </w:rPr>
        <w:t>[46]</w:t>
      </w:r>
      <w:r>
        <w:rPr>
          <w:rFonts w:ascii="Times New Roman" w:hAnsi="Times New Roman" w:eastAsia="宋体" w:cs="Times New Roman"/>
          <w:b w:val="0"/>
          <w:sz w:val="24"/>
        </w:rPr>
        <w:t>。这提示实得保护（人群在场时实际获得的降温）取决于人群何时、在何处活动。</w:t>
      </w:r>
    </w:p>
    <w:p>
      <w:pPr>
        <w:snapToGrid w:val="0"/>
        <w:spacing w:lineRule="exact" w:line="440" w:before="0" w:after="0"/>
        <w:ind w:firstLineChars="200" w:firstLine="480"/>
        <w:jc w:val="both"/>
      </w:pPr>
      <w:r>
        <w:rPr>
          <w:rFonts w:ascii="Times New Roman" w:hAnsi="Times New Roman" w:eastAsia="宋体" w:cs="Times New Roman"/>
          <w:b w:val="0"/>
          <w:sz w:val="24"/>
        </w:rPr>
        <w:t>健康证据也表明，NbS的保护作用因类型而异：中国东南1085个乡镇街道（township/subdistrict）中，森林、公园、街道绿化及湖泊、河流暴露较高的人群热相关死亡风险较低，草地、灌丛、湿地等则未见类似关联</w:t>
      </w:r>
      <w:r>
        <w:rPr>
          <w:rFonts w:ascii="Times New Roman" w:hAnsi="Times New Roman" w:eastAsia="宋体" w:cs="Times New Roman"/>
          <w:b w:val="0"/>
          <w:sz w:val="24"/>
          <w:vertAlign w:val="superscript"/>
        </w:rPr>
        <w:t>[47,48]</w:t>
      </w:r>
      <w:r>
        <w:rPr>
          <w:rFonts w:ascii="Times New Roman" w:hAnsi="Times New Roman" w:eastAsia="宋体" w:cs="Times New Roman"/>
          <w:b w:val="0"/>
          <w:sz w:val="24"/>
        </w:rPr>
        <w:t>；但其效应修饰项仍为分类型静态蓝绿空间指标，难以代表实得保护。分布滞后非线性模型（distributed lag non-linear model，DLNM）及其归因分析已是热—健康研究的成熟框架</w:t>
      </w:r>
      <w:r>
        <w:rPr>
          <w:rFonts w:ascii="Times New Roman" w:hAnsi="Times New Roman" w:eastAsia="宋体" w:cs="Times New Roman"/>
          <w:b w:val="0"/>
          <w:sz w:val="24"/>
          <w:vertAlign w:val="superscript"/>
        </w:rPr>
        <w:t>[49,50]</w:t>
      </w:r>
      <w:r>
        <w:rPr>
          <w:rFonts w:ascii="Times New Roman" w:hAnsi="Times New Roman" w:eastAsia="宋体" w:cs="Times New Roman"/>
          <w:b w:val="0"/>
          <w:sz w:val="24"/>
        </w:rPr>
        <w:t>，但较少用于检验NbS保护指标本身的解释力。总体而言，公平研究已由资源总量走向人口加权与流动修正的暴露分配，但公平仍以资源或地表热暴露界定；健康研究证实了NbS类型差异，却仍以静态指标代表保护。</w:t>
      </w:r>
    </w:p>
    <w:p>
      <w:pPr>
        <w:keepNext/>
        <w:snapToGrid w:val="0"/>
        <w:spacing w:lineRule="exact" w:line="440" w:before="80" w:after="0"/>
        <w:jc w:val="both"/>
      </w:pPr>
      <w:r>
        <w:rPr>
          <w:rFonts w:ascii="Times New Roman" w:hAnsi="Times New Roman" w:eastAsia="宋体" w:cs="Times New Roman"/>
          <w:b/>
          <w:sz w:val="24"/>
        </w:rPr>
        <w:t>2.4 高温健康预警与适应实践：从“是否有风险”到“谁缺乏保护”</w:t>
      </w:r>
    </w:p>
    <w:p>
      <w:pPr>
        <w:snapToGrid w:val="0"/>
        <w:spacing w:lineRule="exact" w:line="440" w:before="0" w:after="0"/>
        <w:ind w:firstLineChars="200" w:firstLine="480"/>
        <w:jc w:val="both"/>
      </w:pPr>
      <w:r>
        <w:rPr>
          <w:rFonts w:ascii="Times New Roman" w:hAnsi="Times New Roman" w:eastAsia="宋体" w:cs="Times New Roman"/>
          <w:b w:val="0"/>
          <w:sz w:val="24"/>
        </w:rPr>
        <w:t>世界气象组织与世界卫生组织联合发布的热健康预警系统指南，强调依据本地热—健康关系设定预警阈值，并将预警与响应措施及其效果评估相衔接</w:t>
      </w:r>
      <w:r>
        <w:rPr>
          <w:rFonts w:ascii="Times New Roman" w:hAnsi="Times New Roman" w:eastAsia="宋体" w:cs="Times New Roman"/>
          <w:b w:val="0"/>
          <w:sz w:val="24"/>
          <w:vertAlign w:val="superscript"/>
        </w:rPr>
        <w:t>[51]</w:t>
      </w:r>
      <w:r>
        <w:rPr>
          <w:rFonts w:ascii="Times New Roman" w:hAnsi="Times New Roman" w:eastAsia="宋体" w:cs="Times New Roman"/>
          <w:b w:val="0"/>
          <w:sz w:val="24"/>
        </w:rPr>
        <w:t>。上海是国内最早建立热健康预警系统的城市之一：该系统基于1989—1998年夏季天气型分类，以与超额死亡关联最强的“湿热+”气团为预警依据，于2001年夏季试运行</w:t>
      </w:r>
      <w:r>
        <w:rPr>
          <w:rFonts w:ascii="Times New Roman" w:hAnsi="Times New Roman" w:eastAsia="宋体" w:cs="Times New Roman"/>
          <w:b w:val="0"/>
          <w:sz w:val="24"/>
          <w:vertAlign w:val="superscript"/>
        </w:rPr>
        <w:t>[52]</w:t>
      </w:r>
      <w:r>
        <w:rPr>
          <w:rFonts w:ascii="Times New Roman" w:hAnsi="Times New Roman" w:eastAsia="宋体" w:cs="Times New Roman"/>
          <w:b w:val="0"/>
          <w:sz w:val="24"/>
        </w:rPr>
        <w:t>。然而，基于上海热相关疾病监测病例与死亡数据的评估显示，研究期内50%的热相关疾病与58.2%的热相关死亡发生在未发布预警的日期</w:t>
      </w:r>
      <w:r>
        <w:rPr>
          <w:rFonts w:ascii="Times New Roman" w:hAnsi="Times New Roman" w:eastAsia="宋体" w:cs="Times New Roman"/>
          <w:b w:val="0"/>
          <w:sz w:val="24"/>
          <w:vertAlign w:val="superscript"/>
        </w:rPr>
        <w:t>[53]</w:t>
      </w:r>
      <w:r>
        <w:rPr>
          <w:rFonts w:ascii="Times New Roman" w:hAnsi="Times New Roman" w:eastAsia="宋体" w:cs="Times New Roman"/>
          <w:b w:val="0"/>
          <w:sz w:val="24"/>
        </w:rPr>
        <w:t>。2025年7月，国家疾控局与中国气象局联合发布首个国家级高温健康风险预警，依据高温与循环系统、呼吸系统疾病的暴露—反应关系分为5级，标志着预警由气象高温转向健康风险</w:t>
      </w:r>
      <w:r>
        <w:rPr>
          <w:rFonts w:ascii="Times New Roman" w:hAnsi="Times New Roman" w:eastAsia="宋体" w:cs="Times New Roman"/>
          <w:b w:val="0"/>
          <w:sz w:val="24"/>
          <w:vertAlign w:val="superscript"/>
        </w:rPr>
        <w:t>[54]</w:t>
      </w:r>
      <w:r>
        <w:rPr>
          <w:rFonts w:ascii="Times New Roman" w:hAnsi="Times New Roman" w:eastAsia="宋体" w:cs="Times New Roman"/>
          <w:b w:val="0"/>
          <w:sz w:val="24"/>
        </w:rPr>
        <w:t>。但现行预警仍按城市或区域发布、以气温或由气温推算的风险分级，回答的是“当日是否存在风险”，而非“哪些地点、时段和人群缺乏保护、应采取何种空间措施”；预警体系与绿地、水体等空间干预的成效评估也相互脱节。</w:t>
      </w:r>
    </w:p>
    <w:p>
      <w:pPr>
        <w:keepNext/>
        <w:snapToGrid w:val="0"/>
        <w:spacing w:lineRule="exact" w:line="440" w:before="80" w:after="0"/>
        <w:jc w:val="both"/>
      </w:pPr>
      <w:r>
        <w:rPr>
          <w:rFonts w:ascii="Times New Roman" w:hAnsi="Times New Roman" w:eastAsia="宋体" w:cs="Times New Roman"/>
          <w:b/>
          <w:sz w:val="24"/>
        </w:rPr>
        <w:t>2.5 小结</w:t>
      </w:r>
    </w:p>
    <w:p>
      <w:pPr>
        <w:snapToGrid w:val="0"/>
        <w:spacing w:lineRule="exact" w:line="440" w:before="0" w:after="0"/>
        <w:ind w:firstLineChars="200" w:firstLine="480"/>
        <w:jc w:val="both"/>
      </w:pPr>
      <w:r>
        <w:rPr>
          <w:rFonts w:ascii="Times New Roman" w:hAnsi="Times New Roman" w:eastAsia="宋体" w:cs="Times New Roman"/>
          <w:b w:val="0"/>
          <w:sz w:val="24"/>
        </w:rPr>
        <w:t>上述研究脉络各自推进而少有衔接，主要存在四方面不足：</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sz w:val="24"/>
        </w:rPr>
        <w:t>降温归因不足</w:t>
      </w:r>
      <w:r>
        <w:rPr>
          <w:rFonts w:ascii="Times New Roman" w:hAnsi="Times New Roman" w:eastAsia="宋体" w:cs="Times New Roman"/>
          <w:b w:val="0"/>
          <w:sz w:val="24"/>
        </w:rPr>
        <w:t>：缺少控制城市形态、遮荫与通风并以UTCI检验的NbS可归因降温估计，湿热河网条件下蓝色NbS的净效应尤其不明确。</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sz w:val="24"/>
        </w:rPr>
        <w:t>时空耦合不足</w:t>
      </w:r>
      <w:r>
        <w:rPr>
          <w:rFonts w:ascii="Times New Roman" w:hAnsi="Times New Roman" w:eastAsia="宋体" w:cs="Times New Roman"/>
          <w:b w:val="0"/>
          <w:sz w:val="24"/>
        </w:rPr>
        <w:t>：降温发生时若无人在场，则不构成实得保护；现有评估缺少耦合逐时降温与逐时在场人群的测度。</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sz w:val="24"/>
        </w:rPr>
        <w:t>公平界定与健康检验不足</w:t>
      </w:r>
      <w:r>
        <w:rPr>
          <w:rFonts w:ascii="Times New Roman" w:hAnsi="Times New Roman" w:eastAsia="宋体" w:cs="Times New Roman"/>
          <w:b w:val="0"/>
          <w:sz w:val="24"/>
        </w:rPr>
        <w:t>：资源相当的乡镇街道因活动时段、职业、流动能力与脆弱性不同，实得保护可能悬殊；公平应以实得保护界定，且该测度须经健康结局检验。</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sz w:val="24"/>
        </w:rPr>
        <w:t>转化衔接不足</w:t>
      </w:r>
      <w:r>
        <w:rPr>
          <w:rFonts w:ascii="Times New Roman" w:hAnsi="Times New Roman" w:eastAsia="宋体" w:cs="Times New Roman"/>
          <w:b w:val="0"/>
          <w:sz w:val="24"/>
        </w:rPr>
        <w:t>：现行预警与劳动保护措施不指明何处、何时、何人缺乏NbS保护（见第1节与2.4节），NbS规划评估与健康风险管理也缺少共同的评价单位。</w:t>
      </w:r>
    </w:p>
    <w:p>
      <w:pPr>
        <w:keepNext/>
        <w:snapToGrid w:val="0"/>
        <w:spacing w:lineRule="exact" w:line="440" w:before="160" w:after="40"/>
        <w:jc w:val="both"/>
      </w:pPr>
      <w:r>
        <w:rPr>
          <w:rFonts w:ascii="Times New Roman" w:hAnsi="Times New Roman" w:eastAsia="黑体" w:cs="Times New Roman"/>
          <w:b/>
          <w:sz w:val="24"/>
        </w:rPr>
        <w:t>3. 理论基础与研究切入点</w:t>
      </w:r>
    </w:p>
    <w:p>
      <w:pPr>
        <w:snapToGrid w:val="0"/>
        <w:spacing w:lineRule="exact" w:line="440" w:before="0" w:after="0"/>
        <w:ind w:firstLineChars="200" w:firstLine="480"/>
        <w:jc w:val="both"/>
      </w:pPr>
      <w:r>
        <w:rPr>
          <w:rFonts w:ascii="Times New Roman" w:hAnsi="Times New Roman" w:eastAsia="宋体" w:cs="Times New Roman"/>
          <w:b w:val="0"/>
          <w:sz w:val="24"/>
        </w:rPr>
        <w:t>生态系统服务级联框架（ecosystem services cascade）将生态系统对人类福祉的贡献表述为“生态结构与过程—生态功能—服务—惠益”的逐级转化，功能只有与人类需求相联系才构成服务</w:t>
      </w:r>
      <w:r>
        <w:rPr>
          <w:rFonts w:ascii="Times New Roman" w:hAnsi="Times New Roman" w:eastAsia="宋体" w:cs="Times New Roman"/>
          <w:b w:val="0"/>
          <w:sz w:val="24"/>
          <w:vertAlign w:val="superscript"/>
        </w:rPr>
        <w:t>[55]</w:t>
      </w:r>
      <w:r>
        <w:rPr>
          <w:rFonts w:ascii="Times New Roman" w:hAnsi="Times New Roman" w:eastAsia="宋体" w:cs="Times New Roman"/>
          <w:b w:val="0"/>
          <w:sz w:val="24"/>
        </w:rPr>
        <w:t>；服务需经空间路径从供给区到达受益者，“实际服务”不同于“理论服务”</w:t>
      </w:r>
      <w:r>
        <w:rPr>
          <w:rFonts w:ascii="Times New Roman" w:hAnsi="Times New Roman" w:eastAsia="宋体" w:cs="Times New Roman"/>
          <w:b w:val="0"/>
          <w:sz w:val="24"/>
          <w:vertAlign w:val="superscript"/>
        </w:rPr>
        <w:t>[56]</w:t>
      </w:r>
      <w:r>
        <w:rPr>
          <w:rFonts w:ascii="Times New Roman" w:hAnsi="Times New Roman" w:eastAsia="宋体" w:cs="Times New Roman"/>
          <w:b w:val="0"/>
          <w:sz w:val="24"/>
        </w:rPr>
        <w:t>。因此，评价NbS的关键不在于产生多少降温，而在于多少降温在何时、经何种路径到达需要它的人群。</w:t>
      </w:r>
    </w:p>
    <w:p>
      <w:pPr>
        <w:snapToGrid w:val="0"/>
        <w:spacing w:lineRule="exact" w:line="440" w:before="0" w:after="0"/>
        <w:ind w:firstLineChars="200" w:firstLine="480"/>
        <w:jc w:val="both"/>
      </w:pPr>
      <w:r>
        <w:rPr>
          <w:rFonts w:ascii="Times New Roman" w:hAnsi="Times New Roman" w:eastAsia="宋体" w:cs="Times New Roman"/>
          <w:b w:val="0"/>
          <w:sz w:val="24"/>
        </w:rPr>
        <w:t>本项目将NbS降温纳入该框架。各类NbS及其遮荫、蒸散与通风过程为“生态结构与过程”，依次经三个转化环节：</w:t>
      </w:r>
      <w:r>
        <w:rPr>
          <w:rFonts w:ascii="Times New Roman" w:hAnsi="Times New Roman" w:eastAsia="宋体" w:cs="Times New Roman"/>
          <w:b/>
          <w:sz w:val="24"/>
        </w:rPr>
        <w:t>形态过滤</w:t>
      </w:r>
      <w:r>
        <w:rPr>
          <w:rFonts w:ascii="Times New Roman" w:hAnsi="Times New Roman" w:eastAsia="宋体" w:cs="Times New Roman"/>
          <w:b w:val="0"/>
          <w:sz w:val="24"/>
        </w:rPr>
        <w:t>剥离建筑遮荫、街谷几何及其通风效应，得到逐时可归因降温（“生态功能”）；</w:t>
      </w:r>
      <w:r>
        <w:rPr>
          <w:rFonts w:ascii="Times New Roman" w:hAnsi="Times New Roman" w:eastAsia="宋体" w:cs="Times New Roman"/>
          <w:b/>
          <w:sz w:val="24"/>
        </w:rPr>
        <w:t>时空耦合</w:t>
      </w:r>
      <w:r>
        <w:rPr>
          <w:rFonts w:ascii="Times New Roman" w:hAnsi="Times New Roman" w:eastAsia="宋体" w:cs="Times New Roman"/>
          <w:b w:val="0"/>
          <w:sz w:val="24"/>
        </w:rPr>
        <w:t>使其与人群逐时在场及停留时长匹配，形成实际服务流（“服务”）；</w:t>
      </w:r>
      <w:r>
        <w:rPr>
          <w:rFonts w:ascii="Times New Roman" w:hAnsi="Times New Roman" w:eastAsia="宋体" w:cs="Times New Roman"/>
          <w:b/>
          <w:sz w:val="24"/>
        </w:rPr>
        <w:t>健康转化</w:t>
      </w:r>
      <w:r>
        <w:rPr>
          <w:rFonts w:ascii="Times New Roman" w:hAnsi="Times New Roman" w:eastAsia="宋体" w:cs="Times New Roman"/>
          <w:b w:val="0"/>
          <w:sz w:val="24"/>
        </w:rPr>
        <w:t>经暴露—反应关系将实得保护折算为已避免的热相关死亡与就诊（“惠益”）。</w:t>
      </w:r>
    </w:p>
    <w:p>
      <w:pPr>
        <w:snapToGrid w:val="0"/>
        <w:spacing w:lineRule="exact" w:line="440" w:before="0" w:after="0"/>
        <w:ind w:firstLineChars="200" w:firstLine="480"/>
        <w:jc w:val="both"/>
      </w:pPr>
      <w:r>
        <w:rPr>
          <w:rFonts w:ascii="Times New Roman" w:hAnsi="Times New Roman" w:eastAsia="宋体" w:cs="Times New Roman"/>
          <w:b w:val="0"/>
          <w:sz w:val="24"/>
        </w:rPr>
        <w:t>本项目据此提出实得降温保护（Delivered Cooling Protection，DCP），即人群在场时、在场处因NbS可归因降温而避免的热暴露，以人·小时计量。NbS保护相应分为三个层次：资源供给（provision），即周边是否有可达的蓝绿空间；实得保护（delivered protection），即人群在场时段是否实际获得降温；保护缺口（protection deficit），即同等暴露与脆弱性条件下仍未受保护的热暴露比例，以实得降温保护缺口（DCP deficit，下称DCP缺口）度量。三者未必一致：资源充足的乡镇街道可能因所含NbS类型降温无效或与活动时段错配而实得保护甚少，脆弱人群也可能集中于高暴露形态。由此提出核心假说：“资源公平不等于保护公平”。</w:t>
      </w:r>
    </w:p>
    <w:p>
      <w:pPr>
        <w:snapToGrid w:val="0"/>
        <w:spacing w:lineRule="exact" w:line="440" w:before="0" w:after="0"/>
        <w:ind w:firstLineChars="200" w:firstLine="480"/>
        <w:jc w:val="both"/>
      </w:pPr>
      <w:r>
        <w:rPr>
          <w:rFonts w:ascii="Times New Roman" w:hAnsi="Times New Roman" w:eastAsia="宋体" w:cs="Times New Roman"/>
          <w:b w:val="0"/>
          <w:sz w:val="24"/>
        </w:rPr>
        <w:t>长三角是检验该框架的适宜区域。其一，夏季湿热、河网密布，蓝色NbS分布广泛，“降气温是否等于降热负荷”在此尤需检验；其二，41城从超大城市到中小城市形态梯度大，背景气候与水网密度亦有差异，可检验形态过滤的异质性与结论外部效度；其三，杭州、上海、南京的手机信令、死亡与住院/医保就诊数据已获得，三城的城市形态与蓝绿空间格局各具代表性</w:t>
      </w:r>
      <w:r>
        <w:rPr>
          <w:rFonts w:ascii="Times New Roman" w:hAnsi="Times New Roman" w:eastAsia="宋体" w:cs="Times New Roman"/>
          <w:b w:val="0"/>
          <w:sz w:val="24"/>
          <w:highlight w:val="yellow"/>
        </w:rPr>
        <w:t>【待补充：具体指标】</w:t>
      </w:r>
      <w:r>
        <w:rPr>
          <w:rFonts w:ascii="Times New Roman" w:hAnsi="Times New Roman" w:eastAsia="宋体" w:cs="Times New Roman"/>
          <w:b w:val="0"/>
          <w:sz w:val="24"/>
        </w:rPr>
        <w:t>，可在乡镇街道尺度完成从可归因降温到健康收益的全链条检验。</w:t>
      </w:r>
    </w:p>
    <w:p>
      <w:pPr>
        <w:keepNext/>
        <w:snapToGrid w:val="0"/>
        <w:spacing w:lineRule="exact" w:line="440" w:before="160" w:after="40"/>
        <w:jc w:val="both"/>
      </w:pPr>
      <w:r>
        <w:rPr>
          <w:rFonts w:ascii="Times New Roman" w:hAnsi="Times New Roman" w:eastAsia="黑体" w:cs="Times New Roman"/>
          <w:b/>
          <w:sz w:val="24"/>
        </w:rPr>
        <w:t>4. 研究意义</w:t>
      </w:r>
    </w:p>
    <w:p>
      <w:pPr>
        <w:snapToGrid w:val="0"/>
        <w:spacing w:lineRule="exact" w:line="440" w:before="0" w:after="0"/>
        <w:ind w:firstLineChars="200" w:firstLine="480"/>
        <w:jc w:val="both"/>
      </w:pPr>
      <w:r>
        <w:rPr>
          <w:rFonts w:ascii="Times New Roman" w:hAnsi="Times New Roman" w:eastAsia="宋体" w:cs="Times New Roman"/>
          <w:b/>
          <w:sz w:val="24"/>
        </w:rPr>
        <w:t>科学意义。</w:t>
      </w:r>
      <w:r>
        <w:rPr>
          <w:rFonts w:ascii="Times New Roman" w:hAnsi="Times New Roman" w:eastAsia="宋体" w:cs="Times New Roman"/>
          <w:b w:val="0"/>
          <w:sz w:val="24"/>
        </w:rPr>
        <w:t>其一，本项目将生态系统服务级联落实为可量化、可经健康结局检验的NbS保护链条，检验“NbS附近测得的降温即人群获得的保护”这一隐含假定在剥离建筑遮荫与城市形态、纳入人群逐时在场后是否仍然成立。以此推动NbS评估从资源供给转向实得保护、环境公平研究从“拥有多少资源”转向“获得多少保护”。其二，所建长三角逐时热暴露数据集（Yangtze River Delta Heat Exposure Surface，YRD-HES）、建筑与冠层遮荫分离方法及DCP测度可验证、可复用。其三，在湿热河网城市群检验蓝色NbS的净效应，并在41城的形态—气候—水网梯度上考察结论的外部效度，可为其他湿热城市群提供可比证据。</w:t>
      </w:r>
    </w:p>
    <w:p>
      <w:pPr>
        <w:snapToGrid w:val="0"/>
        <w:spacing w:lineRule="exact" w:line="440" w:before="0" w:after="0"/>
        <w:ind w:firstLineChars="200" w:firstLine="480"/>
        <w:jc w:val="both"/>
      </w:pPr>
      <w:r>
        <w:rPr>
          <w:rFonts w:ascii="Times New Roman" w:hAnsi="Times New Roman" w:eastAsia="宋体" w:cs="Times New Roman"/>
          <w:b/>
          <w:sz w:val="24"/>
        </w:rPr>
        <w:t>现实意义。</w:t>
      </w:r>
      <w:r>
        <w:rPr>
          <w:rFonts w:ascii="Times New Roman" w:hAnsi="Times New Roman" w:eastAsia="宋体" w:cs="Times New Roman"/>
          <w:b w:val="0"/>
          <w:sz w:val="24"/>
        </w:rPr>
        <w:t>DCP以人·小时为共同单位，可反映降温幅度与绿化率均无法反映的信息：面积相同的绿地或水体，因街谷几何、通风与活动时段不同，实得保护可能相差悬殊，评估由此转向“一项NbS在何时为多少人减少了多少热暴露”。在规划方面，DCP可为城市更新中社区公园、口袋公园与街道绿化的布局，以及气候适应型城市试点与上海适应方案中热岛缓解任务的成效评估提供依据。在风险管理方面，DCP可补充而非替代国家级高温健康风险预警与露天作业分段管理，指明仍缺乏降温保护的作业场所、时段和人群，服务于遮荫设施、工间休息与户外工时安排；对老年人集中的夜间高温地区，可支撑风险沟通与社区支援。若DCP缺口显示某地高温时段缺乏遮荫或可降温的停留场所，可将该地列为公共空间优先改造对象，而非将适应责任转嫁给个人。</w:t>
      </w:r>
    </w:p>
    <w:p>
      <w:pPr>
        <w:snapToGrid w:val="0"/>
        <w:spacing w:lineRule="exact" w:line="440" w:before="160" w:after="40"/>
        <w:jc w:val="both"/>
      </w:pPr>
      <w:r>
        <w:rPr>
          <w:rFonts w:ascii="Times New Roman" w:hAnsi="Times New Roman" w:eastAsia="黑体" w:cs="Times New Roman"/>
          <w:b/>
          <w:sz w:val="24"/>
        </w:rPr>
        <w:t>参考文献</w:t>
      </w:r>
    </w:p>
    <w:p>
      <w:pPr>
        <w:snapToGrid w:val="0"/>
        <w:spacing w:lineRule="exact" w:line="240" w:before="0" w:after="0"/>
        <w:ind w:left="454" w:hanging="454"/>
        <w:jc w:val="left"/>
      </w:pPr>
      <w:r>
        <w:rPr>
          <w:rFonts w:ascii="Times New Roman" w:hAnsi="Times New Roman" w:eastAsia="宋体" w:cs="Times New Roman"/>
          <w:sz w:val="18"/>
        </w:rPr>
        <w:t>[1]</w:t>
        <w:tab/>
      </w:r>
      <w:r>
        <w:rPr>
          <w:rFonts w:ascii="Times New Roman" w:hAnsi="Times New Roman" w:eastAsia="宋体" w:cs="Times New Roman"/>
          <w:sz w:val="18"/>
        </w:rPr>
        <w:t>中国气象局气候变化中心. 中国气候变化蓝皮书（2026）[R]. 北京: 中国气象局气候变化中心, 2026.</w:t>
      </w:r>
    </w:p>
    <w:p>
      <w:pPr>
        <w:snapToGrid w:val="0"/>
        <w:spacing w:lineRule="exact" w:line="240" w:before="0" w:after="0"/>
        <w:ind w:left="454" w:hanging="454"/>
        <w:jc w:val="left"/>
      </w:pPr>
      <w:r>
        <w:rPr>
          <w:rFonts w:ascii="Times New Roman" w:hAnsi="Times New Roman" w:eastAsia="宋体" w:cs="Times New Roman"/>
          <w:sz w:val="18"/>
        </w:rPr>
        <w:t>[2]</w:t>
        <w:tab/>
      </w:r>
      <w:r>
        <w:rPr>
          <w:rFonts w:ascii="Times New Roman" w:hAnsi="Times New Roman" w:eastAsia="宋体" w:cs="Times New Roman"/>
          <w:sz w:val="18"/>
        </w:rPr>
        <w:t>中国气象局气候变化中心. 中国气候变化蓝皮书（2024）[R]. 北京: 中国气象局气候变化中心, 2024.</w:t>
      </w:r>
    </w:p>
    <w:p>
      <w:pPr>
        <w:snapToGrid w:val="0"/>
        <w:spacing w:lineRule="exact" w:line="240" w:before="0" w:after="0"/>
        <w:ind w:left="454" w:hanging="454"/>
        <w:jc w:val="left"/>
      </w:pPr>
      <w:r>
        <w:rPr>
          <w:rFonts w:ascii="Times New Roman" w:hAnsi="Times New Roman" w:eastAsia="宋体" w:cs="Times New Roman"/>
          <w:sz w:val="18"/>
        </w:rPr>
        <w:t>[3]</w:t>
        <w:tab/>
      </w:r>
      <w:r>
        <w:rPr>
          <w:rFonts w:ascii="Times New Roman" w:hAnsi="Times New Roman" w:eastAsia="宋体" w:cs="Times New Roman"/>
          <w:sz w:val="18"/>
        </w:rPr>
        <w:t>中国气象局. 2022年中国气候公报[R]. 北京: 中国气象局, 2023.</w:t>
      </w:r>
    </w:p>
    <w:p>
      <w:pPr>
        <w:snapToGrid w:val="0"/>
        <w:spacing w:lineRule="exact" w:line="240" w:before="0" w:after="0"/>
        <w:ind w:left="454" w:hanging="454"/>
        <w:jc w:val="left"/>
      </w:pPr>
      <w:r>
        <w:rPr>
          <w:rFonts w:ascii="Times New Roman" w:hAnsi="Times New Roman" w:eastAsia="宋体" w:cs="Times New Roman"/>
          <w:sz w:val="18"/>
        </w:rPr>
        <w:t>[4]</w:t>
        <w:tab/>
      </w:r>
      <w:r>
        <w:rPr>
          <w:rFonts w:ascii="Times New Roman" w:hAnsi="Times New Roman" w:eastAsia="宋体" w:cs="Times New Roman"/>
          <w:sz w:val="18"/>
        </w:rPr>
        <w:t>中国气象局. 2022年全国生态气象公报[R]. 北京: 中国气象局, 2023.</w:t>
      </w:r>
    </w:p>
    <w:p>
      <w:pPr>
        <w:snapToGrid w:val="0"/>
        <w:spacing w:lineRule="exact" w:line="240" w:before="0" w:after="0"/>
        <w:ind w:left="454" w:hanging="454"/>
        <w:jc w:val="left"/>
      </w:pPr>
      <w:r>
        <w:rPr>
          <w:rFonts w:ascii="Times New Roman" w:hAnsi="Times New Roman" w:eastAsia="宋体" w:cs="Times New Roman"/>
          <w:sz w:val="18"/>
        </w:rPr>
        <w:t>[5]</w:t>
        <w:tab/>
      </w:r>
      <w:r>
        <w:rPr>
          <w:rFonts w:ascii="Times New Roman" w:hAnsi="Times New Roman" w:eastAsia="宋体" w:cs="Times New Roman"/>
          <w:sz w:val="18"/>
        </w:rPr>
        <w:t>HU J X, ZHUO Y L, HE G H, et al. National mortality burden attributable to the unprecedented heatwave in 2022 in China[J]. Military Medical Research, 2025, 12: 92.</w:t>
      </w:r>
    </w:p>
    <w:p>
      <w:pPr>
        <w:snapToGrid w:val="0"/>
        <w:spacing w:lineRule="exact" w:line="240" w:before="0" w:after="0"/>
        <w:ind w:left="454" w:hanging="454"/>
        <w:jc w:val="left"/>
      </w:pPr>
      <w:r>
        <w:rPr>
          <w:rFonts w:ascii="Times New Roman" w:hAnsi="Times New Roman" w:eastAsia="宋体" w:cs="Times New Roman"/>
          <w:sz w:val="18"/>
        </w:rPr>
        <w:t>[6]</w:t>
        <w:tab/>
      </w:r>
      <w:r>
        <w:rPr>
          <w:rFonts w:ascii="Times New Roman" w:hAnsi="Times New Roman" w:eastAsia="宋体" w:cs="Times New Roman"/>
          <w:sz w:val="18"/>
        </w:rPr>
        <w:t>HE C, KIM H, HASHIZUME M, et al. The effects of night-time warming on mortality burden under future climate change scenarios: a modelling study[J]. The Lancet Planetary Health, 2022, 6(8): e648-e657.</w:t>
      </w:r>
    </w:p>
    <w:p>
      <w:pPr>
        <w:snapToGrid w:val="0"/>
        <w:spacing w:lineRule="exact" w:line="240" w:before="0" w:after="0"/>
        <w:ind w:left="454" w:hanging="454"/>
        <w:jc w:val="left"/>
      </w:pPr>
      <w:r>
        <w:rPr>
          <w:rFonts w:ascii="Times New Roman" w:hAnsi="Times New Roman" w:eastAsia="宋体" w:cs="Times New Roman"/>
          <w:sz w:val="18"/>
        </w:rPr>
        <w:t>[7]</w:t>
        <w:tab/>
      </w:r>
      <w:r>
        <w:rPr>
          <w:rFonts w:ascii="Times New Roman" w:hAnsi="Times New Roman" w:eastAsia="宋体" w:cs="Times New Roman"/>
          <w:sz w:val="18"/>
        </w:rPr>
        <w:t>CHEN R, YIN P, WANG L, et al. Association between ambient temperature and mortality risk and burden: time series study in 272 main Chinese cities[J]. BMJ, 2018, 363: k4306.</w:t>
      </w:r>
    </w:p>
    <w:p>
      <w:pPr>
        <w:snapToGrid w:val="0"/>
        <w:spacing w:lineRule="exact" w:line="240" w:before="0" w:after="0"/>
        <w:ind w:left="454" w:hanging="454"/>
        <w:jc w:val="left"/>
      </w:pPr>
      <w:r>
        <w:rPr>
          <w:rFonts w:ascii="Times New Roman" w:hAnsi="Times New Roman" w:eastAsia="宋体" w:cs="Times New Roman"/>
          <w:sz w:val="18"/>
        </w:rPr>
        <w:t>[8]</w:t>
        <w:tab/>
      </w:r>
      <w:r>
        <w:rPr>
          <w:rFonts w:ascii="Times New Roman" w:hAnsi="Times New Roman" w:eastAsia="宋体" w:cs="Times New Roman"/>
          <w:sz w:val="18"/>
        </w:rPr>
        <w:t>EBI K L, CAPON A, BERRY P, et al. Hot weather and heat extremes: health risks[J]. The Lancet, 2021, 398(10301): 698-708.</w:t>
      </w:r>
    </w:p>
    <w:p>
      <w:pPr>
        <w:snapToGrid w:val="0"/>
        <w:spacing w:lineRule="exact" w:line="240" w:before="0" w:after="0"/>
        <w:ind w:left="454" w:hanging="454"/>
        <w:jc w:val="left"/>
      </w:pPr>
      <w:r>
        <w:rPr>
          <w:rFonts w:ascii="Times New Roman" w:hAnsi="Times New Roman" w:eastAsia="宋体" w:cs="Times New Roman"/>
          <w:sz w:val="18"/>
        </w:rPr>
        <w:t>[9]</w:t>
        <w:tab/>
      </w:r>
      <w:r>
        <w:rPr>
          <w:rFonts w:ascii="Times New Roman" w:hAnsi="Times New Roman" w:eastAsia="宋体" w:cs="Times New Roman"/>
          <w:sz w:val="18"/>
        </w:rPr>
        <w:t>CHEN K, ZHOU L, CHEN X, et al. Urbanization level and vulnerability to heat-related mortality in Jiangsu Province, China[J]. Environmental Health Perspectives, 2016, 124(12): 1863-1869.</w:t>
      </w:r>
    </w:p>
    <w:p>
      <w:pPr>
        <w:snapToGrid w:val="0"/>
        <w:spacing w:lineRule="exact" w:line="240" w:before="0" w:after="0"/>
        <w:ind w:left="454" w:hanging="454"/>
        <w:jc w:val="left"/>
      </w:pPr>
      <w:r>
        <w:rPr>
          <w:rFonts w:ascii="Times New Roman" w:hAnsi="Times New Roman" w:eastAsia="宋体" w:cs="Times New Roman"/>
          <w:sz w:val="18"/>
        </w:rPr>
        <w:t>[10]</w:t>
        <w:tab/>
      </w:r>
      <w:r>
        <w:rPr>
          <w:rFonts w:ascii="Times New Roman" w:hAnsi="Times New Roman" w:eastAsia="宋体" w:cs="Times New Roman"/>
          <w:sz w:val="18"/>
        </w:rPr>
        <w:t>TAN J, ZHENG Y, TANG X, et al. The urban heat island and its impact on heat waves and human health in Shanghai[J]. International Journal of Biometeorology, 2010, 54(1): 75-84.</w:t>
      </w:r>
    </w:p>
    <w:p>
      <w:pPr>
        <w:snapToGrid w:val="0"/>
        <w:spacing w:lineRule="exact" w:line="240" w:before="0" w:after="0"/>
        <w:ind w:left="454" w:hanging="454"/>
        <w:jc w:val="left"/>
      </w:pPr>
      <w:r>
        <w:rPr>
          <w:rFonts w:ascii="Times New Roman" w:hAnsi="Times New Roman" w:eastAsia="宋体" w:cs="Times New Roman"/>
          <w:sz w:val="18"/>
        </w:rPr>
        <w:t>[11]</w:t>
        <w:tab/>
      </w:r>
      <w:r>
        <w:rPr>
          <w:rFonts w:ascii="Times New Roman" w:hAnsi="Times New Roman" w:eastAsia="宋体" w:cs="Times New Roman"/>
          <w:sz w:val="18"/>
        </w:rPr>
        <w:t>国家统计局, 国务院第七次全国人口普查领导小组办公室. 第七次全国人口普查公报（第五号）：人口年龄构成情况[EB/OL]. (2021-05-11)[2026-10-05]. https://www.stats.gov.cn/sj/zxfb/202302/t20230203_1901085.html.</w:t>
      </w:r>
    </w:p>
    <w:p>
      <w:pPr>
        <w:snapToGrid w:val="0"/>
        <w:spacing w:lineRule="exact" w:line="240" w:before="0" w:after="0"/>
        <w:ind w:left="454" w:hanging="454"/>
        <w:jc w:val="left"/>
      </w:pPr>
      <w:r>
        <w:rPr>
          <w:rFonts w:ascii="Times New Roman" w:hAnsi="Times New Roman" w:eastAsia="宋体" w:cs="Times New Roman"/>
          <w:sz w:val="18"/>
        </w:rPr>
        <w:t>[12]</w:t>
        <w:tab/>
      </w:r>
      <w:r>
        <w:rPr>
          <w:rFonts w:ascii="Times New Roman" w:hAnsi="Times New Roman" w:eastAsia="宋体" w:cs="Times New Roman"/>
          <w:sz w:val="18"/>
        </w:rPr>
        <w:t>YANG J, ZHOU M, REN Z, et al. Projecting heat-related excess mortality under climate change scenarios in China[J]. Nature Communications, 2021, 12: 1039.</w:t>
      </w:r>
    </w:p>
    <w:p>
      <w:pPr>
        <w:snapToGrid w:val="0"/>
        <w:spacing w:lineRule="exact" w:line="240" w:before="0" w:after="0"/>
        <w:ind w:left="454" w:hanging="454"/>
        <w:jc w:val="left"/>
      </w:pPr>
      <w:r>
        <w:rPr>
          <w:rFonts w:ascii="Times New Roman" w:hAnsi="Times New Roman" w:eastAsia="宋体" w:cs="Times New Roman"/>
          <w:sz w:val="18"/>
        </w:rPr>
        <w:t>[13]</w:t>
        <w:tab/>
      </w:r>
      <w:r>
        <w:rPr>
          <w:rFonts w:ascii="Times New Roman" w:hAnsi="Times New Roman" w:eastAsia="宋体" w:cs="Times New Roman"/>
          <w:sz w:val="18"/>
        </w:rPr>
        <w:t>FLOURIS A D, DINAS P C, IOANNOU L G, et al. Workers' health and productivity under occupational heat strain: a systematic review and meta-analysis[J]. The Lancet Planetary Health, 2018, 2(12): e521-e531.</w:t>
      </w:r>
    </w:p>
    <w:p>
      <w:pPr>
        <w:snapToGrid w:val="0"/>
        <w:spacing w:lineRule="exact" w:line="240" w:before="0" w:after="0"/>
        <w:ind w:left="454" w:hanging="454"/>
        <w:jc w:val="left"/>
      </w:pPr>
      <w:r>
        <w:rPr>
          <w:rFonts w:ascii="Times New Roman" w:hAnsi="Times New Roman" w:eastAsia="宋体" w:cs="Times New Roman"/>
          <w:sz w:val="18"/>
        </w:rPr>
        <w:t>[14]</w:t>
        <w:tab/>
      </w:r>
      <w:r>
        <w:rPr>
          <w:rFonts w:ascii="Times New Roman" w:hAnsi="Times New Roman" w:eastAsia="宋体" w:cs="Times New Roman"/>
          <w:sz w:val="18"/>
        </w:rPr>
        <w:t>国家安全生产监督管理总局, 卫生部, 人力资源和社会保障部, 中华全国总工会. 防暑降温措施管理办法：安监总安健〔2012〕89号[Z]. 2012-06-29.</w:t>
      </w:r>
    </w:p>
    <w:p>
      <w:pPr>
        <w:snapToGrid w:val="0"/>
        <w:spacing w:lineRule="exact" w:line="240" w:before="0" w:after="0"/>
        <w:ind w:left="454" w:hanging="454"/>
        <w:jc w:val="left"/>
      </w:pPr>
      <w:r>
        <w:rPr>
          <w:rFonts w:ascii="Times New Roman" w:hAnsi="Times New Roman" w:eastAsia="宋体" w:cs="Times New Roman"/>
          <w:sz w:val="18"/>
        </w:rPr>
        <w:t>[15]</w:t>
        <w:tab/>
      </w:r>
      <w:r>
        <w:rPr>
          <w:rFonts w:ascii="Times New Roman" w:hAnsi="Times New Roman" w:eastAsia="宋体" w:cs="Times New Roman"/>
          <w:sz w:val="18"/>
        </w:rPr>
        <w:t>人力资源社会保障部办公厅. 关于做好2025年高温天气劳动者权益保障工作的通知：人社厅函〔2025〕113号[Z]. 2025.</w:t>
      </w:r>
    </w:p>
    <w:p>
      <w:pPr>
        <w:snapToGrid w:val="0"/>
        <w:spacing w:lineRule="exact" w:line="240" w:before="0" w:after="0"/>
        <w:ind w:left="454" w:hanging="454"/>
        <w:jc w:val="left"/>
      </w:pPr>
      <w:r>
        <w:rPr>
          <w:rFonts w:ascii="Times New Roman" w:hAnsi="Times New Roman" w:eastAsia="宋体" w:cs="Times New Roman"/>
          <w:sz w:val="18"/>
        </w:rPr>
        <w:t>[16]</w:t>
        <w:tab/>
      </w:r>
      <w:r>
        <w:rPr>
          <w:rFonts w:ascii="Times New Roman" w:hAnsi="Times New Roman" w:eastAsia="宋体" w:cs="Times New Roman"/>
          <w:sz w:val="18"/>
        </w:rPr>
        <w:t>中共中央, 国务院. 长江三角洲区域一体化发展规划纲要[EB/OL]. (2019-12-01)[2026-10-05]. https://www.ndrc.gov.cn/xwdt/ztzl/cjsjyth1/ghzc/202007/t20200728_1234708.html.</w:t>
      </w:r>
    </w:p>
    <w:p>
      <w:pPr>
        <w:snapToGrid w:val="0"/>
        <w:spacing w:lineRule="exact" w:line="240" w:before="0" w:after="0"/>
        <w:ind w:left="454" w:hanging="454"/>
        <w:jc w:val="left"/>
      </w:pPr>
      <w:r>
        <w:rPr>
          <w:rFonts w:ascii="Times New Roman" w:hAnsi="Times New Roman" w:eastAsia="宋体" w:cs="Times New Roman"/>
          <w:sz w:val="18"/>
        </w:rPr>
        <w:t>[17]</w:t>
        <w:tab/>
      </w:r>
      <w:r>
        <w:rPr>
          <w:rFonts w:ascii="Times New Roman" w:hAnsi="Times New Roman" w:eastAsia="宋体" w:cs="Times New Roman"/>
          <w:sz w:val="18"/>
        </w:rPr>
        <w:t>水利部太湖流域管理局. 太湖流域综合规划（2012—2030年）简要文本[R/OL]. (2014-04)[2026-10-05]. https://www.tba.gov.cn/slbthlyglj/upload/1b7e982e-bcbc-4c5c-88df-d2a163dc2893.pdf.</w:t>
      </w:r>
    </w:p>
    <w:p>
      <w:pPr>
        <w:snapToGrid w:val="0"/>
        <w:spacing w:lineRule="exact" w:line="240" w:before="0" w:after="0"/>
        <w:ind w:left="454" w:hanging="454"/>
        <w:jc w:val="left"/>
      </w:pPr>
      <w:r>
        <w:rPr>
          <w:rFonts w:ascii="Times New Roman" w:hAnsi="Times New Roman" w:eastAsia="宋体" w:cs="Times New Roman"/>
          <w:sz w:val="18"/>
        </w:rPr>
        <w:t>[18]</w:t>
        <w:tab/>
      </w:r>
      <w:r>
        <w:rPr>
          <w:rFonts w:ascii="Times New Roman" w:hAnsi="Times New Roman" w:eastAsia="宋体" w:cs="Times New Roman"/>
          <w:sz w:val="18"/>
        </w:rPr>
        <w:t>ZHOU W, ZHANG L, WANG G, et al. Impacts of urban expansion on air temperature and humidity during 2022 mega-heatwave over the Yangtze River Delta, China[J]. Science of the Total Environment, 2024, 951: 175804.</w:t>
      </w:r>
    </w:p>
    <w:p>
      <w:pPr>
        <w:snapToGrid w:val="0"/>
        <w:spacing w:lineRule="exact" w:line="240" w:before="0" w:after="0"/>
        <w:ind w:left="454" w:hanging="454"/>
        <w:jc w:val="left"/>
      </w:pPr>
      <w:r>
        <w:rPr>
          <w:rFonts w:ascii="Times New Roman" w:hAnsi="Times New Roman" w:eastAsia="宋体" w:cs="Times New Roman"/>
          <w:sz w:val="18"/>
        </w:rPr>
        <w:t>[19]</w:t>
        <w:tab/>
      </w:r>
      <w:r>
        <w:rPr>
          <w:rFonts w:ascii="Times New Roman" w:hAnsi="Times New Roman" w:eastAsia="宋体" w:cs="Times New Roman"/>
          <w:sz w:val="18"/>
        </w:rPr>
        <w:t>生态环境部, 国家发展和改革委员会, 科学技术部, 等. 国家适应气候变化战略2035[EB/OL]. (2022-06-13)[2026-10-05]. https://www.mee.gov.cn/xxgk2018/xxgk/xxgk03/202206/W020220613636562919192.pdf.</w:t>
      </w:r>
    </w:p>
    <w:p>
      <w:pPr>
        <w:snapToGrid w:val="0"/>
        <w:spacing w:lineRule="exact" w:line="240" w:before="0" w:after="0"/>
        <w:ind w:left="454" w:hanging="454"/>
        <w:jc w:val="left"/>
      </w:pPr>
      <w:r>
        <w:rPr>
          <w:rFonts w:ascii="Times New Roman" w:hAnsi="Times New Roman" w:eastAsia="宋体" w:cs="Times New Roman"/>
          <w:sz w:val="18"/>
        </w:rPr>
        <w:t>[20]</w:t>
        <w:tab/>
      </w:r>
      <w:r>
        <w:rPr>
          <w:rFonts w:ascii="Times New Roman" w:hAnsi="Times New Roman" w:eastAsia="宋体" w:cs="Times New Roman"/>
          <w:sz w:val="18"/>
        </w:rPr>
        <w:t>生态环境部, 等. 关于印发深化气候适应型城市建设试点名单的通知[EB/OL]. (2024-05-15)[2026-10-05]. http://www.ncsc.org.cn/xwdt/gnxw/202405/t20240515_1073324.shtml.</w:t>
      </w:r>
    </w:p>
    <w:p>
      <w:pPr>
        <w:snapToGrid w:val="0"/>
        <w:spacing w:lineRule="exact" w:line="240" w:before="0" w:after="0"/>
        <w:ind w:left="454" w:hanging="454"/>
        <w:jc w:val="left"/>
      </w:pPr>
      <w:r>
        <w:rPr>
          <w:rFonts w:ascii="Times New Roman" w:hAnsi="Times New Roman" w:eastAsia="宋体" w:cs="Times New Roman"/>
          <w:sz w:val="18"/>
        </w:rPr>
        <w:t>[21]</w:t>
        <w:tab/>
      </w:r>
      <w:r>
        <w:rPr>
          <w:rFonts w:ascii="Times New Roman" w:hAnsi="Times New Roman" w:eastAsia="宋体" w:cs="Times New Roman"/>
          <w:sz w:val="18"/>
        </w:rPr>
        <w:t>上海市生态文明建设领导小组办公室. 上海市适应气候变化行动方案（2024—2035年）[Z]. 上海: 上海市生态文明建设领导小组办公室, 2024.</w:t>
      </w:r>
    </w:p>
    <w:p>
      <w:pPr>
        <w:snapToGrid w:val="0"/>
        <w:spacing w:lineRule="exact" w:line="240" w:before="0" w:after="0"/>
        <w:ind w:left="454" w:hanging="454"/>
        <w:jc w:val="left"/>
      </w:pPr>
      <w:r>
        <w:rPr>
          <w:rFonts w:ascii="Times New Roman" w:hAnsi="Times New Roman" w:eastAsia="宋体" w:cs="Times New Roman"/>
          <w:sz w:val="18"/>
        </w:rPr>
        <w:t>[22]</w:t>
        <w:tab/>
      </w:r>
      <w:r>
        <w:rPr>
          <w:rFonts w:ascii="Times New Roman" w:hAnsi="Times New Roman" w:eastAsia="宋体" w:cs="Times New Roman"/>
          <w:sz w:val="18"/>
        </w:rPr>
        <w:t>中共中央办公厅, 国务院办公厅. 关于持续推进城市更新行动的意见[EB/OL]. (2025-05-15)[2026-10-05]. https://www.news.cn/politics/zywj/20250515/718a2669be97416f9b0b2d9fe667a228/c.html.</w:t>
      </w:r>
    </w:p>
    <w:p>
      <w:pPr>
        <w:snapToGrid w:val="0"/>
        <w:spacing w:lineRule="exact" w:line="240" w:before="0" w:after="0"/>
        <w:ind w:left="454" w:hanging="454"/>
        <w:jc w:val="left"/>
      </w:pPr>
      <w:r>
        <w:rPr>
          <w:rFonts w:ascii="Times New Roman" w:hAnsi="Times New Roman" w:eastAsia="宋体" w:cs="Times New Roman"/>
          <w:sz w:val="18"/>
        </w:rPr>
        <w:t>[23]</w:t>
        <w:tab/>
      </w:r>
      <w:r>
        <w:rPr>
          <w:rFonts w:ascii="Times New Roman" w:hAnsi="Times New Roman" w:eastAsia="宋体" w:cs="Times New Roman"/>
          <w:sz w:val="18"/>
        </w:rPr>
        <w:t>VÖLKER S, BAUMEISTER H, CLASSEN T, et al. Evidence for the temperature-mitigating capacity of urban blue space: a health geographic perspective[J]. Erdkunde, 2013, 67(4): 355-371.</w:t>
      </w:r>
    </w:p>
    <w:p>
      <w:pPr>
        <w:snapToGrid w:val="0"/>
        <w:spacing w:lineRule="exact" w:line="240" w:before="0" w:after="0"/>
        <w:ind w:left="454" w:hanging="454"/>
        <w:jc w:val="left"/>
      </w:pPr>
      <w:r>
        <w:rPr>
          <w:rFonts w:ascii="Times New Roman" w:hAnsi="Times New Roman" w:eastAsia="宋体" w:cs="Times New Roman"/>
          <w:sz w:val="18"/>
        </w:rPr>
        <w:t>[24]</w:t>
        <w:tab/>
      </w:r>
      <w:r>
        <w:rPr>
          <w:rFonts w:ascii="Times New Roman" w:hAnsi="Times New Roman" w:eastAsia="宋体" w:cs="Times New Roman"/>
          <w:sz w:val="18"/>
        </w:rPr>
        <w:t>JACOBS C, KLOK L, BRUSE M, et al. Are urban water bodies really cooling?[J]. Urban Climate, 2020, 32: 100607.</w:t>
      </w:r>
    </w:p>
    <w:p>
      <w:pPr>
        <w:snapToGrid w:val="0"/>
        <w:spacing w:lineRule="exact" w:line="240" w:before="0" w:after="0"/>
        <w:ind w:left="454" w:hanging="454"/>
        <w:jc w:val="left"/>
      </w:pPr>
      <w:r>
        <w:rPr>
          <w:rFonts w:ascii="Times New Roman" w:hAnsi="Times New Roman" w:eastAsia="宋体" w:cs="Times New Roman"/>
          <w:sz w:val="18"/>
        </w:rPr>
        <w:t>[25]</w:t>
        <w:tab/>
      </w:r>
      <w:r>
        <w:rPr>
          <w:rFonts w:ascii="Times New Roman" w:hAnsi="Times New Roman" w:eastAsia="宋体" w:cs="Times New Roman"/>
          <w:sz w:val="18"/>
        </w:rPr>
        <w:t>LU Y, WU J, LIU M. Decoding the cooling potential of urban green spaces: a cross-city investigation of driving factors in 311 Chinese cities under varying climate zones[J]. Sustainable Cities and Society, 2025, 126: 106410.</w:t>
      </w:r>
    </w:p>
    <w:p>
      <w:pPr>
        <w:snapToGrid w:val="0"/>
        <w:spacing w:lineRule="exact" w:line="240" w:before="0" w:after="0"/>
        <w:ind w:left="454" w:hanging="454"/>
        <w:jc w:val="left"/>
      </w:pPr>
      <w:r>
        <w:rPr>
          <w:rFonts w:ascii="Times New Roman" w:hAnsi="Times New Roman" w:eastAsia="宋体" w:cs="Times New Roman"/>
          <w:sz w:val="18"/>
        </w:rPr>
        <w:t>[26]</w:t>
        <w:tab/>
      </w:r>
      <w:r>
        <w:rPr>
          <w:rFonts w:ascii="Times New Roman" w:hAnsi="Times New Roman" w:eastAsia="宋体" w:cs="Times New Roman"/>
          <w:sz w:val="18"/>
        </w:rPr>
        <w:t>SHENG Q, JI Y, JIA C, et al. Differential effects of cooling and humidification in urban green spaces and thresholds of vegetation community structure parameters: a case study of the Yangtze River Delta region[J]. Cities, 2025, 159: 105765.</w:t>
      </w:r>
    </w:p>
    <w:p>
      <w:pPr>
        <w:snapToGrid w:val="0"/>
        <w:spacing w:lineRule="exact" w:line="240" w:before="0" w:after="0"/>
        <w:ind w:left="454" w:hanging="454"/>
        <w:jc w:val="left"/>
      </w:pPr>
      <w:r>
        <w:rPr>
          <w:rFonts w:ascii="Times New Roman" w:hAnsi="Times New Roman" w:eastAsia="宋体" w:cs="Times New Roman"/>
          <w:sz w:val="18"/>
        </w:rPr>
        <w:t>[27]</w:t>
        <w:tab/>
      </w:r>
      <w:r>
        <w:rPr>
          <w:rFonts w:ascii="Times New Roman" w:hAnsi="Times New Roman" w:eastAsia="宋体" w:cs="Times New Roman"/>
          <w:sz w:val="18"/>
        </w:rPr>
        <w:t>JIANG L, LIU S, LIU C, et al. How do urban spatial patterns influence the river cooling effect? A case study of the Huangpu Riverfront in Shanghai, China[J]. Sustainable Cities and Society, 2021, 69: 102835.</w:t>
      </w:r>
    </w:p>
    <w:p>
      <w:pPr>
        <w:snapToGrid w:val="0"/>
        <w:spacing w:lineRule="exact" w:line="240" w:before="0" w:after="0"/>
        <w:ind w:left="454" w:hanging="454"/>
        <w:jc w:val="left"/>
      </w:pPr>
      <w:r>
        <w:rPr>
          <w:rFonts w:ascii="Times New Roman" w:hAnsi="Times New Roman" w:eastAsia="宋体" w:cs="Times New Roman"/>
          <w:sz w:val="18"/>
        </w:rPr>
        <w:t>[28]</w:t>
        <w:tab/>
      </w:r>
      <w:r>
        <w:rPr>
          <w:rFonts w:ascii="Times New Roman" w:hAnsi="Times New Roman" w:eastAsia="宋体" w:cs="Times New Roman"/>
          <w:sz w:val="18"/>
        </w:rPr>
        <w:t>CAI M, REN C, XU Y, et al. Investigating the relationship between local climate zone and land surface temperature using an improved WUDAPT methodology: a case study of Yangtze River Delta, China[J]. Urban Climate, 2018, 24: 485-502.</w:t>
      </w:r>
    </w:p>
    <w:p>
      <w:pPr>
        <w:snapToGrid w:val="0"/>
        <w:spacing w:lineRule="exact" w:line="240" w:before="0" w:after="0"/>
        <w:ind w:left="454" w:hanging="454"/>
        <w:jc w:val="left"/>
      </w:pPr>
      <w:r>
        <w:rPr>
          <w:rFonts w:ascii="Times New Roman" w:hAnsi="Times New Roman" w:eastAsia="宋体" w:cs="Times New Roman"/>
          <w:sz w:val="18"/>
        </w:rPr>
        <w:t>[29]</w:t>
        <w:tab/>
      </w:r>
      <w:r>
        <w:rPr>
          <w:rFonts w:ascii="Times New Roman" w:hAnsi="Times New Roman" w:eastAsia="宋体" w:cs="Times New Roman"/>
          <w:sz w:val="18"/>
        </w:rPr>
        <w:t>VENTER Z S, CHAKRABORTY T, LEE X. Crowdsourced air temperatures contrast satellite measures of the urban heat island and its mechanisms[J]. Science Advances, 2021, 7(22): eabb9569.</w:t>
      </w:r>
    </w:p>
    <w:p>
      <w:pPr>
        <w:snapToGrid w:val="0"/>
        <w:spacing w:lineRule="exact" w:line="240" w:before="0" w:after="0"/>
        <w:ind w:left="454" w:hanging="454"/>
        <w:jc w:val="left"/>
      </w:pPr>
      <w:r>
        <w:rPr>
          <w:rFonts w:ascii="Times New Roman" w:hAnsi="Times New Roman" w:eastAsia="宋体" w:cs="Times New Roman"/>
          <w:sz w:val="18"/>
        </w:rPr>
        <w:t>[30]</w:t>
        <w:tab/>
      </w:r>
      <w:r>
        <w:rPr>
          <w:rFonts w:ascii="Times New Roman" w:hAnsi="Times New Roman" w:eastAsia="宋体" w:cs="Times New Roman"/>
          <w:sz w:val="18"/>
        </w:rPr>
        <w:t>BRÖDE P, FIALA D, BŁAŻEJCZYK K, et al. Deriving the operational procedure for the Universal Thermal Climate Index (UTCI)[J]. International Journal of Biometeorology, 2012, 56(3): 481-494.</w:t>
      </w:r>
    </w:p>
    <w:p>
      <w:pPr>
        <w:snapToGrid w:val="0"/>
        <w:spacing w:lineRule="exact" w:line="240" w:before="0" w:after="0"/>
        <w:ind w:left="454" w:hanging="454"/>
        <w:jc w:val="left"/>
      </w:pPr>
      <w:r>
        <w:rPr>
          <w:rFonts w:ascii="Times New Roman" w:hAnsi="Times New Roman" w:eastAsia="宋体" w:cs="Times New Roman"/>
          <w:sz w:val="18"/>
        </w:rPr>
        <w:t>[31]</w:t>
        <w:tab/>
      </w:r>
      <w:r>
        <w:rPr>
          <w:rFonts w:ascii="Times New Roman" w:hAnsi="Times New Roman" w:eastAsia="宋体" w:cs="Times New Roman"/>
          <w:sz w:val="18"/>
        </w:rPr>
        <w:t>QIU L, MA H, YUAN H, et al. Quantify the shading effects on alleviating human thermal stress across different local climate zones in the Yangtze River Delta[J]. Building and Environment, 2025, 282: 113249.</w:t>
      </w:r>
    </w:p>
    <w:p>
      <w:pPr>
        <w:snapToGrid w:val="0"/>
        <w:spacing w:lineRule="exact" w:line="240" w:before="0" w:after="0"/>
        <w:ind w:left="454" w:hanging="454"/>
        <w:jc w:val="left"/>
      </w:pPr>
      <w:r>
        <w:rPr>
          <w:rFonts w:ascii="Times New Roman" w:hAnsi="Times New Roman" w:eastAsia="宋体" w:cs="Times New Roman"/>
          <w:sz w:val="18"/>
        </w:rPr>
        <w:t>[32]</w:t>
        <w:tab/>
      </w:r>
      <w:r>
        <w:rPr>
          <w:rFonts w:ascii="Times New Roman" w:hAnsi="Times New Roman" w:eastAsia="宋体" w:cs="Times New Roman"/>
          <w:sz w:val="18"/>
        </w:rPr>
        <w:t>CHEN J, ZHAN W, JIN S, et al. Separate and combined impacts of building and tree on urban thermal environment from two- and three-dimensional perspectives[J]. Building and Environment, 2021, 194: 107650.</w:t>
      </w:r>
    </w:p>
    <w:p>
      <w:pPr>
        <w:snapToGrid w:val="0"/>
        <w:spacing w:lineRule="exact" w:line="240" w:before="0" w:after="0"/>
        <w:ind w:left="454" w:hanging="454"/>
        <w:jc w:val="left"/>
      </w:pPr>
      <w:r>
        <w:rPr>
          <w:rFonts w:ascii="Times New Roman" w:hAnsi="Times New Roman" w:eastAsia="宋体" w:cs="Times New Roman"/>
          <w:sz w:val="18"/>
        </w:rPr>
        <w:t>[33]</w:t>
        <w:tab/>
      </w:r>
      <w:r>
        <w:rPr>
          <w:rFonts w:ascii="Times New Roman" w:hAnsi="Times New Roman" w:eastAsia="宋体" w:cs="Times New Roman"/>
          <w:sz w:val="18"/>
        </w:rPr>
        <w:t>OU Y, LI X, ZHANG A, et al. Impacts of China's Sponge City projects on urban thermal environments: a synthetic control approach[J]. City and Environment Interactions, 2026, 31: 100454.</w:t>
      </w:r>
    </w:p>
    <w:p>
      <w:pPr>
        <w:snapToGrid w:val="0"/>
        <w:spacing w:lineRule="exact" w:line="240" w:before="0" w:after="0"/>
        <w:ind w:left="454" w:hanging="454"/>
        <w:jc w:val="left"/>
      </w:pPr>
      <w:r>
        <w:rPr>
          <w:rFonts w:ascii="Times New Roman" w:hAnsi="Times New Roman" w:eastAsia="宋体" w:cs="Times New Roman"/>
          <w:sz w:val="18"/>
        </w:rPr>
        <w:t>[34]</w:t>
        <w:tab/>
      </w:r>
      <w:r>
        <w:rPr>
          <w:rFonts w:ascii="Times New Roman" w:hAnsi="Times New Roman" w:eastAsia="宋体" w:cs="Times New Roman"/>
          <w:sz w:val="18"/>
        </w:rPr>
        <w:t>KWAN M P. The uncertain geographic context problem[J]. Annals of the Association of American Geographers, 2012, 102(5): 958-968.</w:t>
      </w:r>
    </w:p>
    <w:p>
      <w:pPr>
        <w:snapToGrid w:val="0"/>
        <w:spacing w:lineRule="exact" w:line="240" w:before="0" w:after="0"/>
        <w:ind w:left="454" w:hanging="454"/>
        <w:jc w:val="left"/>
      </w:pPr>
      <w:r>
        <w:rPr>
          <w:rFonts w:ascii="Times New Roman" w:hAnsi="Times New Roman" w:eastAsia="宋体" w:cs="Times New Roman"/>
          <w:sz w:val="18"/>
        </w:rPr>
        <w:t>[35]</w:t>
        <w:tab/>
      </w:r>
      <w:r>
        <w:rPr>
          <w:rFonts w:ascii="Times New Roman" w:hAnsi="Times New Roman" w:eastAsia="宋体" w:cs="Times New Roman"/>
          <w:sz w:val="18"/>
        </w:rPr>
        <w:t>YIN Y, GRUNDSTEIN A, MISHRA D R, et al. DTEx: a dynamic urban thermal exposure index based on human mobility patterns[J]. Environment International, 2021, 155: 106573.</w:t>
      </w:r>
    </w:p>
    <w:p>
      <w:pPr>
        <w:snapToGrid w:val="0"/>
        <w:spacing w:lineRule="exact" w:line="240" w:before="0" w:after="0"/>
        <w:ind w:left="454" w:hanging="454"/>
        <w:jc w:val="left"/>
      </w:pPr>
      <w:r>
        <w:rPr>
          <w:rFonts w:ascii="Times New Roman" w:hAnsi="Times New Roman" w:eastAsia="宋体" w:cs="Times New Roman"/>
          <w:sz w:val="18"/>
        </w:rPr>
        <w:t>[36]</w:t>
        <w:tab/>
      </w:r>
      <w:r>
        <w:rPr>
          <w:rFonts w:ascii="Times New Roman" w:hAnsi="Times New Roman" w:eastAsia="宋体" w:cs="Times New Roman"/>
          <w:sz w:val="18"/>
        </w:rPr>
        <w:t>XIE C, HUANG B, LIU X, et al. Population exposure to heatwaves in Shenzhen based on mobile phone location data[J]. Progress in Geography, 2020, 39(2): 231-242.</w:t>
      </w:r>
    </w:p>
    <w:p>
      <w:pPr>
        <w:snapToGrid w:val="0"/>
        <w:spacing w:lineRule="exact" w:line="240" w:before="0" w:after="0"/>
        <w:ind w:left="454" w:hanging="454"/>
        <w:jc w:val="left"/>
      </w:pPr>
      <w:r>
        <w:rPr>
          <w:rFonts w:ascii="Times New Roman" w:hAnsi="Times New Roman" w:eastAsia="宋体" w:cs="Times New Roman"/>
          <w:sz w:val="18"/>
        </w:rPr>
        <w:t>[37]</w:t>
        <w:tab/>
      </w:r>
      <w:r>
        <w:rPr>
          <w:rFonts w:ascii="Times New Roman" w:hAnsi="Times New Roman" w:eastAsia="宋体" w:cs="Times New Roman"/>
          <w:sz w:val="18"/>
        </w:rPr>
        <w:t>赵欣, 赵凯旭, 黄晓军. 基于ECOSTRESS地表温度和手机信令数据的城市人口热环境暴露风险评价——以西安市为例[J]. 地理科学进展, 2022, 41(11): 2061-2072.</w:t>
      </w:r>
    </w:p>
    <w:p>
      <w:pPr>
        <w:snapToGrid w:val="0"/>
        <w:spacing w:lineRule="exact" w:line="240" w:before="0" w:after="0"/>
        <w:ind w:left="454" w:hanging="454"/>
        <w:jc w:val="left"/>
      </w:pPr>
      <w:r>
        <w:rPr>
          <w:rFonts w:ascii="Times New Roman" w:hAnsi="Times New Roman" w:eastAsia="宋体" w:cs="Times New Roman"/>
          <w:sz w:val="18"/>
        </w:rPr>
        <w:t>[38]</w:t>
        <w:tab/>
      </w:r>
      <w:r>
        <w:rPr>
          <w:rFonts w:ascii="Times New Roman" w:hAnsi="Times New Roman" w:eastAsia="宋体" w:cs="Times New Roman"/>
          <w:sz w:val="18"/>
        </w:rPr>
        <w:t>LU Y, KIM J, SHU X, et al. Confronting the controversy over neighborhood effect bias in green exposure: using large-scale multi-temporal mobile signal data[J]. Landscape and Urban Planning, 2025, 253: 105222.</w:t>
      </w:r>
    </w:p>
    <w:p>
      <w:pPr>
        <w:snapToGrid w:val="0"/>
        <w:spacing w:lineRule="exact" w:line="240" w:before="0" w:after="0"/>
        <w:ind w:left="454" w:hanging="454"/>
        <w:jc w:val="left"/>
      </w:pPr>
      <w:r>
        <w:rPr>
          <w:rFonts w:ascii="Times New Roman" w:hAnsi="Times New Roman" w:eastAsia="宋体" w:cs="Times New Roman"/>
          <w:sz w:val="18"/>
        </w:rPr>
        <w:t>[39]</w:t>
        <w:tab/>
      </w:r>
      <w:r>
        <w:rPr>
          <w:rFonts w:ascii="Times New Roman" w:hAnsi="Times New Roman" w:eastAsia="宋体" w:cs="Times New Roman"/>
          <w:sz w:val="18"/>
        </w:rPr>
        <w:t>LIANG Y, WANG D. Heatwaves reduce intra- and intercity human mobility in China[J]. Environmental Research Letters, 2025, 20(12): 124027.</w:t>
      </w:r>
    </w:p>
    <w:p>
      <w:pPr>
        <w:snapToGrid w:val="0"/>
        <w:spacing w:lineRule="exact" w:line="240" w:before="0" w:after="0"/>
        <w:ind w:left="454" w:hanging="454"/>
        <w:jc w:val="left"/>
      </w:pPr>
      <w:r>
        <w:rPr>
          <w:rFonts w:ascii="Times New Roman" w:hAnsi="Times New Roman" w:eastAsia="宋体" w:cs="Times New Roman"/>
          <w:sz w:val="18"/>
        </w:rPr>
        <w:t>[40]</w:t>
        <w:tab/>
      </w:r>
      <w:r>
        <w:rPr>
          <w:rFonts w:ascii="Times New Roman" w:hAnsi="Times New Roman" w:eastAsia="宋体" w:cs="Times New Roman"/>
          <w:sz w:val="18"/>
        </w:rPr>
        <w:t>SONG Y, CHEN B, HO H C, et al. Observed inequality in urban greenspace exposure in China[J]. Environment International, 2021, 156: 106778.</w:t>
      </w:r>
    </w:p>
    <w:p>
      <w:pPr>
        <w:snapToGrid w:val="0"/>
        <w:spacing w:lineRule="exact" w:line="240" w:before="0" w:after="0"/>
        <w:ind w:left="454" w:hanging="454"/>
        <w:jc w:val="left"/>
      </w:pPr>
      <w:r>
        <w:rPr>
          <w:rFonts w:ascii="Times New Roman" w:hAnsi="Times New Roman" w:eastAsia="宋体" w:cs="Times New Roman"/>
          <w:sz w:val="18"/>
        </w:rPr>
        <w:t>[41]</w:t>
        <w:tab/>
      </w:r>
      <w:r>
        <w:rPr>
          <w:rFonts w:ascii="Times New Roman" w:hAnsi="Times New Roman" w:eastAsia="宋体" w:cs="Times New Roman"/>
          <w:sz w:val="18"/>
        </w:rPr>
        <w:t>LI Y, SVENNING J C, ZHOU W, et al. Green spaces provide substantial but unequal urban cooling globally[J]. Nature Communications, 2024, 15: 7108.</w:t>
      </w:r>
    </w:p>
    <w:p>
      <w:pPr>
        <w:snapToGrid w:val="0"/>
        <w:spacing w:lineRule="exact" w:line="240" w:before="0" w:after="0"/>
        <w:ind w:left="454" w:hanging="454"/>
        <w:jc w:val="left"/>
      </w:pPr>
      <w:r>
        <w:rPr>
          <w:rFonts w:ascii="Times New Roman" w:hAnsi="Times New Roman" w:eastAsia="宋体" w:cs="Times New Roman"/>
          <w:sz w:val="18"/>
        </w:rPr>
        <w:t>[42]</w:t>
        <w:tab/>
      </w:r>
      <w:r>
        <w:rPr>
          <w:rFonts w:ascii="Times New Roman" w:hAnsi="Times New Roman" w:eastAsia="宋体" w:cs="Times New Roman"/>
          <w:sz w:val="18"/>
        </w:rPr>
        <w:t>LU Y, CHEN R, CHEN B, et al. Inclusive green environment for all? An investigation of spatial access equity of urban green space and associated socioeconomic drivers in China[J]. Landscape and Urban Planning, 2024, 241: 104926.</w:t>
      </w:r>
    </w:p>
    <w:p>
      <w:pPr>
        <w:snapToGrid w:val="0"/>
        <w:spacing w:lineRule="exact" w:line="240" w:before="0" w:after="0"/>
        <w:ind w:left="454" w:hanging="454"/>
        <w:jc w:val="left"/>
      </w:pPr>
      <w:r>
        <w:rPr>
          <w:rFonts w:ascii="Times New Roman" w:hAnsi="Times New Roman" w:eastAsia="宋体" w:cs="Times New Roman"/>
          <w:sz w:val="18"/>
        </w:rPr>
        <w:t>[43]</w:t>
        <w:tab/>
      </w:r>
      <w:r>
        <w:rPr>
          <w:rFonts w:ascii="Times New Roman" w:hAnsi="Times New Roman" w:eastAsia="宋体" w:cs="Times New Roman"/>
          <w:sz w:val="18"/>
        </w:rPr>
        <w:t>WU H, ZHAO C, ZHU Y, et al. A multiscale examination of heat health risk inequality and its drivers in mega-urban agglomeration: a case study in the Yangtze River Delta, China[J]. Journal of Cleaner Production, 2024, 458: 142528.</w:t>
      </w:r>
    </w:p>
    <w:p>
      <w:pPr>
        <w:snapToGrid w:val="0"/>
        <w:spacing w:lineRule="exact" w:line="240" w:before="0" w:after="0"/>
        <w:ind w:left="454" w:hanging="454"/>
        <w:jc w:val="left"/>
      </w:pPr>
      <w:r>
        <w:rPr>
          <w:rFonts w:ascii="Times New Roman" w:hAnsi="Times New Roman" w:eastAsia="宋体" w:cs="Times New Roman"/>
          <w:sz w:val="18"/>
        </w:rPr>
        <w:t>[44]</w:t>
        <w:tab/>
      </w:r>
      <w:r>
        <w:rPr>
          <w:rFonts w:ascii="Times New Roman" w:hAnsi="Times New Roman" w:eastAsia="宋体" w:cs="Times New Roman"/>
          <w:sz w:val="18"/>
        </w:rPr>
        <w:t>ZENG P, CHEN C, SUN F, et al. Surface temperature change amplifies social inequality in heat exposure? Evidence from Shanghai, China[J]. Environmental Challenges, 2024, 17: 101048.</w:t>
      </w:r>
    </w:p>
    <w:p>
      <w:pPr>
        <w:snapToGrid w:val="0"/>
        <w:spacing w:lineRule="exact" w:line="240" w:before="0" w:after="0"/>
        <w:ind w:left="454" w:hanging="454"/>
        <w:jc w:val="left"/>
      </w:pPr>
      <w:r>
        <w:rPr>
          <w:rFonts w:ascii="Times New Roman" w:hAnsi="Times New Roman" w:eastAsia="宋体" w:cs="Times New Roman"/>
          <w:sz w:val="18"/>
        </w:rPr>
        <w:t>[45]</w:t>
        <w:tab/>
      </w:r>
      <w:r>
        <w:rPr>
          <w:rFonts w:ascii="Times New Roman" w:hAnsi="Times New Roman" w:eastAsia="宋体" w:cs="Times New Roman"/>
          <w:sz w:val="18"/>
        </w:rPr>
        <w:t>XIAO Y, WANG Z, LI Z, et al. An assessment of urban park access in Shanghai: implications for the social equity in urban China[J]. Landscape and Urban Planning, 2017, 157: 383-393.</w:t>
      </w:r>
    </w:p>
    <w:p>
      <w:pPr>
        <w:snapToGrid w:val="0"/>
        <w:spacing w:lineRule="exact" w:line="240" w:before="0" w:after="0"/>
        <w:ind w:left="454" w:hanging="454"/>
        <w:jc w:val="left"/>
      </w:pPr>
      <w:r>
        <w:rPr>
          <w:rFonts w:ascii="Times New Roman" w:hAnsi="Times New Roman" w:eastAsia="宋体" w:cs="Times New Roman"/>
          <w:sz w:val="18"/>
        </w:rPr>
        <w:t>[46]</w:t>
        <w:tab/>
      </w:r>
      <w:r>
        <w:rPr>
          <w:rFonts w:ascii="Times New Roman" w:hAnsi="Times New Roman" w:eastAsia="宋体" w:cs="Times New Roman"/>
          <w:sz w:val="18"/>
        </w:rPr>
        <w:t>JIANG L, WANG J, CASTAÑO-ROSA R, et al. Heat exposure and coping strategies for food delivery riders under urban heat extremes[J]. Energy and Buildings, 2024, 322: 114693.</w:t>
      </w:r>
    </w:p>
    <w:p>
      <w:pPr>
        <w:snapToGrid w:val="0"/>
        <w:spacing w:lineRule="exact" w:line="240" w:before="0" w:after="0"/>
        <w:ind w:left="454" w:hanging="454"/>
        <w:jc w:val="left"/>
      </w:pPr>
      <w:r>
        <w:rPr>
          <w:rFonts w:ascii="Times New Roman" w:hAnsi="Times New Roman" w:eastAsia="宋体" w:cs="Times New Roman"/>
          <w:sz w:val="18"/>
        </w:rPr>
        <w:t>[47]</w:t>
        <w:tab/>
      </w:r>
      <w:r>
        <w:rPr>
          <w:rFonts w:ascii="Times New Roman" w:hAnsi="Times New Roman" w:eastAsia="宋体" w:cs="Times New Roman"/>
          <w:sz w:val="18"/>
        </w:rPr>
        <w:t>HU K, WANG S, FEI F, et al. Modifying temperature-related cardiovascular mortality through green-blue space exposure[J]. Environmental Science and Ecotechnology, 2024, 20: 100408.</w:t>
      </w:r>
    </w:p>
    <w:p>
      <w:pPr>
        <w:snapToGrid w:val="0"/>
        <w:spacing w:lineRule="exact" w:line="240" w:before="0" w:after="0"/>
        <w:ind w:left="454" w:hanging="454"/>
        <w:jc w:val="left"/>
      </w:pPr>
      <w:r>
        <w:rPr>
          <w:rFonts w:ascii="Times New Roman" w:hAnsi="Times New Roman" w:eastAsia="宋体" w:cs="Times New Roman"/>
          <w:sz w:val="18"/>
        </w:rPr>
        <w:t>[48]</w:t>
        <w:tab/>
      </w:r>
      <w:r>
        <w:rPr>
          <w:rFonts w:ascii="Times New Roman" w:hAnsi="Times New Roman" w:eastAsia="宋体" w:cs="Times New Roman"/>
          <w:sz w:val="18"/>
        </w:rPr>
        <w:t>HU K, WANG S, FEI F, et al. Estimating heat-related mortality burden changes under type-specific green and blue space scenarios in China[J]. Environmental Health Perspectives, 2025, 133(5): 057012.</w:t>
      </w:r>
    </w:p>
    <w:p>
      <w:pPr>
        <w:snapToGrid w:val="0"/>
        <w:spacing w:lineRule="exact" w:line="240" w:before="0" w:after="0"/>
        <w:ind w:left="454" w:hanging="454"/>
        <w:jc w:val="left"/>
      </w:pPr>
      <w:r>
        <w:rPr>
          <w:rFonts w:ascii="Times New Roman" w:hAnsi="Times New Roman" w:eastAsia="宋体" w:cs="Times New Roman"/>
          <w:sz w:val="18"/>
        </w:rPr>
        <w:t>[49]</w:t>
        <w:tab/>
      </w:r>
      <w:r>
        <w:rPr>
          <w:rFonts w:ascii="Times New Roman" w:hAnsi="Times New Roman" w:eastAsia="宋体" w:cs="Times New Roman"/>
          <w:sz w:val="18"/>
        </w:rPr>
        <w:t>GASPARRINI A, ARMSTRONG B, KENWARD M G. Distributed lag non-linear models[J]. Statistics in Medicine, 2010, 29(21): 2224-2234.</w:t>
      </w:r>
    </w:p>
    <w:p>
      <w:pPr>
        <w:snapToGrid w:val="0"/>
        <w:spacing w:lineRule="exact" w:line="240" w:before="0" w:after="0"/>
        <w:ind w:left="454" w:hanging="454"/>
        <w:jc w:val="left"/>
      </w:pPr>
      <w:r>
        <w:rPr>
          <w:rFonts w:ascii="Times New Roman" w:hAnsi="Times New Roman" w:eastAsia="宋体" w:cs="Times New Roman"/>
          <w:sz w:val="18"/>
        </w:rPr>
        <w:t>[50]</w:t>
        <w:tab/>
      </w:r>
      <w:r>
        <w:rPr>
          <w:rFonts w:ascii="Times New Roman" w:hAnsi="Times New Roman" w:eastAsia="宋体" w:cs="Times New Roman"/>
          <w:sz w:val="18"/>
        </w:rPr>
        <w:t>GASPARRINI A, LEONE M. Attributable risk from distributed lag models[J]. BMC Medical Research Methodology, 2014, 14: 55.</w:t>
      </w:r>
    </w:p>
    <w:p>
      <w:pPr>
        <w:snapToGrid w:val="0"/>
        <w:spacing w:lineRule="exact" w:line="240" w:before="0" w:after="0"/>
        <w:ind w:left="454" w:hanging="454"/>
        <w:jc w:val="left"/>
      </w:pPr>
      <w:r>
        <w:rPr>
          <w:rFonts w:ascii="Times New Roman" w:hAnsi="Times New Roman" w:eastAsia="宋体" w:cs="Times New Roman"/>
          <w:sz w:val="18"/>
        </w:rPr>
        <w:t>[51]</w:t>
        <w:tab/>
      </w:r>
      <w:r>
        <w:rPr>
          <w:rFonts w:ascii="Times New Roman" w:hAnsi="Times New Roman" w:eastAsia="宋体" w:cs="Times New Roman"/>
          <w:sz w:val="18"/>
        </w:rPr>
        <w:t>MCGREGOR G R, BESSEMOULIN P, EBI K, et al., eds. Heatwaves and health: guidance on warning-system development: WMO-No. 1142[R]. Geneva: World Meteorological Organization, World Health Organization, 2015.</w:t>
      </w:r>
    </w:p>
    <w:p>
      <w:pPr>
        <w:snapToGrid w:val="0"/>
        <w:spacing w:lineRule="exact" w:line="240" w:before="0" w:after="0"/>
        <w:ind w:left="454" w:hanging="454"/>
        <w:jc w:val="left"/>
      </w:pPr>
      <w:r>
        <w:rPr>
          <w:rFonts w:ascii="Times New Roman" w:hAnsi="Times New Roman" w:eastAsia="宋体" w:cs="Times New Roman"/>
          <w:sz w:val="18"/>
        </w:rPr>
        <w:t>[52]</w:t>
        <w:tab/>
      </w:r>
      <w:r>
        <w:rPr>
          <w:rFonts w:ascii="Times New Roman" w:hAnsi="Times New Roman" w:eastAsia="宋体" w:cs="Times New Roman"/>
          <w:sz w:val="18"/>
        </w:rPr>
        <w:t>TAN J, KALKSTEIN L S, HUANG J, et al. An operational heat/health warning system in Shanghai[J]. International Journal of Biometeorology, 2004, 48(3): 157-162.</w:t>
      </w:r>
    </w:p>
    <w:p>
      <w:pPr>
        <w:snapToGrid w:val="0"/>
        <w:spacing w:lineRule="exact" w:line="240" w:before="0" w:after="0"/>
        <w:ind w:left="454" w:hanging="454"/>
        <w:jc w:val="left"/>
      </w:pPr>
      <w:r>
        <w:rPr>
          <w:rFonts w:ascii="Times New Roman" w:hAnsi="Times New Roman" w:eastAsia="宋体" w:cs="Times New Roman"/>
          <w:sz w:val="18"/>
        </w:rPr>
        <w:t>[53]</w:t>
        <w:tab/>
      </w:r>
      <w:r>
        <w:rPr>
          <w:rFonts w:ascii="Times New Roman" w:hAnsi="Times New Roman" w:eastAsia="宋体" w:cs="Times New Roman"/>
          <w:sz w:val="18"/>
        </w:rPr>
        <w:t>WU Y, WANG X, WU J, et al. Performance of heat-health warning systems in Shanghai evaluated by using local heat-related illness data[J]. Science of the Total Environment, 2020, 715: 136883.</w:t>
      </w:r>
    </w:p>
    <w:p>
      <w:pPr>
        <w:snapToGrid w:val="0"/>
        <w:spacing w:lineRule="exact" w:line="240" w:before="0" w:after="0"/>
        <w:ind w:left="454" w:hanging="454"/>
        <w:jc w:val="left"/>
      </w:pPr>
      <w:r>
        <w:rPr>
          <w:rFonts w:ascii="Times New Roman" w:hAnsi="Times New Roman" w:eastAsia="宋体" w:cs="Times New Roman"/>
          <w:sz w:val="18"/>
        </w:rPr>
        <w:t>[54]</w:t>
        <w:tab/>
      </w:r>
      <w:r>
        <w:rPr>
          <w:rFonts w:ascii="Times New Roman" w:hAnsi="Times New Roman" w:eastAsia="宋体" w:cs="Times New Roman"/>
          <w:sz w:val="18"/>
        </w:rPr>
        <w:t>ZHANG T Y, ZENG Y X, LAN Y, et al. Reflections on the evolution of heat alert systems into heat health risk warning systems[J]. China CDC Weekly, 2025, 7(45): 1409-1412.</w:t>
      </w:r>
    </w:p>
    <w:p>
      <w:pPr>
        <w:snapToGrid w:val="0"/>
        <w:spacing w:lineRule="exact" w:line="240" w:before="0" w:after="0"/>
        <w:ind w:left="454" w:hanging="454"/>
        <w:jc w:val="left"/>
      </w:pPr>
      <w:r>
        <w:rPr>
          <w:rFonts w:ascii="Times New Roman" w:hAnsi="Times New Roman" w:eastAsia="宋体" w:cs="Times New Roman"/>
          <w:sz w:val="18"/>
        </w:rPr>
        <w:t>[55]</w:t>
        <w:tab/>
      </w:r>
      <w:r>
        <w:rPr>
          <w:rFonts w:ascii="Times New Roman" w:hAnsi="Times New Roman" w:eastAsia="宋体" w:cs="Times New Roman"/>
          <w:sz w:val="18"/>
        </w:rPr>
        <w:t>HAINES-YOUNG R, POTSCHIN M. The links between biodiversity, ecosystem services and human well-being[M]//RAFFAELLI D G, FRID C L J. Ecosystem ecology: a new synthesis. Cambridge: Cambridge University Press, 2010: 110-139.</w:t>
      </w:r>
    </w:p>
    <w:p>
      <w:pPr>
        <w:snapToGrid w:val="0"/>
        <w:spacing w:lineRule="exact" w:line="240" w:before="0" w:after="0"/>
        <w:ind w:left="454" w:hanging="454"/>
        <w:jc w:val="left"/>
      </w:pPr>
      <w:r>
        <w:rPr>
          <w:rFonts w:ascii="Times New Roman" w:hAnsi="Times New Roman" w:eastAsia="宋体" w:cs="Times New Roman"/>
          <w:sz w:val="18"/>
        </w:rPr>
        <w:t>[56]</w:t>
        <w:tab/>
      </w:r>
      <w:r>
        <w:rPr>
          <w:rFonts w:ascii="Times New Roman" w:hAnsi="Times New Roman" w:eastAsia="宋体" w:cs="Times New Roman"/>
          <w:sz w:val="18"/>
        </w:rPr>
        <w:t>BAGSTAD K J, JOHNSON G W, VOIGT B, et al. Spatial dynamics of ecosystem service flows: a comprehensive approach to quantifying actual services[J]. Ecosystem Services, 2013, 4: 117-125.</w:t>
      </w:r>
    </w:p>
    <w:p>
      <w:pPr>
        <w:snapToGrid w:val="0"/>
        <w:spacing w:lineRule="exact" w:line="240" w:before="0" w:after="0"/>
        <w:ind w:left="454" w:hanging="454"/>
        <w:jc w:val="left"/>
      </w:pPr>
      <w:r>
        <w:rPr>
          <w:rFonts w:ascii="Times New Roman" w:hAnsi="Times New Roman" w:eastAsia="宋体" w:cs="Times New Roman"/>
          <w:sz w:val="18"/>
        </w:rPr>
        <w:t>[57]</w:t>
        <w:tab/>
      </w:r>
      <w:r>
        <w:rPr>
          <w:rFonts w:ascii="Times New Roman" w:hAnsi="Times New Roman" w:eastAsia="宋体" w:cs="Times New Roman"/>
          <w:sz w:val="18"/>
        </w:rPr>
        <w:t>LINDBERG F, GRIMMOND C S B. The influence of vegetation and building morphology on shadow patterns and mean radiant temperatures in urban areas: model development and evaluation[J]. Theoretical and Applied Climatology, 2011, 105(3/4): 311-323.</w:t>
      </w:r>
    </w:p>
    <w:p>
      <w:pPr>
        <w:snapToGrid w:val="0"/>
        <w:spacing w:lineRule="exact" w:line="240" w:before="0" w:after="0"/>
        <w:ind w:left="454" w:hanging="454"/>
        <w:jc w:val="left"/>
      </w:pPr>
      <w:r>
        <w:rPr>
          <w:rFonts w:ascii="Times New Roman" w:hAnsi="Times New Roman" w:eastAsia="宋体" w:cs="Times New Roman"/>
          <w:sz w:val="18"/>
        </w:rPr>
        <w:t>[58]</w:t>
        <w:tab/>
      </w:r>
      <w:r>
        <w:rPr>
          <w:rFonts w:ascii="Times New Roman" w:hAnsi="Times New Roman" w:eastAsia="宋体" w:cs="Times New Roman"/>
          <w:sz w:val="18"/>
        </w:rPr>
        <w:t>YANG J, HUANG X. The 30 m annual land cover dataset and its dynamics in China from 1990 to 2019[J]. Earth System Science Data, 2021, 13(8): 3907-3925.</w:t>
      </w:r>
    </w:p>
    <w:p>
      <w:pPr>
        <w:snapToGrid w:val="0"/>
        <w:spacing w:lineRule="exact" w:line="240" w:before="0" w:after="0"/>
        <w:ind w:left="454" w:hanging="454"/>
        <w:jc w:val="left"/>
      </w:pPr>
      <w:r>
        <w:rPr>
          <w:rFonts w:ascii="Times New Roman" w:hAnsi="Times New Roman" w:eastAsia="宋体" w:cs="Times New Roman"/>
          <w:sz w:val="18"/>
        </w:rPr>
        <w:t>[59]</w:t>
        <w:tab/>
      </w:r>
      <w:r>
        <w:rPr>
          <w:rFonts w:ascii="Times New Roman" w:hAnsi="Times New Roman" w:eastAsia="宋体" w:cs="Times New Roman"/>
          <w:sz w:val="18"/>
        </w:rPr>
        <w:t>ZHANG X, ZHAO T, XU H, et al. GLC_FCS30D: the first global 30 m land-cover dynamics monitoring product with a fine classification system for the period from 1985 to 2022 generated using dense-time-series Landsat imagery and the continuous change-detection method[J]. Earth System Science Data, 2024, 16(3): 1353-1381.</w:t>
      </w:r>
    </w:p>
    <w:p>
      <w:pPr>
        <w:snapToGrid w:val="0"/>
        <w:spacing w:lineRule="exact" w:line="240" w:before="0" w:after="0"/>
        <w:ind w:left="454" w:hanging="454"/>
        <w:jc w:val="left"/>
      </w:pPr>
      <w:r>
        <w:rPr>
          <w:rFonts w:ascii="Times New Roman" w:hAnsi="Times New Roman" w:eastAsia="宋体" w:cs="Times New Roman"/>
          <w:sz w:val="18"/>
        </w:rPr>
        <w:t>[60]</w:t>
        <w:tab/>
      </w:r>
      <w:r>
        <w:rPr>
          <w:rFonts w:ascii="Times New Roman" w:hAnsi="Times New Roman" w:eastAsia="宋体" w:cs="Times New Roman"/>
          <w:sz w:val="18"/>
        </w:rPr>
        <w:t>BRUSE M, FLEER H. Simulating surface–plant–air interactions inside urban environments with a three dimensional numerical model[J]. Environmental Modelling &amp; Software, 1998, 13(3/4): 373-384.</w:t>
      </w:r>
    </w:p>
    <w:p>
      <w:pPr>
        <w:snapToGrid w:val="0"/>
        <w:spacing w:lineRule="exact" w:line="240" w:before="0" w:after="0"/>
        <w:ind w:left="454" w:hanging="454"/>
        <w:jc w:val="left"/>
      </w:pPr>
      <w:r>
        <w:rPr>
          <w:rFonts w:ascii="Times New Roman" w:hAnsi="Times New Roman" w:eastAsia="宋体" w:cs="Times New Roman"/>
          <w:sz w:val="18"/>
        </w:rPr>
        <w:t>[61]</w:t>
        <w:tab/>
      </w:r>
      <w:r>
        <w:rPr>
          <w:rFonts w:ascii="Times New Roman" w:hAnsi="Times New Roman" w:eastAsia="宋体" w:cs="Times New Roman"/>
          <w:sz w:val="18"/>
        </w:rPr>
        <w:t>CHEN Y, XU C, GE Y, et al. A 100 m gridded population dataset of China's seventh census using ensemble learning and big geospatial data[J]. Earth System Science Data, 2024, 16(8): 3705-3718.</w:t>
      </w:r>
    </w:p>
    <w:p>
      <w:pPr>
        <w:snapToGrid w:val="0"/>
        <w:spacing w:lineRule="exact" w:line="240" w:before="0" w:after="0"/>
        <w:ind w:left="454" w:hanging="454"/>
        <w:jc w:val="left"/>
      </w:pPr>
      <w:r>
        <w:rPr>
          <w:rFonts w:ascii="Times New Roman" w:hAnsi="Times New Roman" w:eastAsia="宋体" w:cs="Times New Roman"/>
          <w:sz w:val="18"/>
        </w:rPr>
        <w:t>[62]</w:t>
        <w:tab/>
      </w:r>
      <w:r>
        <w:rPr>
          <w:rFonts w:ascii="Times New Roman" w:hAnsi="Times New Roman" w:eastAsia="宋体" w:cs="Times New Roman"/>
          <w:sz w:val="18"/>
        </w:rPr>
        <w:t>WAGSTAFF A, PACI P, VAN DOORSLAER E. On the measurement of inequalities in health[J]. Social Science &amp; Medicine, 1991, 33(5): 545-557.</w:t>
      </w:r>
    </w:p>
    <w:p>
      <w:pPr>
        <w:snapToGrid w:val="0"/>
        <w:spacing w:lineRule="exact" w:line="240" w:before="0" w:after="0"/>
        <w:ind w:left="454" w:hanging="454"/>
        <w:jc w:val="left"/>
      </w:pPr>
      <w:r>
        <w:rPr>
          <w:rFonts w:ascii="Times New Roman" w:hAnsi="Times New Roman" w:eastAsia="宋体" w:cs="Times New Roman"/>
          <w:sz w:val="18"/>
        </w:rPr>
        <w:t>[63]</w:t>
        <w:tab/>
      </w:r>
      <w:r>
        <w:rPr>
          <w:rFonts w:ascii="Times New Roman" w:hAnsi="Times New Roman" w:eastAsia="宋体" w:cs="Times New Roman"/>
          <w:sz w:val="18"/>
        </w:rPr>
        <w:t>LIU S, WU X, LOPEZ A D, et al. An integrated national mortality surveillance system for death registration and mortality surveillance, China[J]. Bulletin of the World Health Organization, 2016, 94(1): 46-57.</w:t>
      </w:r>
    </w:p>
    <w:p>
      <w:pPr>
        <w:snapToGrid w:val="0"/>
        <w:spacing w:lineRule="exact" w:line="240" w:before="0" w:after="0"/>
        <w:ind w:left="454" w:hanging="454"/>
        <w:jc w:val="left"/>
      </w:pPr>
      <w:r>
        <w:rPr>
          <w:rFonts w:ascii="Times New Roman" w:hAnsi="Times New Roman" w:eastAsia="宋体" w:cs="Times New Roman"/>
          <w:sz w:val="18"/>
        </w:rPr>
        <w:t>[64]</w:t>
        <w:tab/>
      </w:r>
      <w:r>
        <w:rPr>
          <w:rFonts w:ascii="Times New Roman" w:hAnsi="Times New Roman" w:eastAsia="宋体" w:cs="Times New Roman"/>
          <w:sz w:val="18"/>
        </w:rPr>
        <w:t>WU W B, MA J, BANZHAF E, et al. A first Chinese building height estimate at 10 m resolution (CNBH-10 m) using multi-source earth observations and machine learning[J]. Remote Sensing of Environment, 2023, 291: 113578.</w:t>
      </w:r>
    </w:p>
    <w:p>
      <w:pPr>
        <w:snapToGrid w:val="0"/>
        <w:spacing w:lineRule="exact" w:line="240" w:before="0" w:after="0"/>
        <w:ind w:left="454" w:hanging="454"/>
        <w:jc w:val="left"/>
      </w:pPr>
      <w:r>
        <w:rPr>
          <w:rFonts w:ascii="Times New Roman" w:hAnsi="Times New Roman" w:eastAsia="宋体" w:cs="Times New Roman"/>
          <w:sz w:val="18"/>
        </w:rPr>
        <w:t>[65]</w:t>
        <w:tab/>
      </w:r>
      <w:r>
        <w:rPr>
          <w:rFonts w:ascii="Times New Roman" w:hAnsi="Times New Roman" w:eastAsia="宋体" w:cs="Times New Roman"/>
          <w:sz w:val="18"/>
        </w:rPr>
        <w:t>LANG N, JETZ W, SCHINDLER K, et al. A high-resolution canopy height model of the Earth[J]. Nature Ecology &amp; Evolution, 2023, 7(11): 1778-1789.</w:t>
      </w:r>
    </w:p>
    <w:p>
      <w:pPr>
        <w:snapToGrid w:val="0"/>
        <w:spacing w:lineRule="exact" w:line="240" w:before="0" w:after="0"/>
        <w:ind w:left="454" w:hanging="454"/>
        <w:jc w:val="left"/>
      </w:pPr>
      <w:r>
        <w:rPr>
          <w:rFonts w:ascii="Times New Roman" w:hAnsi="Times New Roman" w:eastAsia="宋体" w:cs="Times New Roman"/>
          <w:sz w:val="18"/>
        </w:rPr>
        <w:t>[66]</w:t>
        <w:tab/>
      </w:r>
      <w:r>
        <w:rPr>
          <w:rFonts w:ascii="Times New Roman" w:hAnsi="Times New Roman" w:eastAsia="宋体" w:cs="Times New Roman"/>
          <w:sz w:val="18"/>
        </w:rPr>
        <w:t>DU H, SONG X, JIANG H, et al. Research on the cooling island effects of water body: a case study of Shanghai, China[J]. Ecological Indicators, 2016, 67: 31-38.</w:t>
      </w:r>
    </w:p>
    <w:p>
      <w:pPr>
        <w:snapToGrid w:val="0"/>
        <w:spacing w:lineRule="exact" w:line="240" w:before="0" w:after="0"/>
        <w:ind w:left="454" w:hanging="454"/>
        <w:jc w:val="left"/>
      </w:pPr>
      <w:r>
        <w:rPr>
          <w:rFonts w:ascii="Times New Roman" w:hAnsi="Times New Roman" w:eastAsia="宋体" w:cs="Times New Roman"/>
          <w:sz w:val="18"/>
        </w:rPr>
        <w:t>[67]</w:t>
        <w:tab/>
      </w:r>
      <w:r>
        <w:rPr>
          <w:rFonts w:ascii="Times New Roman" w:hAnsi="Times New Roman" w:eastAsia="宋体" w:cs="Times New Roman"/>
          <w:sz w:val="18"/>
        </w:rPr>
        <w:t>WHO REGIONAL OFFICE FOR EUROPE. Nature-based solutions and health: WHO/EURO:2025-12214-51986-79744[R]. Copenhagen: WHO Regional Office for Europe, 2025.</w:t>
      </w:r>
    </w:p>
    <w:p>
      <w:pPr>
        <w:snapToGrid w:val="0"/>
        <w:spacing w:lineRule="exact" w:line="240" w:before="0" w:after="0"/>
        <w:ind w:left="454" w:hanging="454"/>
        <w:jc w:val="left"/>
      </w:pPr>
      <w:r>
        <w:rPr>
          <w:rFonts w:ascii="Times New Roman" w:hAnsi="Times New Roman" w:eastAsia="宋体" w:cs="Times New Roman"/>
          <w:sz w:val="18"/>
        </w:rPr>
        <w:t>[68]</w:t>
        <w:tab/>
      </w:r>
      <w:r>
        <w:rPr>
          <w:rFonts w:ascii="Times New Roman" w:hAnsi="Times New Roman" w:eastAsia="宋体" w:cs="Times New Roman"/>
          <w:sz w:val="18"/>
        </w:rPr>
        <w:t>LU Y, XU S, LIU S, et al. An approach to urban landscape character assessment: linking urban big data and machine learning[J]. Sustainable Cities and Society, 2022, 83: 103983.</w:t>
      </w:r>
    </w:p>
    <w:p>
      <w:pPr>
        <w:snapToGrid w:val="0"/>
        <w:spacing w:lineRule="exact" w:line="240" w:before="0" w:after="0"/>
        <w:ind w:left="454" w:hanging="454"/>
        <w:jc w:val="left"/>
      </w:pPr>
      <w:r>
        <w:rPr>
          <w:rFonts w:ascii="Times New Roman" w:hAnsi="Times New Roman" w:eastAsia="宋体" w:cs="Times New Roman"/>
          <w:sz w:val="18"/>
        </w:rPr>
        <w:t>[69]</w:t>
        <w:tab/>
      </w:r>
      <w:r>
        <w:rPr>
          <w:rFonts w:ascii="Times New Roman" w:hAnsi="Times New Roman" w:eastAsia="宋体" w:cs="Times New Roman"/>
          <w:sz w:val="18"/>
        </w:rPr>
        <w:t>LU Y, RIGOLON A, CARVER S, et al. Data augmented planning: a data-driven approach to measuring-understanding-optimizing green justice across 263 Chinese cities[J]. Sustainable Cities and Society, 2024, 117: 105981.</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440"/>
        <w:ind w:firstLine="562" w:left="0" w:right="0"/>
        <w:textAlignment w:val="auto"/>
        <w:rPr>
          <w:rFonts w:ascii="楷体" w:hAnsi="楷体" w:eastAsia="楷体" w:cs="楷体_GB2312"/>
          <w:b/>
          <w:bCs/>
          <w:color w:val="0070C0"/>
          <w:sz w:val="28"/>
          <w:szCs w:val="28"/>
        </w:rPr>
      </w:pPr>
      <w:r>
        <w:rPr>
          <w:rFonts w:ascii="楷体" w:hAnsi="楷体" w:cs="楷体" w:eastAsia="楷体"/>
          <w:b/>
          <w:bCs w:val="false"/>
          <w:color w:val="0070C0"/>
          <w:sz w:val="28"/>
          <w:szCs w:val="28"/>
          <w:lang w:eastAsia="zh-CN"/>
        </w:rPr>
        <w:t>（二）</w:t>
      </w:r>
      <w:r>
        <w:rPr>
          <w:rFonts w:ascii="楷体" w:hAnsi="楷体" w:cs="楷体_GB2312" w:eastAsia="楷体"/>
          <w:b/>
          <w:bCs w:val="false"/>
          <w:color w:val="0070C0"/>
          <w:sz w:val="28"/>
          <w:szCs w:val="28"/>
        </w:rPr>
        <w:t>研究内容</w:t>
      </w:r>
    </w:p>
    <w:p>
      <w:pPr>
        <w:pStyle w:val="Normal"/>
        <w:keepNext w:val="false"/>
        <w:keepLines w:val="false"/>
        <w:pageBreakBefore w:val="false"/>
        <w:widowControl w:val="false"/>
        <w:kinsoku w:val="true"/>
        <w:overflowPunct w:val="true"/>
        <w:autoSpaceDE w:val="true"/>
        <w:bidi w:val="0"/>
        <w:snapToGrid w:val="false"/>
        <w:spacing w:lineRule="exact" w:line="440"/>
        <w:ind w:firstLine="560" w:right="0"/>
        <w:textAlignment w:val="auto"/>
        <w:rPr>
          <w:rFonts w:ascii="楷体" w:hAnsi="楷体" w:eastAsia="楷体" w:cs="楷体_GB2312"/>
          <w:b w:val="false"/>
          <w:bCs w:val="false"/>
          <w:color w:val="0070C0"/>
          <w:sz w:val="28"/>
          <w:szCs w:val="28"/>
          <w:lang w:eastAsia="zh-CN"/>
        </w:rPr>
      </w:pPr>
      <w:r>
        <w:rPr>
          <w:rFonts w:ascii="楷体" w:hAnsi="楷体" w:cs="楷体_GB2312" w:eastAsia="楷体"/>
          <w:b w:val="false"/>
          <w:bCs w:val="false"/>
          <w:color w:val="0070C0"/>
          <w:sz w:val="28"/>
          <w:szCs w:val="28"/>
          <w:lang w:eastAsia="zh-CN"/>
        </w:rPr>
        <w:t>（提纲不做限制，请按照研究工作的自身逻辑撰写。应提炼出特色与创新点、年度研究计划）</w:t>
      </w:r>
    </w:p>
    <w:p>
      <w:pPr>
        <w:keepNext/>
        <w:snapToGrid w:val="0"/>
        <w:spacing w:lineRule="exact" w:line="440" w:before="160" w:after="40"/>
        <w:jc w:val="both"/>
      </w:pPr>
      <w:r>
        <w:rPr>
          <w:rFonts w:ascii="Times New Roman" w:hAnsi="Times New Roman" w:eastAsia="黑体" w:cs="Times New Roman"/>
          <w:b/>
          <w:sz w:val="24"/>
        </w:rPr>
        <w:t>1. 科学问题与研究目标</w:t>
      </w:r>
    </w:p>
    <w:p>
      <w:pPr>
        <w:snapToGrid w:val="0"/>
        <w:spacing w:lineRule="exact" w:line="440" w:before="0" w:after="0"/>
        <w:ind w:firstLineChars="200" w:firstLine="480"/>
        <w:jc w:val="both"/>
      </w:pPr>
      <w:r>
        <w:rPr>
          <w:rFonts w:ascii="Times New Roman" w:hAnsi="Times New Roman" w:eastAsia="宋体" w:cs="Times New Roman"/>
          <w:b w:val="0"/>
          <w:sz w:val="24"/>
        </w:rPr>
        <w:t>研究区为长三角41城</w:t>
      </w:r>
      <w:r>
        <w:rPr>
          <w:rFonts w:ascii="Times New Roman" w:hAnsi="Times New Roman" w:eastAsia="宋体" w:cs="Times New Roman"/>
          <w:b w:val="0"/>
          <w:sz w:val="24"/>
          <w:vertAlign w:val="superscript"/>
        </w:rPr>
        <w:t>[16]</w:t>
      </w:r>
      <w:r>
        <w:rPr>
          <w:rFonts w:ascii="Times New Roman" w:hAnsi="Times New Roman" w:eastAsia="宋体" w:cs="Times New Roman"/>
          <w:b w:val="0"/>
          <w:sz w:val="24"/>
        </w:rPr>
        <w:t>，时段为2000—2024年，研究设计分两级：全域层为41城建成区及缓冲区（1 km逐时，健康单元为区县）；三城层为杭州、上海、南京中心城区（30 m逐时，健康单元为乡镇街道），承担全部假说检验。全域层仅作外部效度检验与探索性分析：若三城估计聚合至1 km后与全域同向且区间重叠，则全域结果用于降温保护矩阵的气候—水网分区。</w:t>
      </w:r>
    </w:p>
    <w:p>
      <w:pPr>
        <w:keepNext/>
        <w:snapToGrid w:val="0"/>
        <w:spacing w:lineRule="exact" w:line="440" w:before="80" w:after="0"/>
        <w:jc w:val="both"/>
      </w:pPr>
      <w:r>
        <w:rPr>
          <w:rFonts w:ascii="Times New Roman" w:hAnsi="Times New Roman" w:eastAsia="宋体" w:cs="Times New Roman"/>
          <w:b/>
          <w:sz w:val="24"/>
        </w:rPr>
        <w:t>1.1 核心科学问题与研究假说</w:t>
      </w:r>
    </w:p>
    <w:p>
      <w:pPr>
        <w:snapToGrid w:val="0"/>
        <w:spacing w:lineRule="exact" w:line="440" w:before="0" w:after="0"/>
        <w:ind w:firstLineChars="200" w:firstLine="480"/>
        <w:jc w:val="both"/>
      </w:pPr>
      <w:r>
        <w:rPr>
          <w:rFonts w:ascii="Times New Roman" w:hAnsi="Times New Roman" w:eastAsia="宋体" w:cs="Times New Roman"/>
          <w:b/>
          <w:sz w:val="24"/>
        </w:rPr>
        <w:t>核心科学问题</w:t>
      </w:r>
      <w:r>
        <w:rPr>
          <w:rFonts w:ascii="Times New Roman" w:hAnsi="Times New Roman" w:eastAsia="宋体" w:cs="Times New Roman"/>
          <w:b w:val="0"/>
          <w:sz w:val="24"/>
        </w:rPr>
        <w:t>：长三角湿热河网城市群中，NbS的降温功能如何经城市形态过滤并与人群逐时活动耦合，转化为不同人群实得的降温保护，进而减少热相关健康损失？</w:t>
      </w:r>
    </w:p>
    <w:p>
      <w:pPr>
        <w:snapToGrid w:val="0"/>
        <w:spacing w:lineRule="exact" w:line="440" w:before="0" w:after="0"/>
        <w:ind w:firstLineChars="200" w:firstLine="480"/>
        <w:jc w:val="both"/>
      </w:pPr>
      <w:r>
        <w:rPr>
          <w:rFonts w:ascii="Times New Roman" w:hAnsi="Times New Roman" w:eastAsia="宋体" w:cs="Times New Roman"/>
          <w:b/>
          <w:sz w:val="24"/>
        </w:rPr>
        <w:t>关键科学问题1（KQ1，形态过滤）</w:t>
      </w:r>
      <w:r>
        <w:rPr>
          <w:rFonts w:ascii="Times New Roman" w:hAnsi="Times New Roman" w:eastAsia="宋体" w:cs="Times New Roman"/>
          <w:b w:val="0"/>
          <w:sz w:val="24"/>
        </w:rPr>
        <w:t>：控制建筑遮荫、街谷几何与通风后，九类NbS对Ta和UTCI的逐时可归因降温有多大，如何随类型、形态与时段变化乃至反转，又如何随41城背景气候与水网密度变化？</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sz w:val="24"/>
        </w:rPr>
        <w:t>H1a 形态混杂假说</w:t>
      </w:r>
      <w:r>
        <w:rPr>
          <w:rFonts w:ascii="Times New Roman" w:hAnsi="Times New Roman" w:eastAsia="宋体" w:cs="Times New Roman"/>
          <w:b w:val="0"/>
          <w:sz w:val="24"/>
        </w:rPr>
        <w:t>：经形态分层与遮荫分离后，可归因降温显著小于表观降温，且高层高密度街区街道绿化的高估幅度最大。</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sz w:val="24"/>
        </w:rPr>
        <w:t>H1b 气温—热负荷背离假说</w:t>
      </w:r>
      <w:r>
        <w:rPr>
          <w:rFonts w:ascii="Times New Roman" w:hAnsi="Times New Roman" w:eastAsia="宋体" w:cs="Times New Roman"/>
          <w:b w:val="0"/>
          <w:sz w:val="24"/>
        </w:rPr>
        <w:t>：高湿、弱风、缺乏遮荫时，河道、湿地、滨水空间与含城市内湖的蓝绿复合空间可降低Ta，但UTCI降低不显著，甚至升高。</w:t>
      </w:r>
    </w:p>
    <w:p>
      <w:pPr>
        <w:snapToGrid w:val="0"/>
        <w:spacing w:lineRule="exact" w:line="440" w:before="0" w:after="0"/>
        <w:ind w:firstLineChars="200" w:firstLine="480"/>
        <w:jc w:val="both"/>
      </w:pPr>
      <w:r>
        <w:rPr>
          <w:rFonts w:ascii="Times New Roman" w:hAnsi="Times New Roman" w:eastAsia="宋体" w:cs="Times New Roman"/>
          <w:b/>
          <w:sz w:val="24"/>
        </w:rPr>
        <w:t>关键科学问题2（KQ2，时空耦合）</w:t>
      </w:r>
      <w:r>
        <w:rPr>
          <w:rFonts w:ascii="Times New Roman" w:hAnsi="Times New Roman" w:eastAsia="宋体" w:cs="Times New Roman"/>
          <w:b w:val="0"/>
          <w:sz w:val="24"/>
        </w:rPr>
        <w:t>：可归因降温与人群逐时在场的匹配如何决定DCP及其分配？资源公平是否等于保护公平？层次间错位缘何产生？</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sz w:val="24"/>
        </w:rPr>
        <w:t>H2a 核心假说“资源公平不等于保护公平”</w:t>
      </w:r>
      <w:r>
        <w:rPr>
          <w:rFonts w:ascii="Times New Roman" w:hAnsi="Times New Roman" w:eastAsia="宋体" w:cs="Times New Roman"/>
          <w:b w:val="0"/>
          <w:sz w:val="24"/>
        </w:rPr>
        <w:t>：各人群或乡镇街道按资源供给与按人均DCP排序显著不一致，集中指数方向或幅度亦显著不同。</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sz w:val="24"/>
        </w:rPr>
        <w:t>H2b 错位机制假说</w:t>
      </w:r>
      <w:r>
        <w:rPr>
          <w:rFonts w:ascii="Times New Roman" w:hAnsi="Times New Roman" w:eastAsia="宋体" w:cs="Times New Roman"/>
          <w:b w:val="0"/>
          <w:sz w:val="24"/>
        </w:rPr>
        <w:t>：老年人、低社会经济地位代理值高的乡镇街道与户外作业集中的场所—时段，其DCP缺口主要不源于NbS数量不足；有效类型不足、时段错配与弱势人群集中于高暴露形态三类非数量来源合计贡献过半。</w:t>
      </w:r>
    </w:p>
    <w:p>
      <w:pPr>
        <w:snapToGrid w:val="0"/>
        <w:spacing w:lineRule="exact" w:line="440" w:before="0" w:after="0"/>
        <w:ind w:firstLineChars="200" w:firstLine="480"/>
        <w:jc w:val="both"/>
      </w:pPr>
      <w:r>
        <w:rPr>
          <w:rFonts w:ascii="Times New Roman" w:hAnsi="Times New Roman" w:eastAsia="宋体" w:cs="Times New Roman"/>
          <w:b/>
          <w:sz w:val="24"/>
        </w:rPr>
        <w:t>关键科学问题3（KQ3，健康转化）</w:t>
      </w:r>
      <w:r>
        <w:rPr>
          <w:rFonts w:ascii="Times New Roman" w:hAnsi="Times New Roman" w:eastAsia="宋体" w:cs="Times New Roman"/>
          <w:b w:val="0"/>
          <w:sz w:val="24"/>
        </w:rPr>
        <w:t>：DCP能否比分类型静态蓝绿空间指标更好地解释并预测热—死亡关联的单元间差异？现有NbS已避免多少热相关健康损失？其收益在人群间如何分配？</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sz w:val="24"/>
        </w:rPr>
        <w:t>H3a 解释力假说</w:t>
      </w:r>
      <w:r>
        <w:rPr>
          <w:rFonts w:ascii="Times New Roman" w:hAnsi="Times New Roman" w:eastAsia="宋体" w:cs="Times New Roman"/>
          <w:b w:val="0"/>
          <w:sz w:val="24"/>
        </w:rPr>
        <w:t>：以不含NbS局地降温的动态暴露为共同暴露</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、乡镇街道人均DCP为效应修饰项的DLNM，年份分块样本外偏差低于以分类型静态蓝绿空间指标为修饰项者。</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sz w:val="24"/>
        </w:rPr>
        <w:t>H3b 收益分配假说</w:t>
      </w:r>
      <w:r>
        <w:rPr>
          <w:rFonts w:ascii="Times New Roman" w:hAnsi="Times New Roman" w:eastAsia="宋体" w:cs="Times New Roman"/>
          <w:b w:val="0"/>
          <w:sz w:val="24"/>
        </w:rPr>
        <w:t>：因基线死亡率与暴露—反应斜率存在组间差异，现有NbS已避免的热相关死亡在人群间的分配不同于人均DCP的分配。</w:t>
      </w:r>
    </w:p>
    <w:p>
      <w:pPr>
        <w:snapToGrid w:val="0"/>
        <w:spacing w:lineRule="exact" w:line="440" w:before="0" w:after="0"/>
        <w:ind w:firstLineChars="200" w:firstLine="480"/>
        <w:jc w:val="both"/>
      </w:pPr>
      <w:r>
        <w:rPr>
          <w:rFonts w:ascii="Times New Roman" w:hAnsi="Times New Roman" w:eastAsia="宋体" w:cs="Times New Roman"/>
          <w:b w:val="0"/>
          <w:sz w:val="24"/>
        </w:rPr>
        <w:t>判据见3.1—3.3节；三城分别估计，以固定效应合并结果为准，须至少2城同向，城市间异质性以Cochran Q检验报告</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；H3a、H3b的阈值、滞后与模型形式于2029年底（M4，见表2）前存档；H1a只检验预设的4～5组对比</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。健康数据最后3个暖季</w:t>
      </w:r>
      <w:r>
        <w:rPr>
          <w:rFonts w:ascii="Times New Roman" w:hAnsi="Times New Roman" w:eastAsia="宋体" w:cs="Times New Roman"/>
          <w:b w:val="0"/>
          <w:sz w:val="24"/>
          <w:highlight w:val="yellow"/>
        </w:rPr>
        <w:t>【待补充】</w:t>
      </w:r>
      <w:r>
        <w:rPr>
          <w:rFonts w:ascii="Times New Roman" w:hAnsi="Times New Roman" w:eastAsia="宋体" w:cs="Times New Roman"/>
          <w:b w:val="0"/>
          <w:sz w:val="24"/>
        </w:rPr>
        <w:t>为封存期（须落在YRD-HES覆盖期内</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M4前的全部建模均不使用该期数据；若该期含2022年，另报剔除该年后的结果。若H3a在建模数据中不成立，依次诊断可归因降温、在场重建与健康数据尺度，修正须在启用封存期数据前完成；该期仅启用一次，其后修正仅作探索性分析，否定结果如实报告。</w:t>
      </w:r>
    </w:p>
    <w:p>
      <w:pPr>
        <w:keepNext/>
        <w:snapToGrid w:val="0"/>
        <w:spacing w:lineRule="exact" w:line="440" w:before="80" w:after="0"/>
        <w:jc w:val="both"/>
      </w:pPr>
      <w:r>
        <w:rPr>
          <w:rFonts w:ascii="Times New Roman" w:hAnsi="Times New Roman" w:eastAsia="宋体" w:cs="Times New Roman"/>
          <w:b/>
          <w:sz w:val="24"/>
        </w:rPr>
        <w:t>1.2 研究目标</w:t>
      </w:r>
    </w:p>
    <w:p>
      <w:pPr>
        <w:snapToGrid w:val="0"/>
        <w:spacing w:lineRule="exact" w:line="440" w:before="0" w:after="0"/>
        <w:ind w:firstLineChars="200" w:firstLine="480"/>
        <w:jc w:val="both"/>
      </w:pPr>
      <w:r>
        <w:rPr>
          <w:rFonts w:ascii="Times New Roman" w:hAnsi="Times New Roman" w:eastAsia="宋体" w:cs="Times New Roman"/>
          <w:b/>
          <w:sz w:val="24"/>
        </w:rPr>
        <w:t>总体目标</w:t>
      </w:r>
      <w:r>
        <w:rPr>
          <w:rFonts w:ascii="Times New Roman" w:hAnsi="Times New Roman" w:eastAsia="宋体" w:cs="Times New Roman"/>
          <w:b w:val="0"/>
          <w:sz w:val="24"/>
        </w:rPr>
        <w:t>：揭示NbS降温转化为实得保护与健康收益的机理，建立经健康结局检验的逐时DCP评估框架，形成降温保护矩阵与精细化高温风险信息规范。</w:t>
      </w:r>
    </w:p>
    <w:p>
      <w:pPr>
        <w:snapToGrid w:val="0"/>
        <w:spacing w:lineRule="exact" w:line="440" w:before="0" w:after="0"/>
        <w:ind w:firstLineChars="200" w:firstLine="480"/>
        <w:jc w:val="both"/>
      </w:pPr>
      <w:r>
        <w:rPr>
          <w:rFonts w:ascii="Times New Roman" w:hAnsi="Times New Roman" w:eastAsia="宋体" w:cs="Times New Roman"/>
          <w:b/>
          <w:sz w:val="24"/>
        </w:rPr>
        <w:t>具体目标</w:t>
      </w:r>
      <w:r>
        <w:rPr>
          <w:rFonts w:ascii="Times New Roman" w:hAnsi="Times New Roman" w:eastAsia="宋体" w:cs="Times New Roman"/>
          <w:b w:val="0"/>
          <w:sz w:val="24"/>
        </w:rPr>
        <w:t>（以3.1—3.3节判据与表2节点衡量）：</w:t>
      </w:r>
    </w:p>
    <w:p>
      <w:pPr>
        <w:snapToGrid w:val="0"/>
        <w:spacing w:lineRule="exact" w:line="440" w:before="0" w:after="0"/>
        <w:ind w:firstLineChars="200" w:firstLine="480"/>
        <w:jc w:val="both"/>
      </w:pPr>
      <w:r>
        <w:rPr>
          <w:rFonts w:ascii="Times New Roman" w:hAnsi="Times New Roman" w:eastAsia="宋体" w:cs="Times New Roman"/>
          <w:b w:val="0"/>
          <w:sz w:val="24"/>
        </w:rPr>
        <w:t>（1）构建并验证YRD-HES，识别九类NbS“类型×形态×时段”的逐时可归因降温、失效条件及41城异质性；</w:t>
      </w:r>
    </w:p>
    <w:p>
      <w:pPr>
        <w:snapToGrid w:val="0"/>
        <w:spacing w:lineRule="exact" w:line="440" w:before="0" w:after="0"/>
        <w:ind w:firstLineChars="200" w:firstLine="480"/>
        <w:jc w:val="both"/>
      </w:pPr>
      <w:r>
        <w:rPr>
          <w:rFonts w:ascii="Times New Roman" w:hAnsi="Times New Roman" w:eastAsia="宋体" w:cs="Times New Roman"/>
          <w:b w:val="0"/>
          <w:sz w:val="24"/>
        </w:rPr>
        <w:t>（2）测度三城DCP、人均DCP与DCP缺口及41城居住口径DCP（DCP</w:t>
      </w:r>
      <w:r>
        <w:rPr>
          <w:rFonts w:ascii="Times New Roman" w:hAnsi="Times New Roman" w:eastAsia="宋体" w:cs="Times New Roman"/>
          <w:b w:val="0"/>
          <w:sz w:val="24"/>
          <w:vertAlign w:val="subscript"/>
        </w:rPr>
        <w:t>res</w:t>
      </w:r>
      <w:r>
        <w:rPr>
          <w:rFonts w:ascii="Times New Roman" w:hAnsi="Times New Roman" w:eastAsia="宋体" w:cs="Times New Roman"/>
          <w:b w:val="0"/>
          <w:sz w:val="24"/>
        </w:rPr>
        <w:t>，见2.2节）格局，检验重点人群三层次排序与集中方向的一致性，将缺口分解为数量不足与三类非数量来源；</w:t>
      </w:r>
    </w:p>
    <w:p>
      <w:pPr>
        <w:snapToGrid w:val="0"/>
        <w:spacing w:lineRule="exact" w:line="440" w:before="0" w:after="0"/>
        <w:ind w:firstLineChars="200" w:firstLine="480"/>
        <w:jc w:val="both"/>
      </w:pPr>
      <w:r>
        <w:rPr>
          <w:rFonts w:ascii="Times New Roman" w:hAnsi="Times New Roman" w:eastAsia="宋体" w:cs="Times New Roman"/>
          <w:b w:val="0"/>
          <w:sz w:val="24"/>
        </w:rPr>
        <w:t>（3）以样本外偏差检验人均DCP作修饰项是否优于分类型静态蓝绿空间指标，并检验区县层外部效度，分人群估算现有NbS已避免的热相关死亡及区间；</w:t>
      </w:r>
    </w:p>
    <w:p>
      <w:pPr>
        <w:snapToGrid w:val="0"/>
        <w:spacing w:lineRule="exact" w:line="440" w:before="0" w:after="0"/>
        <w:ind w:firstLineChars="200" w:firstLine="480"/>
        <w:jc w:val="both"/>
      </w:pPr>
      <w:r>
        <w:rPr>
          <w:rFonts w:ascii="Times New Roman" w:hAnsi="Times New Roman" w:eastAsia="宋体" w:cs="Times New Roman"/>
          <w:b w:val="0"/>
          <w:sz w:val="24"/>
        </w:rPr>
        <w:t>（4）形成降温保护矩阵与风险信息规范，经两场工作坊检验可用性。</w:t>
      </w:r>
    </w:p>
    <w:p>
      <w:pPr>
        <w:keepNext/>
        <w:snapToGrid w:val="0"/>
        <w:spacing w:lineRule="exact" w:line="440" w:before="80" w:after="0"/>
        <w:jc w:val="both"/>
      </w:pPr>
      <w:r>
        <w:rPr>
          <w:rFonts w:ascii="Times New Roman" w:hAnsi="Times New Roman" w:eastAsia="宋体" w:cs="Times New Roman"/>
          <w:b/>
          <w:sz w:val="24"/>
        </w:rPr>
        <w:t>1.3 研究内容及其逻辑关系</w:t>
      </w:r>
    </w:p>
    <w:p>
      <w:pPr>
        <w:snapToGrid w:val="0"/>
        <w:spacing w:lineRule="exact" w:line="440" w:before="0" w:after="0"/>
        <w:ind w:firstLineChars="200" w:firstLine="480"/>
        <w:jc w:val="both"/>
      </w:pPr>
      <w:r>
        <w:rPr>
          <w:rFonts w:ascii="Times New Roman" w:hAnsi="Times New Roman" w:eastAsia="宋体" w:cs="Times New Roman"/>
          <w:b w:val="0"/>
          <w:sz w:val="24"/>
        </w:rPr>
        <w:t>三项研究内容按“形态过滤—时空耦合—健康转化”逐级衔接（图1），前项产出即后项输入。</w:t>
      </w:r>
    </w:p>
    <w:p>
      <w:pPr>
        <w:keepNext/>
        <w:snapToGrid w:val="0"/>
        <w:spacing w:lineRule="auto" w:line="240" w:before="120" w:after="0"/>
        <w:jc w:val="center"/>
      </w:pPr>
      <w:r>
        <w:drawing>
          <wp:inline xmlns:a="http://schemas.openxmlformats.org/drawingml/2006/main" xmlns:pic="http://schemas.openxmlformats.org/drawingml/2006/picture">
            <wp:extent cx="5256000" cy="4513590"/>
            <wp:docPr id="1" name="Picture 1"/>
            <wp:cNvGraphicFramePr>
              <a:graphicFrameLocks noChangeAspect="1"/>
            </wp:cNvGraphicFramePr>
            <a:graphic>
              <a:graphicData uri="http://schemas.openxmlformats.org/drawingml/2006/picture">
                <pic:pic>
                  <pic:nvPicPr>
                    <pic:cNvPr id="0" name="fig1_framework_cn.png"/>
                    <pic:cNvPicPr/>
                  </pic:nvPicPr>
                  <pic:blipFill>
                    <a:blip r:embed="rId6"/>
                    <a:stretch>
                      <a:fillRect/>
                    </a:stretch>
                  </pic:blipFill>
                  <pic:spPr>
                    <a:xfrm>
                      <a:off x="0" y="0"/>
                      <a:ext cx="5256000" cy="4513590"/>
                    </a:xfrm>
                    <a:prstGeom prst="rect"/>
                  </pic:spPr>
                </pic:pic>
              </a:graphicData>
            </a:graphic>
          </wp:inline>
        </w:drawing>
      </w:r>
    </w:p>
    <w:p>
      <w:pPr>
        <w:snapToGrid w:val="0"/>
        <w:spacing w:lineRule="exact" w:line="360" w:before="0" w:after="120"/>
        <w:jc w:val="center"/>
      </w:pPr>
      <w:r>
        <w:rPr>
          <w:rFonts w:ascii="Times New Roman" w:hAnsi="Times New Roman" w:eastAsia="黑体" w:cs="Times New Roman"/>
          <w:b w:val="0"/>
          <w:sz w:val="21"/>
        </w:rPr>
        <w:t>图1 研究框架</w:t>
      </w:r>
    </w:p>
    <w:p>
      <w:pPr>
        <w:snapToGrid w:val="0"/>
        <w:spacing w:lineRule="exact" w:line="440" w:before="0" w:after="0"/>
        <w:ind w:firstLineChars="200" w:firstLine="480"/>
        <w:jc w:val="both"/>
      </w:pPr>
      <w:r>
        <w:rPr>
          <w:rFonts w:ascii="Times New Roman" w:hAnsi="Times New Roman" w:eastAsia="宋体" w:cs="Times New Roman"/>
          <w:b w:val="0"/>
          <w:sz w:val="24"/>
        </w:rPr>
        <w:t>各项研究内容的任务与产出如下：</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sz w:val="24"/>
        </w:rPr>
        <w:t>研究内容一（KQ1；H1a、H1b）</w:t>
      </w:r>
      <w:r>
        <w:rPr>
          <w:rFonts w:ascii="Times New Roman" w:hAnsi="Times New Roman" w:eastAsia="宋体" w:cs="Times New Roman"/>
          <w:b w:val="0"/>
          <w:sz w:val="24"/>
        </w:rPr>
        <w:t>：剥离形态贡献，估计九类NbS逐时ΔTa、ΔUTCI。产出YRD-HES、可归因降温及反事实UTCI（U</w:t>
      </w:r>
      <w:r>
        <w:rPr>
          <w:rFonts w:ascii="Times New Roman" w:hAnsi="Times New Roman" w:eastAsia="宋体" w:cs="Times New Roman"/>
          <w:b w:val="0"/>
          <w:sz w:val="24"/>
          <w:vertAlign w:val="subscript"/>
        </w:rPr>
        <w:t>反</w:t>
      </w:r>
      <w:r>
        <w:rPr>
          <w:rFonts w:ascii="Times New Roman" w:hAnsi="Times New Roman" w:eastAsia="宋体" w:cs="Times New Roman"/>
          <w:b w:val="0"/>
          <w:sz w:val="24"/>
        </w:rPr>
        <w:t>，见2.2节）：实际与反事实UTCI供研究内容二计算DCP，U</w:t>
      </w:r>
      <w:r>
        <w:rPr>
          <w:rFonts w:ascii="Times New Roman" w:hAnsi="Times New Roman" w:eastAsia="宋体" w:cs="Times New Roman"/>
          <w:b w:val="0"/>
          <w:sz w:val="24"/>
          <w:vertAlign w:val="subscript"/>
        </w:rPr>
        <w:t>反</w:t>
      </w:r>
      <w:r>
        <w:rPr>
          <w:rFonts w:ascii="Times New Roman" w:hAnsi="Times New Roman" w:eastAsia="宋体" w:cs="Times New Roman"/>
          <w:b w:val="0"/>
          <w:sz w:val="24"/>
        </w:rPr>
        <w:t>亦为研究内容三修饰项比较的共同暴露，失效条件进入矩阵。</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sz w:val="24"/>
        </w:rPr>
        <w:t>研究内容二（KQ2；H2a、H2b）</w:t>
      </w:r>
      <w:r>
        <w:rPr>
          <w:rFonts w:ascii="Times New Roman" w:hAnsi="Times New Roman" w:eastAsia="宋体" w:cs="Times New Roman"/>
          <w:b w:val="0"/>
          <w:sz w:val="24"/>
        </w:rPr>
        <w:t>：重建三城逐时在场人口并折算室外暴露人·小时，与上述UTCI耦合计算DCP与DCP缺口并分解来源，全域层另计DCP</w:t>
      </w:r>
      <w:r>
        <w:rPr>
          <w:rFonts w:ascii="Times New Roman" w:hAnsi="Times New Roman" w:eastAsia="宋体" w:cs="Times New Roman"/>
          <w:b w:val="0"/>
          <w:sz w:val="24"/>
          <w:vertAlign w:val="subscript"/>
        </w:rPr>
        <w:t>res</w:t>
      </w:r>
      <w:r>
        <w:rPr>
          <w:rFonts w:ascii="Times New Roman" w:hAnsi="Times New Roman" w:eastAsia="宋体" w:cs="Times New Roman"/>
          <w:b w:val="0"/>
          <w:sz w:val="24"/>
        </w:rPr>
        <w:t>。产出DCP图谱与三层次公平格局：人均DCP与DCP</w:t>
      </w:r>
      <w:r>
        <w:rPr>
          <w:rFonts w:ascii="Times New Roman" w:hAnsi="Times New Roman" w:eastAsia="宋体" w:cs="Times New Roman"/>
          <w:b w:val="0"/>
          <w:sz w:val="24"/>
          <w:vertAlign w:val="subscript"/>
        </w:rPr>
        <w:t>res</w:t>
      </w:r>
      <w:r>
        <w:rPr>
          <w:rFonts w:ascii="Times New Roman" w:hAnsi="Times New Roman" w:eastAsia="宋体" w:cs="Times New Roman"/>
          <w:b w:val="0"/>
          <w:sz w:val="24"/>
        </w:rPr>
        <w:t>分别作为研究内容三乡镇街道层与区县层检验的修饰项，在场结构用于动态暴露加权，缺口来源指向优先地点和人群。</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sz w:val="24"/>
        </w:rPr>
        <w:t>研究内容三（KQ3；H3a、H3b）</w:t>
      </w:r>
      <w:r>
        <w:rPr>
          <w:rFonts w:ascii="Times New Roman" w:hAnsi="Times New Roman" w:eastAsia="宋体" w:cs="Times New Roman"/>
          <w:b w:val="0"/>
          <w:sz w:val="24"/>
        </w:rPr>
        <w:t>：以DLNM比较两类修饰项并估算已避免负担，判定DCP能否作为健康导向指标；暴露—反应关系与分人群已避免负担用于确定矩阵证据等级与规范的风险阈值。</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sz w:val="24"/>
        </w:rPr>
        <w:t>证据集成与转化（3.5节）</w:t>
      </w:r>
      <w:r>
        <w:rPr>
          <w:rFonts w:ascii="Times New Roman" w:hAnsi="Times New Roman" w:eastAsia="宋体" w:cs="Times New Roman"/>
          <w:b w:val="0"/>
          <w:sz w:val="24"/>
        </w:rPr>
        <w:t>：综合三项产出形成矩阵、设计禁忌与风险信息规范。</w:t>
      </w:r>
    </w:p>
    <w:p>
      <w:pPr>
        <w:keepNext/>
        <w:snapToGrid w:val="0"/>
        <w:spacing w:lineRule="exact" w:line="440" w:before="160" w:after="40"/>
        <w:jc w:val="both"/>
      </w:pPr>
      <w:r>
        <w:rPr>
          <w:rFonts w:ascii="Times New Roman" w:hAnsi="Times New Roman" w:eastAsia="黑体" w:cs="Times New Roman"/>
          <w:b/>
          <w:sz w:val="24"/>
        </w:rPr>
        <w:t>2. 研究框架与核心概念的操作化</w:t>
      </w:r>
    </w:p>
    <w:p>
      <w:pPr>
        <w:keepNext/>
        <w:snapToGrid w:val="0"/>
        <w:spacing w:lineRule="exact" w:line="440" w:before="80" w:after="0"/>
        <w:jc w:val="both"/>
      </w:pPr>
      <w:r>
        <w:rPr>
          <w:rFonts w:ascii="Times New Roman" w:hAnsi="Times New Roman" w:eastAsia="宋体" w:cs="Times New Roman"/>
          <w:b/>
          <w:sz w:val="24"/>
        </w:rPr>
        <w:t>2.1 研究框架</w:t>
      </w:r>
    </w:p>
    <w:p>
      <w:pPr>
        <w:snapToGrid w:val="0"/>
        <w:spacing w:lineRule="exact" w:line="440" w:before="0" w:after="0"/>
        <w:ind w:firstLineChars="200" w:firstLine="480"/>
        <w:jc w:val="both"/>
      </w:pPr>
      <w:r>
        <w:rPr>
          <w:rFonts w:ascii="Times New Roman" w:hAnsi="Times New Roman" w:eastAsia="宋体" w:cs="Times New Roman"/>
          <w:b w:val="0"/>
          <w:sz w:val="24"/>
        </w:rPr>
        <w:t>按生态系统服务级联框架</w:t>
      </w:r>
      <w:r>
        <w:rPr>
          <w:rFonts w:ascii="Times New Roman" w:hAnsi="Times New Roman" w:eastAsia="宋体" w:cs="Times New Roman"/>
          <w:b w:val="0"/>
          <w:sz w:val="24"/>
          <w:vertAlign w:val="superscript"/>
        </w:rPr>
        <w:t>[55]</w:t>
      </w:r>
      <w:r>
        <w:rPr>
          <w:rFonts w:ascii="Times New Roman" w:hAnsi="Times New Roman" w:eastAsia="宋体" w:cs="Times New Roman"/>
          <w:b w:val="0"/>
          <w:sz w:val="24"/>
        </w:rPr>
        <w:t>，三个转化环节对应KQ1—KQ3与研究内容一至三（图1）；资源供给属“生态结构”，保护缺口为未满足的服务需求。</w:t>
      </w:r>
    </w:p>
    <w:p>
      <w:pPr>
        <w:keepNext/>
        <w:snapToGrid w:val="0"/>
        <w:spacing w:lineRule="exact" w:line="440" w:before="80" w:after="0"/>
        <w:jc w:val="both"/>
      </w:pPr>
      <w:r>
        <w:rPr>
          <w:rFonts w:ascii="Times New Roman" w:hAnsi="Times New Roman" w:eastAsia="宋体" w:cs="Times New Roman"/>
          <w:b/>
          <w:sz w:val="24"/>
        </w:rPr>
        <w:t>2.2 DCP与DCP缺口的操作化定义</w:t>
      </w:r>
    </w:p>
    <w:p>
      <w:pPr>
        <w:snapToGrid w:val="0"/>
        <w:spacing w:lineRule="exact" w:line="440" w:before="0" w:after="0"/>
        <w:ind w:firstLineChars="200" w:firstLine="480"/>
        <w:jc w:val="both"/>
      </w:pPr>
      <w:r>
        <w:rPr>
          <w:rFonts w:ascii="Times New Roman" w:hAnsi="Times New Roman" w:eastAsia="宋体" w:cs="Times New Roman"/>
          <w:b w:val="0"/>
          <w:sz w:val="24"/>
        </w:rPr>
        <w:t>DCP为无、有NbS情景下同一人群室外热暴露人·小时之差</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g：人群组或代理单元组（低社会经济地位代理值高的乡镇街道、户外作业集中的场所—时段）；N(g)：g组人口，代理单元组取在场人·小时；P(g,i,t)：g组在栅格（或其聚合单元）i、小时t的室外暴露人·小时，即在场人·小时与场景室外时间比例之积（见3.2节）；</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U、ΔU：YRD-HES的实际UTCI与研究内容一的可归因降温（Δ以降温为正）；U</w:t>
      </w:r>
      <w:r>
        <w:rPr>
          <w:rFonts w:ascii="Times New Roman" w:hAnsi="Times New Roman" w:eastAsia="宋体" w:cs="Times New Roman"/>
          <w:b w:val="0"/>
          <w:sz w:val="24"/>
          <w:vertAlign w:val="subscript"/>
        </w:rPr>
        <w:t>反</w:t>
      </w:r>
      <w:r>
        <w:rPr>
          <w:rFonts w:ascii="Times New Roman" w:hAnsi="Times New Roman" w:eastAsia="宋体" w:cs="Times New Roman"/>
          <w:b w:val="0"/>
          <w:sz w:val="24"/>
        </w:rPr>
        <w:t xml:space="preserve"> = U + ΔU：无NbS的反事实UTCI；</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θ</w:t>
      </w:r>
      <w:r>
        <w:rPr>
          <w:rFonts w:ascii="Times New Roman" w:hAnsi="Times New Roman" w:eastAsia="宋体" w:cs="Times New Roman"/>
          <w:b w:val="0"/>
          <w:sz w:val="24"/>
          <w:vertAlign w:val="subscript"/>
        </w:rPr>
        <w:t>k</w:t>
      </w:r>
      <w:r>
        <w:rPr>
          <w:rFonts w:ascii="Times New Roman" w:hAnsi="Times New Roman" w:eastAsia="宋体" w:cs="Times New Roman"/>
          <w:b w:val="0"/>
          <w:sz w:val="24"/>
        </w:rPr>
        <w:t>：UTCI中等至极端热应激四级下限（26、32、38、46 °C）</w:t>
      </w:r>
      <w:r>
        <w:rPr>
          <w:rFonts w:ascii="Times New Roman" w:hAnsi="Times New Roman" w:eastAsia="宋体" w:cs="Times New Roman"/>
          <w:b w:val="0"/>
          <w:sz w:val="24"/>
          <w:vertAlign w:val="superscript"/>
        </w:rPr>
        <w:t>[30]</w:t>
      </w:r>
      <w:r>
        <w:rPr>
          <w:rFonts w:ascii="Times New Roman" w:hAnsi="Times New Roman" w:eastAsia="宋体" w:cs="Times New Roman"/>
          <w:b w:val="0"/>
          <w:sz w:val="24"/>
        </w:rPr>
        <w:t>。</w:t>
      </w:r>
    </w:p>
    <w:p>
      <w:pPr>
        <w:snapToGrid w:val="0"/>
        <w:spacing w:lineRule="exact" w:line="440" w:before="0" w:after="0"/>
        <w:ind w:firstLineChars="200" w:firstLine="480"/>
        <w:jc w:val="both"/>
      </w:pPr>
      <w:r>
        <w:rPr>
          <w:rFonts w:ascii="Times New Roman" w:hAnsi="Times New Roman" w:eastAsia="宋体" w:cs="Times New Roman"/>
          <w:b w:val="0"/>
          <w:sz w:val="24"/>
        </w:rPr>
        <w:t>实际热暴露：E</w:t>
      </w:r>
      <w:r>
        <w:rPr>
          <w:rFonts w:ascii="Times New Roman" w:hAnsi="Times New Roman" w:eastAsia="宋体" w:cs="Times New Roman"/>
          <w:b w:val="0"/>
          <w:sz w:val="24"/>
          <w:vertAlign w:val="subscript"/>
        </w:rPr>
        <w:t>实</w:t>
      </w:r>
      <w:r>
        <w:rPr>
          <w:rFonts w:ascii="Times New Roman" w:hAnsi="Times New Roman" w:eastAsia="宋体" w:cs="Times New Roman"/>
          <w:b w:val="0"/>
          <w:sz w:val="24"/>
        </w:rPr>
        <w:t>(g) = Σ</w:t>
      </w:r>
      <w:r>
        <w:rPr>
          <w:rFonts w:ascii="Times New Roman" w:hAnsi="Times New Roman" w:eastAsia="宋体" w:cs="Times New Roman"/>
          <w:b w:val="0"/>
          <w:sz w:val="24"/>
          <w:vertAlign w:val="subscript"/>
        </w:rPr>
        <w:t>k,t,i</w:t>
      </w:r>
      <w:r>
        <w:rPr>
          <w:rFonts w:ascii="Times New Roman" w:hAnsi="Times New Roman" w:eastAsia="宋体" w:cs="Times New Roman"/>
          <w:b w:val="0"/>
          <w:sz w:val="24"/>
        </w:rPr>
        <w:t xml:space="preserve"> P(g,i,t) × I(U ≥ θ</w:t>
      </w:r>
      <w:r>
        <w:rPr>
          <w:rFonts w:ascii="Times New Roman" w:hAnsi="Times New Roman" w:eastAsia="宋体" w:cs="Times New Roman"/>
          <w:b w:val="0"/>
          <w:sz w:val="24"/>
          <w:vertAlign w:val="subscript"/>
        </w:rPr>
        <w:t>k</w:t>
      </w:r>
      <w:r>
        <w:rPr>
          <w:rFonts w:ascii="Times New Roman" w:hAnsi="Times New Roman" w:eastAsia="宋体" w:cs="Times New Roman"/>
          <w:b w:val="0"/>
          <w:sz w:val="24"/>
        </w:rPr>
        <w:t>)，I(·)为指示函数；反事实热暴露E</w:t>
      </w:r>
      <w:r>
        <w:rPr>
          <w:rFonts w:ascii="Times New Roman" w:hAnsi="Times New Roman" w:eastAsia="宋体" w:cs="Times New Roman"/>
          <w:b w:val="0"/>
          <w:sz w:val="24"/>
          <w:vertAlign w:val="subscript"/>
        </w:rPr>
        <w:t>反</w:t>
      </w:r>
      <w:r>
        <w:rPr>
          <w:rFonts w:ascii="Times New Roman" w:hAnsi="Times New Roman" w:eastAsia="宋体" w:cs="Times New Roman"/>
          <w:b w:val="0"/>
          <w:sz w:val="24"/>
        </w:rPr>
        <w:t>(g)以U</w:t>
      </w:r>
      <w:r>
        <w:rPr>
          <w:rFonts w:ascii="Times New Roman" w:hAnsi="Times New Roman" w:eastAsia="宋体" w:cs="Times New Roman"/>
          <w:b w:val="0"/>
          <w:sz w:val="24"/>
          <w:vertAlign w:val="subscript"/>
        </w:rPr>
        <w:t>反</w:t>
      </w:r>
      <w:r>
        <w:rPr>
          <w:rFonts w:ascii="Times New Roman" w:hAnsi="Times New Roman" w:eastAsia="宋体" w:cs="Times New Roman"/>
          <w:b w:val="0"/>
          <w:sz w:val="24"/>
        </w:rPr>
        <w:t>代替U同式计算。</w:t>
      </w:r>
    </w:p>
    <w:p>
      <w:pPr>
        <w:snapToGrid w:val="0"/>
        <w:spacing w:lineRule="exact" w:line="440" w:before="0" w:after="0"/>
        <w:ind w:firstLineChars="200" w:firstLine="480"/>
        <w:jc w:val="both"/>
      </w:pPr>
      <w:r>
        <w:rPr>
          <w:rFonts w:ascii="Times New Roman" w:hAnsi="Times New Roman" w:eastAsia="宋体" w:cs="Times New Roman"/>
          <w:b w:val="0"/>
          <w:sz w:val="24"/>
        </w:rPr>
        <w:t>实得降温保护：</w:t>
      </w:r>
      <w:r>
        <w:rPr>
          <w:rFonts w:ascii="Times New Roman" w:hAnsi="Times New Roman" w:eastAsia="宋体" w:cs="Times New Roman"/>
          <w:b/>
          <w:sz w:val="24"/>
        </w:rPr>
        <w:t>DCP(g) = E</w:t>
      </w:r>
      <w:r>
        <w:rPr>
          <w:rFonts w:ascii="Times New Roman" w:hAnsi="Times New Roman" w:eastAsia="宋体" w:cs="Times New Roman"/>
          <w:b/>
          <w:sz w:val="24"/>
          <w:vertAlign w:val="subscript"/>
        </w:rPr>
        <w:t>反</w:t>
      </w:r>
      <w:r>
        <w:rPr>
          <w:rFonts w:ascii="Times New Roman" w:hAnsi="Times New Roman" w:eastAsia="宋体" w:cs="Times New Roman"/>
          <w:b/>
          <w:sz w:val="24"/>
        </w:rPr>
        <w:t>(g) − E</w:t>
      </w:r>
      <w:r>
        <w:rPr>
          <w:rFonts w:ascii="Times New Roman" w:hAnsi="Times New Roman" w:eastAsia="宋体" w:cs="Times New Roman"/>
          <w:b/>
          <w:sz w:val="24"/>
          <w:vertAlign w:val="subscript"/>
        </w:rPr>
        <w:t>实</w:t>
      </w:r>
      <w:r>
        <w:rPr>
          <w:rFonts w:ascii="Times New Roman" w:hAnsi="Times New Roman" w:eastAsia="宋体" w:cs="Times New Roman"/>
          <w:b/>
          <w:sz w:val="24"/>
        </w:rPr>
        <w:t>(g)</w:t>
      </w:r>
    </w:p>
    <w:p>
      <w:pPr>
        <w:snapToGrid w:val="0"/>
        <w:spacing w:lineRule="exact" w:line="440" w:before="0" w:after="0"/>
        <w:ind w:firstLineChars="200" w:firstLine="480"/>
        <w:jc w:val="both"/>
      </w:pPr>
      <w:r>
        <w:rPr>
          <w:rFonts w:ascii="Times New Roman" w:hAnsi="Times New Roman" w:eastAsia="宋体" w:cs="Times New Roman"/>
          <w:b w:val="0"/>
          <w:sz w:val="24"/>
        </w:rPr>
        <w:t>各等级分别累计（即分级加权人·小时），以免单一阈值在最热时段饱和，并另报各等级DCP</w:t>
      </w:r>
      <w:r>
        <w:rPr>
          <w:rFonts w:ascii="Times New Roman" w:hAnsi="Times New Roman" w:eastAsia="宋体" w:cs="Times New Roman"/>
          <w:b w:val="0"/>
          <w:sz w:val="24"/>
          <w:vertAlign w:val="subscript"/>
        </w:rPr>
        <w:t>k</w:t>
      </w:r>
      <w:r>
        <w:rPr>
          <w:rFonts w:ascii="Times New Roman" w:hAnsi="Times New Roman" w:eastAsia="宋体" w:cs="Times New Roman"/>
          <w:b w:val="0"/>
          <w:sz w:val="24"/>
        </w:rPr>
        <w:t>；若NbS使UTCI升至阈值以上，对应项为负并计入。另计人均DCP = DCP(g)/N(g)、保护率R(g) = DCP(g)/E</w:t>
      </w:r>
      <w:r>
        <w:rPr>
          <w:rFonts w:ascii="Times New Roman" w:hAnsi="Times New Roman" w:eastAsia="宋体" w:cs="Times New Roman"/>
          <w:b w:val="0"/>
          <w:sz w:val="24"/>
          <w:vertAlign w:val="subscript"/>
        </w:rPr>
        <w:t>反</w:t>
      </w:r>
      <w:r>
        <w:rPr>
          <w:rFonts w:ascii="Times New Roman" w:hAnsi="Times New Roman" w:eastAsia="宋体" w:cs="Times New Roman"/>
          <w:b w:val="0"/>
          <w:sz w:val="24"/>
        </w:rPr>
        <w:t>(g)与DCP缺口(g) = 1 − R(g)，即反事实热暴露中未被NbS消除的比例；组间比较按E</w:t>
      </w:r>
      <w:r>
        <w:rPr>
          <w:rFonts w:ascii="Times New Roman" w:hAnsi="Times New Roman" w:eastAsia="宋体" w:cs="Times New Roman"/>
          <w:b w:val="0"/>
          <w:sz w:val="24"/>
          <w:vertAlign w:val="subscript"/>
        </w:rPr>
        <w:t>反</w:t>
      </w:r>
      <w:r>
        <w:rPr>
          <w:rFonts w:ascii="Times New Roman" w:hAnsi="Times New Roman" w:eastAsia="宋体" w:cs="Times New Roman"/>
          <w:b w:val="0"/>
          <w:sz w:val="24"/>
        </w:rPr>
        <w:t>十分位与脆弱性作直接标准化。</w:t>
      </w:r>
    </w:p>
    <w:p>
      <w:pPr>
        <w:snapToGrid w:val="0"/>
        <w:spacing w:lineRule="exact" w:line="440" w:before="0" w:after="0"/>
        <w:ind w:firstLineChars="200" w:firstLine="480"/>
        <w:jc w:val="both"/>
      </w:pPr>
      <w:r>
        <w:rPr>
          <w:rFonts w:ascii="Times New Roman" w:hAnsi="Times New Roman" w:eastAsia="宋体" w:cs="Times New Roman"/>
          <w:b w:val="0"/>
          <w:sz w:val="24"/>
        </w:rPr>
        <w:t>反事实中NbS栅格以同一形态分层内非NbS下垫面的中位特征替代；山地林地与湖泊、大江大河水面为背景要素不予移除，DCP与已避免负担只对其余七类计算，另设分类型反事实。全域层以居住人口（按室外时间比例折算）代替P(g,i,t)得居住口径DCP</w:t>
      </w:r>
      <w:r>
        <w:rPr>
          <w:rFonts w:ascii="Times New Roman" w:hAnsi="Times New Roman" w:eastAsia="宋体" w:cs="Times New Roman"/>
          <w:b w:val="0"/>
          <w:sz w:val="24"/>
          <w:vertAlign w:val="subscript"/>
        </w:rPr>
        <w:t>res</w:t>
      </w:r>
      <w:r>
        <w:rPr>
          <w:rFonts w:ascii="Times New Roman" w:hAnsi="Times New Roman" w:eastAsia="宋体" w:cs="Times New Roman"/>
          <w:b w:val="0"/>
          <w:sz w:val="24"/>
        </w:rPr>
        <w:t>，属资源供给层面的格局指标；三城按形态分层×时段估计DCP与DCP</w:t>
      </w:r>
      <w:r>
        <w:rPr>
          <w:rFonts w:ascii="Times New Roman" w:hAnsi="Times New Roman" w:eastAsia="宋体" w:cs="Times New Roman"/>
          <w:b w:val="0"/>
          <w:sz w:val="24"/>
          <w:vertAlign w:val="subscript"/>
        </w:rPr>
        <w:t>res</w:t>
      </w:r>
      <w:r>
        <w:rPr>
          <w:rFonts w:ascii="Times New Roman" w:hAnsi="Times New Roman" w:eastAsia="宋体" w:cs="Times New Roman"/>
          <w:b w:val="0"/>
          <w:sz w:val="24"/>
        </w:rPr>
        <w:t>之比，经留一城检验可迁移后校准全域层。室内在场（含夜间居家）不以室外UTCI计，另以Ta为暴露平行计算并单列报告；室外时间比例上下界与UTCI超额形式的DCP</w:t>
      </w:r>
      <w:r>
        <w:rPr>
          <w:rFonts w:ascii="Times New Roman" w:hAnsi="Times New Roman" w:eastAsia="宋体" w:cs="Times New Roman"/>
          <w:b w:val="0"/>
          <w:sz w:val="24"/>
          <w:vertAlign w:val="subscript"/>
        </w:rPr>
        <w:t>e</w:t>
      </w:r>
      <w:r>
        <w:rPr>
          <w:rFonts w:ascii="Times New Roman" w:hAnsi="Times New Roman" w:eastAsia="宋体" w:cs="Times New Roman"/>
          <w:b w:val="0"/>
          <w:sz w:val="24"/>
        </w:rPr>
        <w:t>作敏感性分析</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w:t>
      </w:r>
    </w:p>
    <w:p>
      <w:pPr>
        <w:keepNext/>
        <w:snapToGrid w:val="0"/>
        <w:spacing w:lineRule="exact" w:line="440" w:before="160" w:after="40"/>
        <w:jc w:val="both"/>
      </w:pPr>
      <w:r>
        <w:rPr>
          <w:rFonts w:ascii="Times New Roman" w:hAnsi="Times New Roman" w:eastAsia="黑体" w:cs="Times New Roman"/>
          <w:b/>
          <w:sz w:val="24"/>
        </w:rPr>
        <w:t>3. 研究内容与研究方案</w:t>
      </w:r>
    </w:p>
    <w:p>
      <w:pPr>
        <w:snapToGrid w:val="0"/>
        <w:spacing w:lineRule="exact" w:line="440" w:before="0" w:after="0"/>
        <w:ind w:firstLineChars="200" w:firstLine="480"/>
        <w:jc w:val="both"/>
      </w:pPr>
      <w:r>
        <w:rPr>
          <w:rFonts w:ascii="Times New Roman" w:hAnsi="Times New Roman" w:eastAsia="宋体" w:cs="Times New Roman"/>
          <w:b w:val="0"/>
          <w:sz w:val="24"/>
        </w:rPr>
        <w:t>三项研究内容依次衔接（技术路线见图2）；检验判据均为预设方案</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w:t>
      </w:r>
    </w:p>
    <w:p>
      <w:pPr>
        <w:keepNext/>
        <w:snapToGrid w:val="0"/>
        <w:spacing w:lineRule="auto" w:line="240" w:before="120" w:after="0"/>
        <w:jc w:val="center"/>
      </w:pPr>
      <w:r>
        <w:drawing>
          <wp:inline xmlns:a="http://schemas.openxmlformats.org/drawingml/2006/main" xmlns:pic="http://schemas.openxmlformats.org/drawingml/2006/picture">
            <wp:extent cx="5256000" cy="5646915"/>
            <wp:docPr id="2" name="Picture 2"/>
            <wp:cNvGraphicFramePr>
              <a:graphicFrameLocks noChangeAspect="1"/>
            </wp:cNvGraphicFramePr>
            <a:graphic>
              <a:graphicData uri="http://schemas.openxmlformats.org/drawingml/2006/picture">
                <pic:pic>
                  <pic:nvPicPr>
                    <pic:cNvPr id="0" name="fig2_route_cn.png"/>
                    <pic:cNvPicPr/>
                  </pic:nvPicPr>
                  <pic:blipFill>
                    <a:blip r:embed="rId7"/>
                    <a:stretch>
                      <a:fillRect/>
                    </a:stretch>
                  </pic:blipFill>
                  <pic:spPr>
                    <a:xfrm>
                      <a:off x="0" y="0"/>
                      <a:ext cx="5256000" cy="5646915"/>
                    </a:xfrm>
                    <a:prstGeom prst="rect"/>
                  </pic:spPr>
                </pic:pic>
              </a:graphicData>
            </a:graphic>
          </wp:inline>
        </w:drawing>
      </w:r>
    </w:p>
    <w:p>
      <w:pPr>
        <w:snapToGrid w:val="0"/>
        <w:spacing w:lineRule="exact" w:line="360" w:before="0" w:after="120"/>
        <w:jc w:val="center"/>
      </w:pPr>
      <w:r>
        <w:rPr>
          <w:rFonts w:ascii="Times New Roman" w:hAnsi="Times New Roman" w:eastAsia="黑体" w:cs="Times New Roman"/>
          <w:b w:val="0"/>
          <w:sz w:val="21"/>
        </w:rPr>
        <w:t>图2 技术路线</w:t>
      </w:r>
    </w:p>
    <w:p>
      <w:pPr>
        <w:keepNext/>
        <w:snapToGrid w:val="0"/>
        <w:spacing w:lineRule="exact" w:line="440" w:before="80" w:after="0"/>
        <w:jc w:val="both"/>
      </w:pPr>
      <w:r>
        <w:rPr>
          <w:rFonts w:ascii="Times New Roman" w:hAnsi="Times New Roman" w:eastAsia="宋体" w:cs="Times New Roman"/>
          <w:b/>
          <w:sz w:val="24"/>
        </w:rPr>
        <w:t>3.1 研究内容一：NbS可归因降温的形态过滤与逐时识别</w:t>
      </w:r>
    </w:p>
    <w:p>
      <w:pPr>
        <w:snapToGrid w:val="0"/>
        <w:spacing w:lineRule="exact" w:line="440" w:before="0" w:after="0"/>
        <w:ind w:firstLineChars="200" w:firstLine="480"/>
        <w:jc w:val="both"/>
      </w:pPr>
      <w:r>
        <w:rPr>
          <w:rFonts w:ascii="Times New Roman" w:hAnsi="Times New Roman" w:eastAsia="宋体" w:cs="Times New Roman"/>
          <w:b w:val="0"/>
          <w:sz w:val="24"/>
        </w:rPr>
        <w:t>本部分回答KQ1，检验H1a、H1b，给出“类型×形态×时段”的逐时ΔTa与ΔUTCI。</w:t>
      </w:r>
    </w:p>
    <w:p>
      <w:pPr>
        <w:keepNext/>
        <w:snapToGrid w:val="0"/>
        <w:spacing w:lineRule="exact" w:line="440" w:before="0" w:after="0"/>
        <w:ind w:firstLineChars="200" w:firstLine="480"/>
        <w:jc w:val="both"/>
      </w:pPr>
      <w:r>
        <w:rPr>
          <w:rFonts w:ascii="Times New Roman" w:hAnsi="Times New Roman" w:eastAsia="楷体" w:cs="Times New Roman"/>
          <w:b/>
          <w:sz w:val="24"/>
        </w:rPr>
        <w:t>（1）YRD-HES构建与验证</w:t>
      </w:r>
    </w:p>
    <w:p>
      <w:pPr>
        <w:snapToGrid w:val="0"/>
        <w:spacing w:lineRule="exact" w:line="440" w:before="0" w:after="0"/>
        <w:ind w:firstLineChars="200" w:firstLine="480"/>
        <w:jc w:val="both"/>
      </w:pPr>
      <w:r>
        <w:rPr>
          <w:rFonts w:ascii="Times New Roman" w:hAnsi="Times New Roman" w:eastAsia="宋体" w:cs="Times New Roman"/>
          <w:b w:val="0"/>
          <w:sz w:val="24"/>
        </w:rPr>
        <w:t>以表1所列站点逐时观测、背景场、Landsat与MODIS影像及建筑与冠层高度为输入，经梯度提升树降尺度为全域1 km、三城30 m逐时产品。</w:t>
      </w:r>
      <w:r>
        <w:rPr>
          <w:rFonts w:ascii="Times New Roman" w:hAnsi="Times New Roman" w:eastAsia="宋体" w:cs="Times New Roman"/>
          <w:b/>
          <w:sz w:val="24"/>
        </w:rPr>
        <w:t>逐时变化来自站点、背景场与时间变量，极轨卫星与形态变量只提供空间细节。</w:t>
      </w:r>
      <w:r>
        <w:rPr>
          <w:rFonts w:ascii="Times New Roman" w:hAnsi="Times New Roman" w:eastAsia="宋体" w:cs="Times New Roman"/>
          <w:b w:val="0"/>
          <w:sz w:val="24"/>
        </w:rPr>
        <w:t>主模型只用全时段可得的预测变量，Himawari-8/9与ECOSTRESS仅用于逐时格局检验和敏感性模型。预测变量含背景场逐时气象要素、时间与太阳几何变量、晴空合成地表温度、植被指数、离水距离及形态与地形变量；站点观测经质量控制与均一化后纳入模型</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。UTCI按多项式近似计算</w:t>
      </w:r>
      <w:r>
        <w:rPr>
          <w:rFonts w:ascii="Times New Roman" w:hAnsi="Times New Roman" w:eastAsia="宋体" w:cs="Times New Roman"/>
          <w:b w:val="0"/>
          <w:sz w:val="24"/>
          <w:vertAlign w:val="superscript"/>
        </w:rPr>
        <w:t>[30]</w:t>
      </w:r>
      <w:r>
        <w:rPr>
          <w:rFonts w:ascii="Times New Roman" w:hAnsi="Times New Roman" w:eastAsia="宋体" w:cs="Times New Roman"/>
          <w:b w:val="0"/>
          <w:sz w:val="24"/>
        </w:rPr>
        <w:t>，分析以暖季（5—10月）为主，30 m逐时场只生产暖季</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；三城Tmrt以太阳与长波环境辐照几何（SOLWEIG）模型据逐时建筑与冠层阴影计算</w:t>
      </w:r>
      <w:r>
        <w:rPr>
          <w:rFonts w:ascii="Times New Roman" w:hAnsi="Times New Roman" w:eastAsia="宋体" w:cs="Times New Roman"/>
          <w:b w:val="0"/>
          <w:sz w:val="24"/>
          <w:vertAlign w:val="superscript"/>
        </w:rPr>
        <w:t>[57]</w:t>
      </w:r>
      <w:r>
        <w:rPr>
          <w:rFonts w:ascii="Times New Roman" w:hAnsi="Times New Roman" w:eastAsia="宋体" w:cs="Times New Roman"/>
          <w:b w:val="0"/>
          <w:sz w:val="24"/>
        </w:rPr>
        <w:t>，全域以形态参数与背景场近似，湿度由站点相对湿度同法降尺度；风速以天空视域因子等修正</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。为控制计算与存储量，30 m逐时场按图幅分块生成后即计算DCP等派生量并汇总至乡镇街道×小时（含人·小时加权的UTCI分箱），长期只存储汇总结果、位点样本与高温日全场；因三维形态为单时相、太阳位置逐年重复，阴影与天空视域因子在10 m网格按代表日计算一次、跨年复用后聚合至30 m</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w:t>
      </w:r>
    </w:p>
    <w:p>
      <w:pPr>
        <w:snapToGrid w:val="0"/>
        <w:spacing w:lineRule="exact" w:line="440" w:before="0" w:after="0"/>
        <w:ind w:firstLineChars="200" w:firstLine="480"/>
        <w:jc w:val="both"/>
      </w:pPr>
      <w:r>
        <w:rPr>
          <w:rFonts w:ascii="Times New Roman" w:hAnsi="Times New Roman" w:eastAsia="宋体" w:cs="Times New Roman"/>
          <w:b w:val="0"/>
          <w:sz w:val="24"/>
        </w:rPr>
        <w:t>采用嵌套交叉验证：外层为五折空间分块留站交叉验证，内层在训练折内调优超参数；另以留出年份检验跨年外推。若能获取区域自动站观测，一并用于训练与检验</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。分昼夜报告均方根误差、平均绝对误差、决定系数与偏差，单列高温日与夜间高温；与常规插值比较；逐时Ta均方根误差目标≤1.5 °C，未达标者降级使用或聚合至乡镇街道、区县</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w:t>
      </w:r>
    </w:p>
    <w:p>
      <w:pPr>
        <w:keepNext/>
        <w:snapToGrid w:val="0"/>
        <w:spacing w:lineRule="exact" w:line="440" w:before="0" w:after="0"/>
        <w:ind w:firstLineChars="200" w:firstLine="480"/>
        <w:jc w:val="both"/>
      </w:pPr>
      <w:r>
        <w:rPr>
          <w:rFonts w:ascii="Times New Roman" w:hAnsi="Times New Roman" w:eastAsia="楷体" w:cs="Times New Roman"/>
          <w:b/>
          <w:sz w:val="24"/>
        </w:rPr>
        <w:t>（2）NbS与形态分层的逐年重建</w:t>
      </w:r>
    </w:p>
    <w:p>
      <w:pPr>
        <w:snapToGrid w:val="0"/>
        <w:spacing w:lineRule="exact" w:line="440" w:before="0" w:after="0"/>
        <w:ind w:firstLineChars="200" w:firstLine="480"/>
        <w:jc w:val="both"/>
      </w:pPr>
      <w:r>
        <w:rPr>
          <w:rFonts w:ascii="Times New Roman" w:hAnsi="Times New Roman" w:eastAsia="宋体" w:cs="Times New Roman"/>
          <w:b w:val="0"/>
          <w:sz w:val="24"/>
        </w:rPr>
        <w:t>以中国土地覆盖数据集（China Land Cover Dataset，CLCD）与GLC_FCS30D逐年30 m土地覆盖为骨架（分别覆盖至2019、2022年，其后按同一分类外推</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w:t>
      </w:r>
      <w:r>
        <w:rPr>
          <w:rFonts w:ascii="Times New Roman" w:hAnsi="Times New Roman" w:eastAsia="宋体" w:cs="Times New Roman"/>
          <w:b w:val="0"/>
          <w:sz w:val="24"/>
          <w:vertAlign w:val="superscript"/>
        </w:rPr>
        <w:t>[58,59]</w:t>
      </w:r>
      <w:r>
        <w:rPr>
          <w:rFonts w:ascii="Times New Roman" w:hAnsi="Times New Roman" w:eastAsia="宋体" w:cs="Times New Roman"/>
          <w:b w:val="0"/>
          <w:sz w:val="24"/>
        </w:rPr>
        <w:t>，以Sentinel-2、高分影像与街景补充细节与行人高度结构，以园林、水务矢量核对。模型以多源数据并存的近年样本训练，经标签迁移应用于早年：近年重建冠层结构、边缘与垂直配置等完整属性，早年仅重建类型、面积与冠层覆盖；逐年精度以留出年份检验。检验样本按年份与类别分层随机抽取，以目视解译为参照，报告总体及各类用户、生产者精度，并据混淆矩阵校正面积；总体精度目标≥80%，未达标类别在早年并入其上位类别（绿色或蓝色NbS）</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。街道绿化仅近年可经Sentinel-2与街景识别，早年并入乔木主导绿地，相关对比与分类型DCP限于近年</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w:t>
      </w:r>
    </w:p>
    <w:p>
      <w:pPr>
        <w:snapToGrid w:val="0"/>
        <w:spacing w:lineRule="exact" w:line="440" w:before="0" w:after="0"/>
        <w:ind w:firstLineChars="200" w:firstLine="480"/>
        <w:jc w:val="both"/>
      </w:pPr>
      <w:r>
        <w:rPr>
          <w:rFonts w:ascii="Times New Roman" w:hAnsi="Times New Roman" w:eastAsia="宋体" w:cs="Times New Roman"/>
          <w:b w:val="0"/>
          <w:sz w:val="24"/>
        </w:rPr>
        <w:t>九类NbS为乔木主导绿地、草地与灌丛、山地林地、街道绿化、河道与运河、湖泊与大江大河水面（限大型水体，城市内湖归入蓝绿复合空间</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）、湿地、滨水空间及蓝绿复合空间。建成环境以建筑高度、建筑覆盖率、容积率、街谷几何、不透水面、表面材料与通风潜力刻画，参照LCZ</w:t>
      </w:r>
      <w:r>
        <w:rPr>
          <w:rFonts w:ascii="Times New Roman" w:hAnsi="Times New Roman" w:eastAsia="宋体" w:cs="Times New Roman"/>
          <w:b w:val="0"/>
          <w:sz w:val="24"/>
          <w:vertAlign w:val="superscript"/>
        </w:rPr>
        <w:t>[28]</w:t>
      </w:r>
      <w:r>
        <w:rPr>
          <w:rFonts w:ascii="Times New Roman" w:hAnsi="Times New Roman" w:eastAsia="宋体" w:cs="Times New Roman"/>
          <w:b w:val="0"/>
          <w:sz w:val="24"/>
        </w:rPr>
        <w:t>聚类为形态分层。因无逐年激光雷达数据，三维形态仅有2020年前后单时相，精细归因以近年为主。</w:t>
      </w:r>
    </w:p>
    <w:p>
      <w:pPr>
        <w:keepNext/>
        <w:snapToGrid w:val="0"/>
        <w:spacing w:lineRule="exact" w:line="440" w:before="0" w:after="0"/>
        <w:ind w:firstLineChars="200" w:firstLine="480"/>
        <w:jc w:val="both"/>
      </w:pPr>
      <w:r>
        <w:rPr>
          <w:rFonts w:ascii="Times New Roman" w:hAnsi="Times New Roman" w:eastAsia="楷体" w:cs="Times New Roman"/>
          <w:b/>
          <w:sz w:val="24"/>
        </w:rPr>
        <w:t>（3）分层与遮荫分离下的归因估计</w:t>
      </w:r>
    </w:p>
    <w:p>
      <w:pPr>
        <w:snapToGrid w:val="0"/>
        <w:spacing w:lineRule="exact" w:line="440" w:before="0" w:after="0"/>
        <w:ind w:firstLineChars="200" w:firstLine="480"/>
        <w:jc w:val="both"/>
      </w:pPr>
      <w:r>
        <w:rPr>
          <w:rFonts w:ascii="Times New Roman" w:hAnsi="Times New Roman" w:eastAsia="宋体" w:cs="Times New Roman"/>
          <w:b w:val="0"/>
          <w:sz w:val="24"/>
        </w:rPr>
        <w:t>第一，在形态分层内比较有、无NbS的相似位点，以免将建筑遮荫误计为NbS降温。匹配变量取建筑高度、建筑覆盖率、天空视域因子、不透水面比例、高程与离水距离，以马氏距离最近邻匹配并设卡钳；匹配后各变量标准化均值差均小于0.1视为平衡，否则该分层不估计该类NbS效应</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w:t>
      </w:r>
    </w:p>
    <w:p>
      <w:pPr>
        <w:snapToGrid w:val="0"/>
        <w:spacing w:lineRule="exact" w:line="440" w:before="0" w:after="0"/>
        <w:ind w:firstLineChars="200" w:firstLine="480"/>
        <w:jc w:val="both"/>
      </w:pPr>
      <w:r>
        <w:rPr>
          <w:rFonts w:ascii="Times New Roman" w:hAnsi="Times New Roman" w:eastAsia="宋体" w:cs="Times New Roman"/>
          <w:b w:val="0"/>
          <w:sz w:val="24"/>
        </w:rPr>
        <w:t>第二，按逐时太阳位置分别投影建筑与冠层高度面计算阴影，建筑阴影归形态、冠层阴影归NbS，二者重叠部分归形态</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w:t>
      </w:r>
    </w:p>
    <w:p>
      <w:pPr>
        <w:snapToGrid w:val="0"/>
        <w:spacing w:lineRule="exact" w:line="440" w:before="0" w:after="0"/>
        <w:ind w:firstLineChars="200" w:firstLine="480"/>
        <w:jc w:val="both"/>
      </w:pPr>
      <w:r>
        <w:rPr>
          <w:rFonts w:ascii="Times New Roman" w:hAnsi="Times New Roman" w:eastAsia="宋体" w:cs="Times New Roman"/>
          <w:b w:val="0"/>
          <w:sz w:val="24"/>
        </w:rPr>
        <w:t>第三，将日照、辐射、植被结构、离水距离、通风与湿度纳入广义加性模型（generalized additive model，GAM），以平滑项偏效应给出各类NbS逐时贡献；仅与梯度提升树的沙普利加性解释（SHapley Additive exPlanations，SHAP）方向一致的结果进入矩阵</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。GAM以逐时Ta为响应变量：Ta</w:t>
      </w:r>
      <w:r>
        <w:rPr>
          <w:rFonts w:ascii="Times New Roman" w:hAnsi="Times New Roman" w:eastAsia="宋体" w:cs="Times New Roman"/>
          <w:b w:val="0"/>
          <w:sz w:val="24"/>
          <w:vertAlign w:val="subscript"/>
        </w:rPr>
        <w:t>i,t</w:t>
      </w:r>
      <w:r>
        <w:rPr>
          <w:rFonts w:ascii="Times New Roman" w:hAnsi="Times New Roman" w:eastAsia="宋体" w:cs="Times New Roman"/>
          <w:b w:val="0"/>
          <w:sz w:val="24"/>
        </w:rPr>
        <w:t xml:space="preserve"> = Σ</w:t>
      </w:r>
      <w:r>
        <w:rPr>
          <w:rFonts w:ascii="Times New Roman" w:hAnsi="Times New Roman" w:eastAsia="宋体" w:cs="Times New Roman"/>
          <w:b w:val="0"/>
          <w:sz w:val="24"/>
          <w:vertAlign w:val="subscript"/>
        </w:rPr>
        <w:t>c</w:t>
      </w:r>
      <w:r>
        <w:rPr>
          <w:rFonts w:ascii="Times New Roman" w:hAnsi="Times New Roman" w:eastAsia="宋体" w:cs="Times New Roman"/>
          <w:b w:val="0"/>
          <w:sz w:val="24"/>
        </w:rPr>
        <w:t>te(A</w:t>
      </w:r>
      <w:r>
        <w:rPr>
          <w:rFonts w:ascii="Times New Roman" w:hAnsi="Times New Roman" w:eastAsia="宋体" w:cs="Times New Roman"/>
          <w:b w:val="0"/>
          <w:sz w:val="24"/>
          <w:vertAlign w:val="subscript"/>
        </w:rPr>
        <w:t>c,i</w:t>
      </w:r>
      <w:r>
        <w:rPr>
          <w:rFonts w:ascii="Times New Roman" w:hAnsi="Times New Roman" w:eastAsia="宋体" w:cs="Times New Roman"/>
          <w:b w:val="0"/>
          <w:sz w:val="24"/>
        </w:rPr>
        <w:t>, h</w:t>
      </w:r>
      <w:r>
        <w:rPr>
          <w:rFonts w:ascii="Times New Roman" w:hAnsi="Times New Roman" w:eastAsia="宋体" w:cs="Times New Roman"/>
          <w:b w:val="0"/>
          <w:sz w:val="24"/>
          <w:vertAlign w:val="subscript"/>
        </w:rPr>
        <w:t>t</w:t>
      </w:r>
      <w:r>
        <w:rPr>
          <w:rFonts w:ascii="Times New Roman" w:hAnsi="Times New Roman" w:eastAsia="宋体" w:cs="Times New Roman"/>
          <w:b w:val="0"/>
          <w:sz w:val="24"/>
        </w:rPr>
        <w:t>) + Σ</w:t>
      </w:r>
      <w:r>
        <w:rPr>
          <w:rFonts w:ascii="Times New Roman" w:hAnsi="Times New Roman" w:eastAsia="宋体" w:cs="Times New Roman"/>
          <w:b w:val="0"/>
          <w:sz w:val="24"/>
          <w:vertAlign w:val="subscript"/>
        </w:rPr>
        <w:t>m</w:t>
      </w:r>
      <w:r>
        <w:rPr>
          <w:rFonts w:ascii="Times New Roman" w:hAnsi="Times New Roman" w:eastAsia="宋体" w:cs="Times New Roman"/>
          <w:b w:val="0"/>
          <w:sz w:val="24"/>
        </w:rPr>
        <w:t>s(z</w:t>
      </w:r>
      <w:r>
        <w:rPr>
          <w:rFonts w:ascii="Times New Roman" w:hAnsi="Times New Roman" w:eastAsia="宋体" w:cs="Times New Roman"/>
          <w:b w:val="0"/>
          <w:sz w:val="24"/>
          <w:vertAlign w:val="subscript"/>
        </w:rPr>
        <w:t>m,i,t</w:t>
      </w:r>
      <w:r>
        <w:rPr>
          <w:rFonts w:ascii="Times New Roman" w:hAnsi="Times New Roman" w:eastAsia="宋体" w:cs="Times New Roman"/>
          <w:b w:val="0"/>
          <w:sz w:val="24"/>
        </w:rPr>
        <w:t>) + s(x</w:t>
      </w:r>
      <w:r>
        <w:rPr>
          <w:rFonts w:ascii="Times New Roman" w:hAnsi="Times New Roman" w:eastAsia="宋体" w:cs="Times New Roman"/>
          <w:b w:val="0"/>
          <w:sz w:val="24"/>
          <w:vertAlign w:val="subscript"/>
        </w:rPr>
        <w:t>i</w:t>
      </w:r>
      <w:r>
        <w:rPr>
          <w:rFonts w:ascii="Times New Roman" w:hAnsi="Times New Roman" w:eastAsia="宋体" w:cs="Times New Roman"/>
          <w:b w:val="0"/>
          <w:sz w:val="24"/>
        </w:rPr>
        <w:t>, y</w:t>
      </w:r>
      <w:r>
        <w:rPr>
          <w:rFonts w:ascii="Times New Roman" w:hAnsi="Times New Roman" w:eastAsia="宋体" w:cs="Times New Roman"/>
          <w:b w:val="0"/>
          <w:sz w:val="24"/>
          <w:vertAlign w:val="subscript"/>
        </w:rPr>
        <w:t>i</w:t>
      </w:r>
      <w:r>
        <w:rPr>
          <w:rFonts w:ascii="Times New Roman" w:hAnsi="Times New Roman" w:eastAsia="宋体" w:cs="Times New Roman"/>
          <w:b w:val="0"/>
          <w:sz w:val="24"/>
        </w:rPr>
        <w:t>) + b</w:t>
      </w:r>
      <w:r>
        <w:rPr>
          <w:rFonts w:ascii="Times New Roman" w:hAnsi="Times New Roman" w:eastAsia="宋体" w:cs="Times New Roman"/>
          <w:b w:val="0"/>
          <w:sz w:val="24"/>
          <w:vertAlign w:val="subscript"/>
        </w:rPr>
        <w:t>分层</w:t>
      </w:r>
      <w:r>
        <w:rPr>
          <w:rFonts w:ascii="Times New Roman" w:hAnsi="Times New Roman" w:eastAsia="宋体" w:cs="Times New Roman"/>
          <w:b w:val="0"/>
          <w:sz w:val="24"/>
        </w:rPr>
        <w:t xml:space="preserve"> + ε</w:t>
      </w:r>
      <w:r>
        <w:rPr>
          <w:rFonts w:ascii="Times New Roman" w:hAnsi="Times New Roman" w:eastAsia="宋体" w:cs="Times New Roman"/>
          <w:b w:val="0"/>
          <w:sz w:val="24"/>
          <w:vertAlign w:val="subscript"/>
        </w:rPr>
        <w:t>i,t</w:t>
      </w:r>
      <w:r>
        <w:rPr>
          <w:rFonts w:ascii="Times New Roman" w:hAnsi="Times New Roman" w:eastAsia="宋体" w:cs="Times New Roman"/>
          <w:b w:val="0"/>
          <w:sz w:val="24"/>
        </w:rPr>
        <w:t>。式中，A</w:t>
      </w:r>
      <w:r>
        <w:rPr>
          <w:rFonts w:ascii="Times New Roman" w:hAnsi="Times New Roman" w:eastAsia="宋体" w:cs="Times New Roman"/>
          <w:b w:val="0"/>
          <w:sz w:val="24"/>
          <w:vertAlign w:val="subscript"/>
        </w:rPr>
        <w:t>c,i</w:t>
      </w:r>
      <w:r>
        <w:rPr>
          <w:rFonts w:ascii="Times New Roman" w:hAnsi="Times New Roman" w:eastAsia="宋体" w:cs="Times New Roman"/>
          <w:b w:val="0"/>
          <w:sz w:val="24"/>
        </w:rPr>
        <w:t>为位点i周边第c类NbS的覆盖与结构；h</w:t>
      </w:r>
      <w:r>
        <w:rPr>
          <w:rFonts w:ascii="Times New Roman" w:hAnsi="Times New Roman" w:eastAsia="宋体" w:cs="Times New Roman"/>
          <w:b w:val="0"/>
          <w:sz w:val="24"/>
          <w:vertAlign w:val="subscript"/>
        </w:rPr>
        <w:t>t</w:t>
      </w:r>
      <w:r>
        <w:rPr>
          <w:rFonts w:ascii="Times New Roman" w:hAnsi="Times New Roman" w:eastAsia="宋体" w:cs="Times New Roman"/>
          <w:b w:val="0"/>
          <w:sz w:val="24"/>
        </w:rPr>
        <w:t>为时刻；te为张量积平滑；z</w:t>
      </w:r>
      <w:r>
        <w:rPr>
          <w:rFonts w:ascii="Times New Roman" w:hAnsi="Times New Roman" w:eastAsia="宋体" w:cs="Times New Roman"/>
          <w:b w:val="0"/>
          <w:sz w:val="24"/>
          <w:vertAlign w:val="subscript"/>
        </w:rPr>
        <w:t>m</w:t>
      </w:r>
      <w:r>
        <w:rPr>
          <w:rFonts w:ascii="Times New Roman" w:hAnsi="Times New Roman" w:eastAsia="宋体" w:cs="Times New Roman"/>
          <w:b w:val="0"/>
          <w:sz w:val="24"/>
        </w:rPr>
        <w:t>为背景场逐时气温等其余协变量，用以吸收天气过程变化；s(x</w:t>
      </w:r>
      <w:r>
        <w:rPr>
          <w:rFonts w:ascii="Times New Roman" w:hAnsi="Times New Roman" w:eastAsia="宋体" w:cs="Times New Roman"/>
          <w:b w:val="0"/>
          <w:sz w:val="24"/>
          <w:vertAlign w:val="subscript"/>
        </w:rPr>
        <w:t>i</w:t>
      </w:r>
      <w:r>
        <w:rPr>
          <w:rFonts w:ascii="Times New Roman" w:hAnsi="Times New Roman" w:eastAsia="宋体" w:cs="Times New Roman"/>
          <w:b w:val="0"/>
          <w:sz w:val="24"/>
        </w:rPr>
        <w:t>, y</w:t>
      </w:r>
      <w:r>
        <w:rPr>
          <w:rFonts w:ascii="Times New Roman" w:hAnsi="Times New Roman" w:eastAsia="宋体" w:cs="Times New Roman"/>
          <w:b w:val="0"/>
          <w:sz w:val="24"/>
          <w:vertAlign w:val="subscript"/>
        </w:rPr>
        <w:t>i</w:t>
      </w:r>
      <w:r>
        <w:rPr>
          <w:rFonts w:ascii="Times New Roman" w:hAnsi="Times New Roman" w:eastAsia="宋体" w:cs="Times New Roman"/>
          <w:b w:val="0"/>
          <w:sz w:val="24"/>
        </w:rPr>
        <w:t>)为位点坐标的二维平滑，吸收残余空间自相关；b</w:t>
      </w:r>
      <w:r>
        <w:rPr>
          <w:rFonts w:ascii="Times New Roman" w:hAnsi="Times New Roman" w:eastAsia="宋体" w:cs="Times New Roman"/>
          <w:b w:val="0"/>
          <w:sz w:val="24"/>
          <w:vertAlign w:val="subscript"/>
        </w:rPr>
        <w:t>分层</w:t>
      </w:r>
      <w:r>
        <w:rPr>
          <w:rFonts w:ascii="Times New Roman" w:hAnsi="Times New Roman" w:eastAsia="宋体" w:cs="Times New Roman"/>
          <w:b w:val="0"/>
          <w:sz w:val="24"/>
        </w:rPr>
        <w:t>为形态分层随机效应。ΔTa</w:t>
      </w:r>
      <w:r>
        <w:rPr>
          <w:rFonts w:ascii="Times New Roman" w:hAnsi="Times New Roman" w:eastAsia="宋体" w:cs="Times New Roman"/>
          <w:b w:val="0"/>
          <w:sz w:val="24"/>
          <w:vertAlign w:val="subscript"/>
        </w:rPr>
        <w:t>c</w:t>
      </w:r>
      <w:r>
        <w:rPr>
          <w:rFonts w:ascii="Times New Roman" w:hAnsi="Times New Roman" w:eastAsia="宋体" w:cs="Times New Roman"/>
          <w:b w:val="0"/>
          <w:sz w:val="24"/>
        </w:rPr>
        <w:t>为按2.2节将A</w:t>
      </w:r>
      <w:r>
        <w:rPr>
          <w:rFonts w:ascii="Times New Roman" w:hAnsi="Times New Roman" w:eastAsia="宋体" w:cs="Times New Roman"/>
          <w:b w:val="0"/>
          <w:sz w:val="24"/>
          <w:vertAlign w:val="subscript"/>
        </w:rPr>
        <w:t>c,i</w:t>
      </w:r>
      <w:r>
        <w:rPr>
          <w:rFonts w:ascii="Times New Roman" w:hAnsi="Times New Roman" w:eastAsia="宋体" w:cs="Times New Roman"/>
          <w:b w:val="0"/>
          <w:sz w:val="24"/>
        </w:rPr>
        <w:t>置零、相应协变量取同层非NbS下垫面中位特征后与替换前的预测之差（以降温为正）</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；因响应为YRD-HES模拟值，结果须经（4）去NbS变量模型复核。ΔUTCI以ΔTa、Δ水汽压与冠层阴影算得的ΔTmrt代入UTCI求得，风速取实际值，NbS对通风的影响只在三维微气候模型ENVI-met中评估</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；各项贡献分昼、夜、高温日与夜间高温报告。</w:t>
      </w:r>
    </w:p>
    <w:p>
      <w:pPr>
        <w:keepNext/>
        <w:snapToGrid w:val="0"/>
        <w:spacing w:lineRule="exact" w:line="440" w:before="0" w:after="0"/>
        <w:ind w:firstLineChars="200" w:firstLine="480"/>
        <w:jc w:val="both"/>
      </w:pPr>
      <w:r>
        <w:rPr>
          <w:rFonts w:ascii="Times New Roman" w:hAnsi="Times New Roman" w:eastAsia="楷体" w:cs="Times New Roman"/>
          <w:b/>
          <w:sz w:val="24"/>
        </w:rPr>
        <w:t>（4）独立检验与循环论证检验</w:t>
      </w:r>
    </w:p>
    <w:p>
      <w:pPr>
        <w:snapToGrid w:val="0"/>
        <w:spacing w:lineRule="exact" w:line="440" w:before="0" w:after="0"/>
        <w:ind w:firstLineChars="200" w:firstLine="480"/>
        <w:jc w:val="both"/>
      </w:pPr>
      <w:r>
        <w:rPr>
          <w:rFonts w:ascii="Times New Roman" w:hAnsi="Times New Roman" w:eastAsia="宋体" w:cs="Times New Roman"/>
          <w:b w:val="0"/>
          <w:sz w:val="24"/>
        </w:rPr>
        <w:t>针对未观测混杂，另作三项检验，结果与分层估计同向且区间重叠视为一致，否则该单元在矩阵中降为“证据不足”</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w:t>
      </w:r>
    </w:p>
    <w:p>
      <w:pPr>
        <w:snapToGrid w:val="0"/>
        <w:spacing w:lineRule="exact" w:line="440" w:before="0" w:after="0"/>
        <w:ind w:firstLineChars="200" w:firstLine="480"/>
        <w:jc w:val="both"/>
      </w:pPr>
      <w:r>
        <w:rPr>
          <w:rFonts w:ascii="Times New Roman" w:hAnsi="Times New Roman" w:eastAsia="宋体" w:cs="Times New Roman"/>
          <w:b w:val="0"/>
          <w:sz w:val="24"/>
        </w:rPr>
        <w:t>一是双重差分（difference-in-differences，DID）自然实验，比较植被或水体改变而建筑、人口与用地基本稳定的实施区与对照区。候选案例</w:t>
      </w:r>
      <w:r>
        <w:rPr>
          <w:rFonts w:ascii="Times New Roman" w:hAnsi="Times New Roman" w:eastAsia="宋体" w:cs="Times New Roman"/>
          <w:b w:val="0"/>
          <w:sz w:val="24"/>
          <w:highlight w:val="yellow"/>
        </w:rPr>
        <w:t>【待核实】</w:t>
      </w:r>
      <w:r>
        <w:rPr>
          <w:rFonts w:ascii="Times New Roman" w:hAnsi="Times New Roman" w:eastAsia="宋体" w:cs="Times New Roman"/>
          <w:b w:val="0"/>
          <w:sz w:val="24"/>
        </w:rPr>
        <w:t>为黄浦江两岸公共空间贯通（2017年底）、苏州河中心城段岸线贯通（2020年底）及杭州、南京河道整治与新建公园；口袋公园只作ENVI-met情景检验。结局变量取Landsat地表温度、剔除NbS变量的YRD-HES（去NbS变量模型）与站点观测，以免循环论证，仅检验方向与量级。以事件研究设定估计实施前后各年效应；若实施前各期系数的联合检验拒绝平行趋势假设，则改用合成控制法</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。全域层另以分批实施的海绵城市试点城市（名单见立项依据）为案例，先识别其中的绿化与水体改造，再以合成控制法构造对照</w:t>
      </w:r>
      <w:r>
        <w:rPr>
          <w:rFonts w:ascii="Times New Roman" w:hAnsi="Times New Roman" w:eastAsia="宋体" w:cs="Times New Roman"/>
          <w:b w:val="0"/>
          <w:sz w:val="24"/>
          <w:vertAlign w:val="superscript"/>
        </w:rPr>
        <w:t>[33]</w:t>
      </w:r>
      <w:r>
        <w:rPr>
          <w:rFonts w:ascii="Times New Roman" w:hAnsi="Times New Roman" w:eastAsia="宋体" w:cs="Times New Roman"/>
          <w:b w:val="0"/>
          <w:sz w:val="24"/>
        </w:rPr>
        <w:t>，以置换检验推断</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w:t>
      </w:r>
    </w:p>
    <w:p>
      <w:pPr>
        <w:snapToGrid w:val="0"/>
        <w:spacing w:lineRule="exact" w:line="440" w:before="0" w:after="0"/>
        <w:ind w:firstLineChars="200" w:firstLine="480"/>
        <w:jc w:val="both"/>
      </w:pPr>
      <w:r>
        <w:rPr>
          <w:rFonts w:ascii="Times New Roman" w:hAnsi="Times New Roman" w:eastAsia="宋体" w:cs="Times New Roman"/>
          <w:b w:val="0"/>
          <w:sz w:val="24"/>
        </w:rPr>
        <w:t>二是ENVI-met移除试验</w:t>
      </w:r>
      <w:r>
        <w:rPr>
          <w:rFonts w:ascii="Times New Roman" w:hAnsi="Times New Roman" w:eastAsia="宋体" w:cs="Times New Roman"/>
          <w:b w:val="0"/>
          <w:sz w:val="24"/>
          <w:vertAlign w:val="superscript"/>
        </w:rPr>
        <w:t>[60]</w:t>
      </w:r>
      <w:r>
        <w:rPr>
          <w:rFonts w:ascii="Times New Roman" w:hAnsi="Times New Roman" w:eastAsia="宋体" w:cs="Times New Roman"/>
          <w:b w:val="0"/>
          <w:sz w:val="24"/>
        </w:rPr>
        <w:t>，作为H1的机制检验：在三城选6～8个点位</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以河道、滨水空间、湿地与蓝绿复合空间为主，另含高层街区街道绿化点位，同时检验Ta与UTCI并与邻近站点比对方向，不一致时追溯至遮荫、蒸散、通风、湿度或模型假设。模拟以邻近站点典型湿热晴天（日最高气温≥35 °C、弱风）逐时气象驱动，同法计算行人高度UTCI</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w:t>
      </w:r>
    </w:p>
    <w:p>
      <w:pPr>
        <w:snapToGrid w:val="0"/>
        <w:spacing w:lineRule="exact" w:line="440" w:before="0" w:after="0"/>
        <w:ind w:firstLineChars="200" w:firstLine="480"/>
        <w:jc w:val="both"/>
      </w:pPr>
      <w:r>
        <w:rPr>
          <w:rFonts w:ascii="Times New Roman" w:hAnsi="Times New Roman" w:eastAsia="宋体" w:cs="Times New Roman"/>
          <w:b w:val="0"/>
          <w:sz w:val="24"/>
        </w:rPr>
        <w:t>三是循环论证检验：以仅含卫星热红外、再分析与形态变量的去NbS变量模型重估可归因降温；若结果仍同向，则表明其来自观测热信号而非地类标签。</w:t>
      </w:r>
    </w:p>
    <w:p>
      <w:pPr>
        <w:keepNext/>
        <w:snapToGrid w:val="0"/>
        <w:spacing w:lineRule="exact" w:line="440" w:before="0" w:after="0"/>
        <w:ind w:firstLineChars="200" w:firstLine="480"/>
        <w:jc w:val="both"/>
      </w:pPr>
      <w:r>
        <w:rPr>
          <w:rFonts w:ascii="Times New Roman" w:hAnsi="Times New Roman" w:eastAsia="楷体" w:cs="Times New Roman"/>
          <w:b/>
          <w:sz w:val="24"/>
        </w:rPr>
        <w:t>（5）41城区域异质性</w:t>
      </w:r>
    </w:p>
    <w:p>
      <w:pPr>
        <w:snapToGrid w:val="0"/>
        <w:spacing w:lineRule="exact" w:line="440" w:before="0" w:after="0"/>
        <w:ind w:firstLineChars="200" w:firstLine="480"/>
        <w:jc w:val="both"/>
      </w:pPr>
      <w:r>
        <w:rPr>
          <w:rFonts w:ascii="Times New Roman" w:hAnsi="Times New Roman" w:eastAsia="宋体" w:cs="Times New Roman"/>
          <w:b w:val="0"/>
          <w:sz w:val="24"/>
        </w:rPr>
        <w:t>全域层以1 km单元内七类可移除NbS覆盖比例为处理变量，在形态分层内以含城市随机效应的混合效应模型估计边际ΔTa、ΔUTCI（不作遮荫分离），生成1 km逐时ΔU供DCP</w:t>
      </w:r>
      <w:r>
        <w:rPr>
          <w:rFonts w:ascii="Times New Roman" w:hAnsi="Times New Roman" w:eastAsia="宋体" w:cs="Times New Roman"/>
          <w:b w:val="0"/>
          <w:sz w:val="24"/>
          <w:vertAlign w:val="subscript"/>
        </w:rPr>
        <w:t>res</w:t>
      </w:r>
      <w:r>
        <w:rPr>
          <w:rFonts w:ascii="Times New Roman" w:hAnsi="Times New Roman" w:eastAsia="宋体" w:cs="Times New Roman"/>
          <w:b w:val="0"/>
          <w:sz w:val="24"/>
        </w:rPr>
        <w:t>与全域已避免负担估算</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。城市间以背景气候</w:t>
      </w:r>
      <w:r>
        <w:rPr>
          <w:rFonts w:ascii="Times New Roman" w:hAnsi="Times New Roman" w:eastAsia="宋体" w:cs="Times New Roman"/>
          <w:b w:val="0"/>
          <w:sz w:val="24"/>
          <w:vertAlign w:val="superscript"/>
        </w:rPr>
        <w:t>[25]</w:t>
      </w:r>
      <w:r>
        <w:rPr>
          <w:rFonts w:ascii="Times New Roman" w:hAnsi="Times New Roman" w:eastAsia="宋体" w:cs="Times New Roman"/>
          <w:b w:val="0"/>
          <w:sz w:val="24"/>
        </w:rPr>
        <w:t>、水网密度（河网密度与水面率）与城市规模为协变量作探索性分析，报告偏效应及区间；三城估计聚合后与全域比对。</w:t>
      </w:r>
    </w:p>
    <w:p>
      <w:pPr>
        <w:snapToGrid w:val="0"/>
        <w:spacing w:lineRule="exact" w:line="440" w:before="0" w:after="0"/>
        <w:ind w:firstLineChars="200" w:firstLine="480"/>
        <w:jc w:val="both"/>
      </w:pPr>
      <w:r>
        <w:rPr>
          <w:rFonts w:ascii="Times New Roman" w:hAnsi="Times New Roman" w:eastAsia="宋体" w:cs="Times New Roman"/>
          <w:b/>
          <w:sz w:val="24"/>
        </w:rPr>
        <w:t>检验判据：</w:t>
      </w:r>
      <w:r>
        <w:rPr>
          <w:rFonts w:ascii="Times New Roman" w:hAnsi="Times New Roman" w:eastAsia="宋体" w:cs="Times New Roman"/>
          <w:b w:val="0"/>
          <w:sz w:val="24"/>
        </w:rPr>
        <w:t>H1a——分层与遮荫分离后的估计显著小于未控制形态者，且高层高密度分层中街道绿化的高估大于其余预设对比（差值区间均不含0），并通过（4）的独立检验（有DID案例者须与之一致）；H1b——在预设的高湿、弱风、无遮荫条件层内，河道、湿地、滨水空间与蓝绿复合空间的统计估计ΔTa区间下限&gt;0，而ΔUTCI区间含0或上限&lt;0</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；ENVI-met移除试验在多数点位与统计估计同向且与邻近站点观测一致，作为机制佐证。</w:t>
      </w:r>
    </w:p>
    <w:p>
      <w:pPr>
        <w:keepNext/>
        <w:snapToGrid w:val="0"/>
        <w:spacing w:lineRule="exact" w:line="440" w:before="80" w:after="0"/>
        <w:jc w:val="both"/>
      </w:pPr>
      <w:r>
        <w:rPr>
          <w:rFonts w:ascii="Times New Roman" w:hAnsi="Times New Roman" w:eastAsia="宋体" w:cs="Times New Roman"/>
          <w:b/>
          <w:sz w:val="24"/>
        </w:rPr>
        <w:t>3.2 研究内容二：DCP的时空耦合与分配公平</w:t>
      </w:r>
    </w:p>
    <w:p>
      <w:pPr>
        <w:snapToGrid w:val="0"/>
        <w:spacing w:lineRule="exact" w:line="440" w:before="0" w:after="0"/>
        <w:ind w:firstLineChars="200" w:firstLine="480"/>
        <w:jc w:val="both"/>
      </w:pPr>
      <w:r>
        <w:rPr>
          <w:rFonts w:ascii="Times New Roman" w:hAnsi="Times New Roman" w:eastAsia="宋体" w:cs="Times New Roman"/>
          <w:b w:val="0"/>
          <w:sz w:val="24"/>
        </w:rPr>
        <w:t>本部分回答KQ2，在三城检验H2a、H2b并分解四类活动场景对DCP的贡献；全域层报告DCP</w:t>
      </w:r>
      <w:r>
        <w:rPr>
          <w:rFonts w:ascii="Times New Roman" w:hAnsi="Times New Roman" w:eastAsia="宋体" w:cs="Times New Roman"/>
          <w:b w:val="0"/>
          <w:sz w:val="24"/>
          <w:vertAlign w:val="subscript"/>
        </w:rPr>
        <w:t>res</w:t>
      </w:r>
      <w:r>
        <w:rPr>
          <w:rFonts w:ascii="Times New Roman" w:hAnsi="Times New Roman" w:eastAsia="宋体" w:cs="Times New Roman"/>
          <w:b w:val="0"/>
          <w:sz w:val="24"/>
        </w:rPr>
        <w:t>格局。</w:t>
      </w:r>
    </w:p>
    <w:p>
      <w:pPr>
        <w:keepNext/>
        <w:snapToGrid w:val="0"/>
        <w:spacing w:lineRule="exact" w:line="440" w:before="0" w:after="0"/>
        <w:ind w:firstLineChars="200" w:firstLine="480"/>
        <w:jc w:val="both"/>
      </w:pPr>
      <w:r>
        <w:rPr>
          <w:rFonts w:ascii="Times New Roman" w:hAnsi="Times New Roman" w:eastAsia="楷体" w:cs="Times New Roman"/>
          <w:b/>
          <w:sz w:val="24"/>
        </w:rPr>
        <w:t>（1）逐时在场人口重建</w:t>
      </w:r>
    </w:p>
    <w:p>
      <w:pPr>
        <w:snapToGrid w:val="0"/>
        <w:spacing w:lineRule="exact" w:line="440" w:before="0" w:after="0"/>
        <w:ind w:firstLineChars="200" w:firstLine="480"/>
        <w:jc w:val="both"/>
      </w:pPr>
      <w:r>
        <w:rPr>
          <w:rFonts w:ascii="Times New Roman" w:hAnsi="Times New Roman" w:eastAsia="宋体" w:cs="Times New Roman"/>
          <w:b w:val="0"/>
          <w:sz w:val="24"/>
        </w:rPr>
        <w:t>三城以手机信令为主要数据源，含职住起讫点（origin-destination，OD）、逐时在场与分年龄段人口（已获得</w:t>
      </w:r>
      <w:r>
        <w:rPr>
          <w:rFonts w:ascii="Times New Roman" w:hAnsi="Times New Roman" w:eastAsia="宋体" w:cs="Times New Roman"/>
          <w:b w:val="0"/>
          <w:sz w:val="24"/>
          <w:highlight w:val="yellow"/>
        </w:rPr>
        <w:t>【待补充：年份、粒度与范围】</w:t>
      </w:r>
      <w:r>
        <w:rPr>
          <w:rFonts w:ascii="Times New Roman" w:hAnsi="Times New Roman" w:eastAsia="宋体" w:cs="Times New Roman"/>
          <w:b w:val="0"/>
          <w:sz w:val="24"/>
        </w:rPr>
        <w:t>）；以第五至七次普查乡镇街道人口与年龄结构及第七次普查100 m人口格网</w:t>
      </w:r>
      <w:r>
        <w:rPr>
          <w:rFonts w:ascii="Times New Roman" w:hAnsi="Times New Roman" w:eastAsia="宋体" w:cs="Times New Roman"/>
          <w:b w:val="0"/>
          <w:sz w:val="24"/>
          <w:vertAlign w:val="superscript"/>
        </w:rPr>
        <w:t>[61]</w:t>
      </w:r>
      <w:r>
        <w:rPr>
          <w:rFonts w:ascii="Times New Roman" w:hAnsi="Times New Roman" w:eastAsia="宋体" w:cs="Times New Roman"/>
          <w:b w:val="0"/>
          <w:sz w:val="24"/>
        </w:rPr>
        <w:t>为居住人口约束，普查间年份以WorldPop、LandScan插补。信令数据在境内安全环境中预处理：剔除漂移记录，识别停留点及居住地、工作地；以普查乡镇街道分年龄常住人口为控制总量，经迭代比例拟合得扩样权重，校正市场份额与年龄构成偏差</w:t>
      </w:r>
      <w:r>
        <w:rPr>
          <w:rFonts w:ascii="Times New Roman" w:hAnsi="Times New Roman" w:eastAsia="宋体" w:cs="Times New Roman"/>
          <w:b w:val="0"/>
          <w:sz w:val="24"/>
          <w:highlight w:val="yellow"/>
        </w:rPr>
        <w:t>【待确认：如为运营商汇总产品则核对其口径】</w:t>
      </w:r>
      <w:r>
        <w:rPr>
          <w:rFonts w:ascii="Times New Roman" w:hAnsi="Times New Roman" w:eastAsia="宋体" w:cs="Times New Roman"/>
          <w:b w:val="0"/>
          <w:sz w:val="24"/>
        </w:rPr>
        <w:t>。在场人口分夜间居住地、日间工作地、交通节点及出行途中四类场景：就业人口按职住OD分配至工作地，老年及非就业人口以居住地为锚、按信令活动半径分配，再在信令最小统计单元内按建筑面积与户外空间分配至栅格；出行途中人口按OD沿路网最短路径分配</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。室外UTCI只作用于室外在场：四类场景按各自的室外时间比例折算为P(g,i,t)，比例依信令停留类型与时间利用文献分场景、时段和年龄组设定</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（户外作业集中的场所—时段取1），并取0与1作上下界敏感性分析。无信令年份或某城信令不足时，以信令活动结构与普查人口回推。</w:t>
      </w:r>
    </w:p>
    <w:p>
      <w:pPr>
        <w:keepNext/>
        <w:snapToGrid w:val="0"/>
        <w:spacing w:lineRule="exact" w:line="440" w:before="0" w:after="0"/>
        <w:ind w:firstLineChars="200" w:firstLine="480"/>
        <w:jc w:val="both"/>
      </w:pPr>
      <w:r>
        <w:rPr>
          <w:rFonts w:ascii="Times New Roman" w:hAnsi="Times New Roman" w:eastAsia="楷体" w:cs="Times New Roman"/>
          <w:b/>
          <w:sz w:val="24"/>
        </w:rPr>
        <w:t>（2）三层次公平检验与来源分解</w:t>
      </w:r>
    </w:p>
    <w:p>
      <w:pPr>
        <w:snapToGrid w:val="0"/>
        <w:spacing w:lineRule="exact" w:line="440" w:before="0" w:after="0"/>
        <w:ind w:firstLineChars="200" w:firstLine="480"/>
        <w:jc w:val="both"/>
      </w:pPr>
      <w:r>
        <w:rPr>
          <w:rFonts w:ascii="Times New Roman" w:hAnsi="Times New Roman" w:eastAsia="宋体" w:cs="Times New Roman"/>
          <w:b w:val="0"/>
          <w:sz w:val="24"/>
        </w:rPr>
        <w:t>老年人按信令分年龄段人口与普查年龄结构识别；低社会经济地位以乡镇街道住房条件、老旧小区与流动人口比例为代理变量；户外工作者以信令停留模式与作业集中的场所—时段在地域层面识别，不推断个体属性；后两类按代理单元组计算（见2.2节），结论只适用于单元层面。不平等以人均差异、基尼系数及集中曲线与集中指数</w:t>
      </w:r>
      <w:r>
        <w:rPr>
          <w:rFonts w:ascii="Times New Roman" w:hAnsi="Times New Roman" w:eastAsia="宋体" w:cs="Times New Roman"/>
          <w:b w:val="0"/>
          <w:sz w:val="24"/>
          <w:vertAlign w:val="superscript"/>
        </w:rPr>
        <w:t>[62]</w:t>
      </w:r>
      <w:r>
        <w:rPr>
          <w:rFonts w:ascii="Times New Roman" w:hAnsi="Times New Roman" w:eastAsia="宋体" w:cs="Times New Roman"/>
          <w:b w:val="0"/>
          <w:sz w:val="24"/>
        </w:rPr>
        <w:t>度量，后两者检验保护是否集中于优势群体；据此比较三个层次的排序与集中方向。集中指数C = 2cov(y</w:t>
      </w:r>
      <w:r>
        <w:rPr>
          <w:rFonts w:ascii="Times New Roman" w:hAnsi="Times New Roman" w:eastAsia="宋体" w:cs="Times New Roman"/>
          <w:b w:val="0"/>
          <w:sz w:val="24"/>
          <w:vertAlign w:val="subscript"/>
        </w:rPr>
        <w:t>j</w:t>
      </w:r>
      <w:r>
        <w:rPr>
          <w:rFonts w:ascii="Times New Roman" w:hAnsi="Times New Roman" w:eastAsia="宋体" w:cs="Times New Roman"/>
          <w:b w:val="0"/>
          <w:sz w:val="24"/>
        </w:rPr>
        <w:t>, r</w:t>
      </w:r>
      <w:r>
        <w:rPr>
          <w:rFonts w:ascii="Times New Roman" w:hAnsi="Times New Roman" w:eastAsia="宋体" w:cs="Times New Roman"/>
          <w:b w:val="0"/>
          <w:sz w:val="24"/>
          <w:vertAlign w:val="subscript"/>
        </w:rPr>
        <w:t>j</w:t>
      </w:r>
      <w:r>
        <w:rPr>
          <w:rFonts w:ascii="Times New Roman" w:hAnsi="Times New Roman" w:eastAsia="宋体" w:cs="Times New Roman"/>
          <w:b w:val="0"/>
          <w:sz w:val="24"/>
        </w:rPr>
        <w:t>)/μ，y</w:t>
      </w:r>
      <w:r>
        <w:rPr>
          <w:rFonts w:ascii="Times New Roman" w:hAnsi="Times New Roman" w:eastAsia="宋体" w:cs="Times New Roman"/>
          <w:b w:val="0"/>
          <w:sz w:val="24"/>
          <w:vertAlign w:val="subscript"/>
        </w:rPr>
        <w:t>j</w:t>
      </w:r>
      <w:r>
        <w:rPr>
          <w:rFonts w:ascii="Times New Roman" w:hAnsi="Times New Roman" w:eastAsia="宋体" w:cs="Times New Roman"/>
          <w:b w:val="0"/>
          <w:sz w:val="24"/>
        </w:rPr>
        <w:t>为单元j的资源供给指标或人均DCP，r</w:t>
      </w:r>
      <w:r>
        <w:rPr>
          <w:rFonts w:ascii="Times New Roman" w:hAnsi="Times New Roman" w:eastAsia="宋体" w:cs="Times New Roman"/>
          <w:b w:val="0"/>
          <w:sz w:val="24"/>
          <w:vertAlign w:val="subscript"/>
        </w:rPr>
        <w:t>j</w:t>
      </w:r>
      <w:r>
        <w:rPr>
          <w:rFonts w:ascii="Times New Roman" w:hAnsi="Times New Roman" w:eastAsia="宋体" w:cs="Times New Roman"/>
          <w:b w:val="0"/>
          <w:sz w:val="24"/>
        </w:rPr>
        <w:t>为按社会经济地位代理值排序的人口加权分数秩次，μ为y的加权均值。DCP缺口的组间差异分解为NbS数量不足与三类非数量来源：将弱势组的NbS数量、类型构成、在场时段分布与形态分层分布逐项替换为参照组水平构造反事实，在全部16种因素子集下重算缺口差，按沙普利值得到各项份额；集中指数之差与份额按3.4节求区间，含乡镇街道整群自助抽样</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w:t>
      </w:r>
    </w:p>
    <w:p>
      <w:pPr>
        <w:snapToGrid w:val="0"/>
        <w:spacing w:lineRule="exact" w:line="440" w:before="0" w:after="0"/>
        <w:ind w:firstLineChars="200" w:firstLine="480"/>
        <w:jc w:val="both"/>
      </w:pPr>
      <w:r>
        <w:rPr>
          <w:rFonts w:ascii="Times New Roman" w:hAnsi="Times New Roman" w:eastAsia="宋体" w:cs="Times New Roman"/>
          <w:b/>
          <w:sz w:val="24"/>
        </w:rPr>
        <w:t>检验判据：</w:t>
      </w:r>
      <w:r>
        <w:rPr>
          <w:rFonts w:ascii="Times New Roman" w:hAnsi="Times New Roman" w:eastAsia="宋体" w:cs="Times New Roman"/>
          <w:b w:val="0"/>
          <w:sz w:val="24"/>
        </w:rPr>
        <w:t>H2a——资源供给排序与人均DCP排序的秩相关系数95%置信区间上限低于0.5</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，且两种集中指数之差的区间不含0；H2b——三类非数量来源合计贡献份额的区间下限高于50%。</w:t>
      </w:r>
    </w:p>
    <w:p>
      <w:pPr>
        <w:keepNext/>
        <w:snapToGrid w:val="0"/>
        <w:spacing w:lineRule="exact" w:line="440" w:before="80" w:after="0"/>
        <w:jc w:val="both"/>
      </w:pPr>
      <w:r>
        <w:rPr>
          <w:rFonts w:ascii="Times New Roman" w:hAnsi="Times New Roman" w:eastAsia="宋体" w:cs="Times New Roman"/>
          <w:b/>
          <w:sz w:val="24"/>
        </w:rPr>
        <w:t>3.3 研究内容三：DCP的健康检验与已避免负担估算</w:t>
      </w:r>
    </w:p>
    <w:p>
      <w:pPr>
        <w:snapToGrid w:val="0"/>
        <w:spacing w:lineRule="exact" w:line="440" w:before="0" w:after="0"/>
        <w:ind w:firstLineChars="200" w:firstLine="480"/>
        <w:jc w:val="both"/>
      </w:pPr>
      <w:r>
        <w:rPr>
          <w:rFonts w:ascii="Times New Roman" w:hAnsi="Times New Roman" w:eastAsia="宋体" w:cs="Times New Roman"/>
          <w:b w:val="0"/>
          <w:sz w:val="24"/>
        </w:rPr>
        <w:t>本部分回答KQ3，检验H3a、H3b。</w:t>
      </w:r>
    </w:p>
    <w:p>
      <w:pPr>
        <w:keepNext/>
        <w:snapToGrid w:val="0"/>
        <w:spacing w:lineRule="exact" w:line="440" w:before="0" w:after="0"/>
        <w:ind w:firstLineChars="200" w:firstLine="480"/>
        <w:jc w:val="both"/>
      </w:pPr>
      <w:r>
        <w:rPr>
          <w:rFonts w:ascii="Times New Roman" w:hAnsi="Times New Roman" w:eastAsia="楷体" w:cs="Times New Roman"/>
          <w:b/>
          <w:sz w:val="24"/>
        </w:rPr>
        <w:t>（1）暴露定义与效应修饰项的样本外比较</w:t>
      </w:r>
    </w:p>
    <w:p>
      <w:pPr>
        <w:snapToGrid w:val="0"/>
        <w:spacing w:lineRule="exact" w:line="440" w:before="0" w:after="0"/>
        <w:ind w:firstLineChars="200" w:firstLine="480"/>
        <w:jc w:val="both"/>
      </w:pPr>
      <w:r>
        <w:rPr>
          <w:rFonts w:ascii="Times New Roman" w:hAnsi="Times New Roman" w:eastAsia="宋体" w:cs="Times New Roman"/>
          <w:b w:val="0"/>
          <w:sz w:val="24"/>
        </w:rPr>
        <w:t>核心检验限于30 m产品覆盖的三城中心城区乡镇街道</w:t>
      </w:r>
      <w:r>
        <w:rPr>
          <w:rFonts w:ascii="Times New Roman" w:hAnsi="Times New Roman" w:eastAsia="宋体" w:cs="Times New Roman"/>
          <w:b w:val="0"/>
          <w:sz w:val="24"/>
          <w:highlight w:val="yellow"/>
        </w:rPr>
        <w:t>【待补充：范围、单元数与暖季日均死亡数】</w:t>
      </w:r>
      <w:r>
        <w:rPr>
          <w:rFonts w:ascii="Times New Roman" w:hAnsi="Times New Roman" w:eastAsia="宋体" w:cs="Times New Roman"/>
          <w:b w:val="0"/>
          <w:sz w:val="24"/>
        </w:rPr>
        <w:t>，覆盖范围外的活动以1 km产品补足并作敏感性分析；外部效度检验用长三角区县逐日死亡（死因监测</w:t>
      </w:r>
      <w:r>
        <w:rPr>
          <w:rFonts w:ascii="Times New Roman" w:hAnsi="Times New Roman" w:eastAsia="宋体" w:cs="Times New Roman"/>
          <w:b w:val="0"/>
          <w:sz w:val="24"/>
          <w:vertAlign w:val="superscript"/>
        </w:rPr>
        <w:t>[63]</w:t>
      </w:r>
      <w:r>
        <w:rPr>
          <w:rFonts w:ascii="Times New Roman" w:hAnsi="Times New Roman" w:eastAsia="宋体" w:cs="Times New Roman"/>
          <w:b w:val="0"/>
          <w:sz w:val="24"/>
        </w:rPr>
        <w:t>）。住院/医保就诊作探索性结局（见表1）。2028年下半年先以站点与插值居住地气温建立基线模型，不依赖研究内容一、二。DLNM刻画非线性与滞后</w:t>
      </w:r>
      <w:r>
        <w:rPr>
          <w:rFonts w:ascii="Times New Roman" w:hAnsi="Times New Roman" w:eastAsia="宋体" w:cs="Times New Roman"/>
          <w:b w:val="0"/>
          <w:sz w:val="24"/>
          <w:vertAlign w:val="superscript"/>
        </w:rPr>
        <w:t>[49]</w:t>
      </w:r>
      <w:r>
        <w:rPr>
          <w:rFonts w:ascii="Times New Roman" w:hAnsi="Times New Roman" w:eastAsia="宋体" w:cs="Times New Roman"/>
          <w:b w:val="0"/>
          <w:sz w:val="24"/>
        </w:rPr>
        <w:t>，计数稀疏时采用病例时间序列设计与时间分层条件泊松模型，并合并邻近乡镇街道</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。交叉基暴露维（UTCI）与滞后维（0～10天）均取自然样条；以“年×月×星期”分层控制长期趋势、季节与星期效应，另调整节假日</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。UTCI已含湿度，仅Ta敏感性模型调整相对湿度；细颗粒物与臭氧数据可得时作敏感性调整</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。自由度与滞后窗口以建模数据的准赤池信息准则（QAIC）初选、年份分块样本外偏差复核，不用封存期数据</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w:t>
      </w:r>
    </w:p>
    <w:p>
      <w:pPr>
        <w:snapToGrid w:val="0"/>
        <w:spacing w:lineRule="exact" w:line="440" w:before="0" w:after="0"/>
        <w:ind w:firstLineChars="200" w:firstLine="480"/>
        <w:jc w:val="both"/>
      </w:pPr>
      <w:r>
        <w:rPr>
          <w:rFonts w:ascii="Times New Roman" w:hAnsi="Times New Roman" w:eastAsia="宋体" w:cs="Times New Roman"/>
          <w:b w:val="0"/>
          <w:sz w:val="24"/>
        </w:rPr>
        <w:t>死亡按居住地归属</w:t>
      </w:r>
      <w:r>
        <w:rPr>
          <w:rFonts w:ascii="Times New Roman" w:hAnsi="Times New Roman" w:eastAsia="宋体" w:cs="Times New Roman"/>
          <w:b w:val="0"/>
          <w:sz w:val="24"/>
          <w:highlight w:val="yellow"/>
        </w:rPr>
        <w:t>【待核实】</w:t>
      </w:r>
      <w:r>
        <w:rPr>
          <w:rFonts w:ascii="Times New Roman" w:hAnsi="Times New Roman" w:eastAsia="宋体" w:cs="Times New Roman"/>
          <w:b w:val="0"/>
          <w:sz w:val="24"/>
        </w:rPr>
        <w:t>，故按信令职住结构与停留时长加权各活动地暴露，汇总为乡镇街道逐日序列；动态暴露不作室内外折算，按室外时间比例加权者作敏感性分析</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。暴露定义比较涵盖站点、居住地与动态暴露（UTCI为主，Ta作敏感性分析）；修饰项比较以人均DCP对照分类型静态蓝绿空间指标</w:t>
      </w:r>
      <w:r>
        <w:rPr>
          <w:rFonts w:ascii="Times New Roman" w:hAnsi="Times New Roman" w:eastAsia="宋体" w:cs="Times New Roman"/>
          <w:b w:val="0"/>
          <w:sz w:val="24"/>
          <w:vertAlign w:val="superscript"/>
        </w:rPr>
        <w:t>[47,48]</w:t>
      </w:r>
      <w:r>
        <w:rPr>
          <w:rFonts w:ascii="Times New Roman" w:hAnsi="Times New Roman" w:eastAsia="宋体" w:cs="Times New Roman"/>
          <w:b w:val="0"/>
          <w:sz w:val="24"/>
        </w:rPr>
        <w:t>；二者均以年份分块为主、空间分块为辅比较样本外偏差，修饰项比较另报第二阶段残余异质性（I²）的降幅</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。乡镇街道DLNM先在各城内两阶段汇总再合并三城，两类修饰项均于第二阶段以多元Meta回归纳入，并共用基于U</w:t>
      </w:r>
      <w:r>
        <w:rPr>
          <w:rFonts w:ascii="Times New Roman" w:hAnsi="Times New Roman" w:eastAsia="宋体" w:cs="Times New Roman"/>
          <w:b w:val="0"/>
          <w:sz w:val="24"/>
          <w:vertAlign w:val="subscript"/>
        </w:rPr>
        <w:t>反</w:t>
      </w:r>
      <w:r>
        <w:rPr>
          <w:rFonts w:ascii="Times New Roman" w:hAnsi="Times New Roman" w:eastAsia="宋体" w:cs="Times New Roman"/>
          <w:b w:val="0"/>
          <w:sz w:val="24"/>
        </w:rPr>
        <w:t>的动态暴露，以免NbS降温重复计入</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。第二阶段最佳线性无偏预测（best linear unbiased prediction，BLUP）曲线由建模年份的该暴露估计，再代入留出年份块的该暴露预测逐日死亡，据此计算样本外偏差</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。区县层以基于U</w:t>
      </w:r>
      <w:r>
        <w:rPr>
          <w:rFonts w:ascii="Times New Roman" w:hAnsi="Times New Roman" w:eastAsia="宋体" w:cs="Times New Roman"/>
          <w:b w:val="0"/>
          <w:sz w:val="24"/>
          <w:vertAlign w:val="subscript"/>
        </w:rPr>
        <w:t>反</w:t>
      </w:r>
      <w:r>
        <w:rPr>
          <w:rFonts w:ascii="Times New Roman" w:hAnsi="Times New Roman" w:eastAsia="宋体" w:cs="Times New Roman"/>
          <w:b w:val="0"/>
          <w:sz w:val="24"/>
        </w:rPr>
        <w:t>的1 km居住地暴露与DCP</w:t>
      </w:r>
      <w:r>
        <w:rPr>
          <w:rFonts w:ascii="Times New Roman" w:hAnsi="Times New Roman" w:eastAsia="宋体" w:cs="Times New Roman"/>
          <w:b w:val="0"/>
          <w:sz w:val="24"/>
          <w:vertAlign w:val="subscript"/>
        </w:rPr>
        <w:t>res</w:t>
      </w:r>
      <w:r>
        <w:rPr>
          <w:rFonts w:ascii="Times New Roman" w:hAnsi="Times New Roman" w:eastAsia="宋体" w:cs="Times New Roman"/>
          <w:b w:val="0"/>
          <w:sz w:val="24"/>
        </w:rPr>
        <w:t>重复上述比较，汇总后与三城比对方向。</w:t>
      </w:r>
    </w:p>
    <w:p>
      <w:pPr>
        <w:snapToGrid w:val="0"/>
        <w:spacing w:lineRule="exact" w:line="440" w:before="0" w:after="0"/>
        <w:ind w:firstLineChars="200" w:firstLine="480"/>
        <w:jc w:val="both"/>
      </w:pPr>
      <w:r>
        <w:rPr>
          <w:rFonts w:ascii="Times New Roman" w:hAnsi="Times New Roman" w:eastAsia="宋体" w:cs="Times New Roman"/>
          <w:b w:val="0"/>
          <w:sz w:val="24"/>
        </w:rPr>
        <w:t>基线阶段以模拟评估检验效能：在基线模型中注入不同强度的修饰效应，求效能80%、α = 0.05时的最小可检出效应（人均DCP四分位间热相关相对风险之比），并与已有研究的绿、蓝空间修饰效应（热相关心血管死亡风险之比1.14、1.20）</w:t>
      </w:r>
      <w:r>
        <w:rPr>
          <w:rFonts w:ascii="Times New Roman" w:hAnsi="Times New Roman" w:eastAsia="宋体" w:cs="Times New Roman"/>
          <w:b w:val="0"/>
          <w:sz w:val="24"/>
          <w:vertAlign w:val="superscript"/>
        </w:rPr>
        <w:t>[47]</w:t>
      </w:r>
      <w:r>
        <w:rPr>
          <w:rFonts w:ascii="Times New Roman" w:hAnsi="Times New Roman" w:eastAsia="宋体" w:cs="Times New Roman"/>
          <w:b w:val="0"/>
          <w:sz w:val="24"/>
        </w:rPr>
        <w:t>比较；前者明显偏大时合并邻近单元，结果纳入2028年12月的数据可用性评估（G1，见表2）</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w:t>
      </w:r>
    </w:p>
    <w:p>
      <w:pPr>
        <w:keepNext/>
        <w:snapToGrid w:val="0"/>
        <w:spacing w:lineRule="exact" w:line="440" w:before="0" w:after="0"/>
        <w:ind w:firstLineChars="200" w:firstLine="480"/>
        <w:jc w:val="both"/>
      </w:pPr>
      <w:r>
        <w:rPr>
          <w:rFonts w:ascii="Times New Roman" w:hAnsi="Times New Roman" w:eastAsia="楷体" w:cs="Times New Roman"/>
          <w:b/>
          <w:sz w:val="24"/>
        </w:rPr>
        <w:t>（2）已避免的热相关健康负担</w:t>
      </w:r>
    </w:p>
    <w:p>
      <w:pPr>
        <w:snapToGrid w:val="0"/>
        <w:spacing w:lineRule="exact" w:line="440" w:before="0" w:after="0"/>
        <w:ind w:firstLineChars="200" w:firstLine="480"/>
        <w:jc w:val="both"/>
      </w:pPr>
      <w:r>
        <w:rPr>
          <w:rFonts w:ascii="Times New Roman" w:hAnsi="Times New Roman" w:eastAsia="宋体" w:cs="Times New Roman"/>
          <w:b w:val="0"/>
          <w:sz w:val="24"/>
        </w:rPr>
        <w:t>已避免负担改用以实际动态UTCI（U）为暴露、不含NbS修饰项的DLNM（修饰项比较模型只用于H3a），将同一动态暴露口径下的U与U</w:t>
      </w:r>
      <w:r>
        <w:rPr>
          <w:rFonts w:ascii="Times New Roman" w:hAnsi="Times New Roman" w:eastAsia="宋体" w:cs="Times New Roman"/>
          <w:b w:val="0"/>
          <w:sz w:val="24"/>
          <w:vertAlign w:val="subscript"/>
        </w:rPr>
        <w:t>反</w:t>
      </w:r>
      <w:r>
        <w:rPr>
          <w:rFonts w:ascii="Times New Roman" w:hAnsi="Times New Roman" w:eastAsia="宋体" w:cs="Times New Roman"/>
          <w:b w:val="0"/>
          <w:sz w:val="24"/>
        </w:rPr>
        <w:t>分别代入其BLUP曲线，逐日计算热相关归因死亡，二者之差求和即现有NbS已避免的死亡数，并计算归因分值</w:t>
      </w:r>
      <w:r>
        <w:rPr>
          <w:rFonts w:ascii="Times New Roman" w:hAnsi="Times New Roman" w:eastAsia="宋体" w:cs="Times New Roman"/>
          <w:b w:val="0"/>
          <w:sz w:val="24"/>
          <w:vertAlign w:val="superscript"/>
        </w:rPr>
        <w:t>[50]</w:t>
      </w:r>
      <w:r>
        <w:rPr>
          <w:rFonts w:ascii="Times New Roman" w:hAnsi="Times New Roman" w:eastAsia="宋体" w:cs="Times New Roman"/>
          <w:b w:val="0"/>
          <w:sz w:val="24"/>
        </w:rPr>
        <w:t>，按年龄、社会经济地位代理变量与暴露分组报告；全域层按居住口径估算。反事实只移除可归因降温，不模拟行为改变。区间按3.4节⑥求得</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w:t>
      </w:r>
    </w:p>
    <w:p>
      <w:pPr>
        <w:snapToGrid w:val="0"/>
        <w:spacing w:lineRule="exact" w:line="440" w:before="0" w:after="0"/>
        <w:ind w:firstLineChars="200" w:firstLine="480"/>
        <w:jc w:val="both"/>
      </w:pPr>
      <w:r>
        <w:rPr>
          <w:rFonts w:ascii="Times New Roman" w:hAnsi="Times New Roman" w:eastAsia="宋体" w:cs="Times New Roman"/>
          <w:b/>
          <w:sz w:val="24"/>
        </w:rPr>
        <w:t>检验判据：</w:t>
      </w:r>
      <w:r>
        <w:rPr>
          <w:rFonts w:ascii="Times New Roman" w:hAnsi="Times New Roman" w:eastAsia="宋体" w:cs="Times New Roman"/>
          <w:b w:val="0"/>
          <w:sz w:val="24"/>
        </w:rPr>
        <w:t>H3a——三城乡镇街道层人均DCP作修饰项的样本外偏差低于分类型静态蓝绿空间指标作修饰项者（差值区间不含0），且在封存期数据中方向一致；区县层检验居住口径变体，同向视为外部效度证据，不一致时分析原因，不改变H3a结论；H3b——已避免死亡与人均DCP的集中指数之差区间不含0。</w:t>
      </w:r>
    </w:p>
    <w:p>
      <w:pPr>
        <w:keepNext/>
        <w:snapToGrid w:val="0"/>
        <w:spacing w:lineRule="exact" w:line="440" w:before="80" w:after="0"/>
        <w:jc w:val="both"/>
      </w:pPr>
      <w:r>
        <w:rPr>
          <w:rFonts w:ascii="Times New Roman" w:hAnsi="Times New Roman" w:eastAsia="宋体" w:cs="Times New Roman"/>
          <w:b/>
          <w:sz w:val="24"/>
        </w:rPr>
        <w:t>3.4 不确定性逐级传递</w:t>
      </w:r>
    </w:p>
    <w:p>
      <w:pPr>
        <w:snapToGrid w:val="0"/>
        <w:spacing w:lineRule="exact" w:line="440" w:before="0" w:after="0"/>
        <w:ind w:firstLineChars="200" w:firstLine="480"/>
        <w:jc w:val="both"/>
      </w:pPr>
      <w:r>
        <w:rPr>
          <w:rFonts w:ascii="Times New Roman" w:hAnsi="Times New Roman" w:eastAsia="宋体" w:cs="Times New Roman"/>
          <w:b w:val="0"/>
          <w:sz w:val="24"/>
        </w:rPr>
        <w:t>YRD-HES验证误差、NbS重建误差与可归因降温的不确定性经重采样与暴露扰动传递至DCP、不平等指数与已避免负担，以不确定性区间报告并用于判据。步骤为</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：①据交叉验证残差分昼夜与形态分层估计误差分布及空间相关长度，在乡镇街道（全域为区县）×小时汇总单元上生成B组扰动Ta、UTCI，不重算30 m全场；②按混淆矩阵随机重分类NbS类型，生成B组NbS图；③逐组以位点样本重估可归因降温并抽样模型系数；④对在场人口的扩样权重与分配规则自助重采样；⑤逐组重算DCP、集中指数与沙普利份额；⑥以扰动暴露重拟合DLNM，与BLUP系数抽样联合计算已避免负担。B在三城取200、在全域取1000；区间取第2.5、97.5百分位，并以方差分解报告各环节贡献。</w:t>
      </w:r>
    </w:p>
    <w:p>
      <w:pPr>
        <w:keepNext/>
        <w:snapToGrid w:val="0"/>
        <w:spacing w:lineRule="exact" w:line="440" w:before="80" w:after="0"/>
        <w:jc w:val="both"/>
      </w:pPr>
      <w:r>
        <w:rPr>
          <w:rFonts w:ascii="Times New Roman" w:hAnsi="Times New Roman" w:eastAsia="宋体" w:cs="Times New Roman"/>
          <w:b/>
          <w:sz w:val="24"/>
        </w:rPr>
        <w:t>3.5 证据集成与转化</w:t>
      </w:r>
    </w:p>
    <w:p>
      <w:pPr>
        <w:keepNext/>
        <w:snapToGrid w:val="0"/>
        <w:spacing w:lineRule="exact" w:line="440" w:before="0" w:after="0"/>
        <w:ind w:firstLineChars="200" w:firstLine="480"/>
        <w:jc w:val="both"/>
      </w:pPr>
      <w:r>
        <w:rPr>
          <w:rFonts w:ascii="Times New Roman" w:hAnsi="Times New Roman" w:eastAsia="楷体" w:cs="Times New Roman"/>
          <w:b/>
          <w:sz w:val="24"/>
        </w:rPr>
        <w:t>（1）NbS降温保护矩阵与设计禁忌</w:t>
      </w:r>
    </w:p>
    <w:p>
      <w:pPr>
        <w:snapToGrid w:val="0"/>
        <w:spacing w:lineRule="exact" w:line="440" w:before="0" w:after="0"/>
        <w:ind w:firstLineChars="200" w:firstLine="480"/>
        <w:jc w:val="both"/>
      </w:pPr>
      <w:r>
        <w:rPr>
          <w:rFonts w:ascii="Times New Roman" w:hAnsi="Times New Roman" w:eastAsia="宋体" w:cs="Times New Roman"/>
          <w:b w:val="0"/>
          <w:sz w:val="24"/>
        </w:rPr>
        <w:t>矩阵按形态分层与气候—水网分区将NbS划分为优先配置、须配合遮荫或通风、仅特定时段有效、不计为降温措施四类，并注明证据等级；H1b所述降Ta而不降UTCI的情形列为设计禁忌。判定以ΔUTCI为主：热应激时段区间下限&gt;0且单位面积DCP居前三分之一者优先配置，仅在具备遮荫或通风时显著者须配合，仅部分时段显著者限定时段，各时段区间均含0或为负者不计；证据等级按三城一致性、独立检验与健康检验的支持程度分三级</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。矩阵对接国家与上海适应气候变化政策</w:t>
      </w:r>
      <w:r>
        <w:rPr>
          <w:rFonts w:ascii="Times New Roman" w:hAnsi="Times New Roman" w:eastAsia="宋体" w:cs="Times New Roman"/>
          <w:b w:val="0"/>
          <w:sz w:val="24"/>
          <w:vertAlign w:val="superscript"/>
        </w:rPr>
        <w:t>[19,21]</w:t>
      </w:r>
      <w:r>
        <w:rPr>
          <w:rFonts w:ascii="Times New Roman" w:hAnsi="Times New Roman" w:eastAsia="宋体" w:cs="Times New Roman"/>
          <w:b w:val="0"/>
          <w:sz w:val="24"/>
        </w:rPr>
        <w:t>及城市更新行动</w:t>
      </w:r>
      <w:r>
        <w:rPr>
          <w:rFonts w:ascii="Times New Roman" w:hAnsi="Times New Roman" w:eastAsia="宋体" w:cs="Times New Roman"/>
          <w:b w:val="0"/>
          <w:sz w:val="24"/>
          <w:vertAlign w:val="superscript"/>
        </w:rPr>
        <w:t>[22]</w:t>
      </w:r>
      <w:r>
        <w:rPr>
          <w:rFonts w:ascii="Times New Roman" w:hAnsi="Times New Roman" w:eastAsia="宋体" w:cs="Times New Roman"/>
          <w:b w:val="0"/>
          <w:sz w:val="24"/>
        </w:rPr>
        <w:t>。</w:t>
      </w:r>
    </w:p>
    <w:p>
      <w:pPr>
        <w:keepNext/>
        <w:snapToGrid w:val="0"/>
        <w:spacing w:lineRule="exact" w:line="440" w:before="0" w:after="0"/>
        <w:ind w:firstLineChars="200" w:firstLine="480"/>
        <w:jc w:val="both"/>
      </w:pPr>
      <w:r>
        <w:rPr>
          <w:rFonts w:ascii="Times New Roman" w:hAnsi="Times New Roman" w:eastAsia="楷体" w:cs="Times New Roman"/>
          <w:b/>
          <w:sz w:val="24"/>
        </w:rPr>
        <w:t>（2）精细化高温风险信息规范与工作坊</w:t>
      </w:r>
    </w:p>
    <w:p>
      <w:pPr>
        <w:snapToGrid w:val="0"/>
        <w:spacing w:lineRule="exact" w:line="440" w:before="0" w:after="0"/>
        <w:ind w:firstLineChars="200" w:firstLine="480"/>
        <w:jc w:val="both"/>
      </w:pPr>
      <w:r>
        <w:rPr>
          <w:rFonts w:ascii="Times New Roman" w:hAnsi="Times New Roman" w:eastAsia="宋体" w:cs="Times New Roman"/>
          <w:b w:val="0"/>
          <w:sz w:val="24"/>
        </w:rPr>
        <w:t>规范作为现行城市级预警与露天作业分段管理（见立项依据）的补充，整合逐时热暴露、DCP缺口、在场人口与脆弱性，对短时通勤者、DCP极低的户外作业者（含快递员、外卖骑手）与老年人集中的夜间高温地区，依次给出出行时段与路径、遮荫与工时管理、社区支援与长期空间降温三类措施。规范的分级与国家疾控局、中国气象局联合发布的高温健康风险预警（低、中等、较高、高、极高5级）</w:t>
      </w:r>
      <w:r>
        <w:rPr>
          <w:rFonts w:ascii="Times New Roman" w:hAnsi="Times New Roman" w:eastAsia="宋体" w:cs="Times New Roman"/>
          <w:b w:val="0"/>
          <w:sz w:val="24"/>
          <w:vertAlign w:val="superscript"/>
        </w:rPr>
        <w:t>[54]</w:t>
      </w:r>
      <w:r>
        <w:rPr>
          <w:rFonts w:ascii="Times New Roman" w:hAnsi="Times New Roman" w:eastAsia="宋体" w:cs="Times New Roman"/>
          <w:b w:val="0"/>
          <w:sz w:val="24"/>
        </w:rPr>
        <w:t>衔接，在预警等级之下给出乡镇街道×小时尺度的DCP缺口与优先人群</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。规范以三城最近一次持续高温过程回放检验，列出其较城市级预警额外识别的地点、时段与人群</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。两场工作坊（2028年问题界定、2030年规范检验）邀请三城规划、园林、气象、疾控与人社部门实务人员评估图谱、阈值、优先人群与措施的可用性，以Cohen κ系数检验定性编码的编码者间一致性。</w:t>
      </w:r>
    </w:p>
    <w:p>
      <w:pPr>
        <w:keepNext/>
        <w:snapToGrid w:val="0"/>
        <w:spacing w:lineRule="exact" w:line="440" w:before="80" w:after="0"/>
        <w:jc w:val="both"/>
      </w:pPr>
      <w:r>
        <w:rPr>
          <w:rFonts w:ascii="Times New Roman" w:hAnsi="Times New Roman" w:eastAsia="宋体" w:cs="Times New Roman"/>
          <w:b/>
          <w:sz w:val="24"/>
        </w:rPr>
        <w:t>3.6 关键技术与难点</w:t>
      </w:r>
    </w:p>
    <w:p>
      <w:pPr>
        <w:snapToGrid w:val="0"/>
        <w:spacing w:lineRule="exact" w:line="440" w:before="0" w:after="0"/>
        <w:ind w:firstLineChars="200" w:firstLine="480"/>
        <w:jc w:val="both"/>
      </w:pPr>
      <w:r>
        <w:rPr>
          <w:rFonts w:ascii="Times New Roman" w:hAnsi="Times New Roman" w:eastAsia="宋体" w:cs="Times New Roman"/>
          <w:b/>
          <w:sz w:val="24"/>
        </w:rPr>
        <w:t>（1）逐时高分辨率热暴露重建。</w:t>
      </w:r>
      <w:r>
        <w:rPr>
          <w:rFonts w:ascii="Times New Roman" w:hAnsi="Times New Roman" w:eastAsia="宋体" w:cs="Times New Roman"/>
          <w:b w:val="0"/>
          <w:sz w:val="24"/>
        </w:rPr>
        <w:t>极轨卫星过境稀疏，30 m验证站点不足，逐时场计算与存储量大（对策见3.1节（1）、3.4节）。</w:t>
      </w:r>
    </w:p>
    <w:p>
      <w:pPr>
        <w:snapToGrid w:val="0"/>
        <w:spacing w:lineRule="exact" w:line="440" w:before="0" w:after="0"/>
        <w:ind w:firstLineChars="200" w:firstLine="480"/>
        <w:jc w:val="both"/>
      </w:pPr>
      <w:r>
        <w:rPr>
          <w:rFonts w:ascii="Times New Roman" w:hAnsi="Times New Roman" w:eastAsia="宋体" w:cs="Times New Roman"/>
          <w:b/>
          <w:sz w:val="24"/>
        </w:rPr>
        <w:t>（2）形态与NbS降温的分离。</w:t>
      </w:r>
      <w:r>
        <w:rPr>
          <w:rFonts w:ascii="Times New Roman" w:hAnsi="Times New Roman" w:eastAsia="宋体" w:cs="Times New Roman"/>
          <w:b w:val="0"/>
          <w:sz w:val="24"/>
        </w:rPr>
        <w:t>NbS常与特定街谷形态共生，建筑阴影与未观测因素易被计为NbS效益，且存在循环论证之虞（对策见3.1节（3）（4））。</w:t>
      </w:r>
    </w:p>
    <w:p>
      <w:pPr>
        <w:snapToGrid w:val="0"/>
        <w:spacing w:lineRule="exact" w:line="440" w:before="0" w:after="0"/>
        <w:ind w:firstLineChars="200" w:firstLine="480"/>
        <w:jc w:val="both"/>
      </w:pPr>
      <w:r>
        <w:rPr>
          <w:rFonts w:ascii="Times New Roman" w:hAnsi="Times New Roman" w:eastAsia="宋体" w:cs="Times New Roman"/>
          <w:b/>
          <w:sz w:val="24"/>
        </w:rPr>
        <w:t>（3）DCP健康检验的效能与过拟合。</w:t>
      </w:r>
      <w:r>
        <w:rPr>
          <w:rFonts w:ascii="Times New Roman" w:hAnsi="Times New Roman" w:eastAsia="宋体" w:cs="Times New Roman"/>
          <w:b w:val="0"/>
          <w:sz w:val="24"/>
        </w:rPr>
        <w:t>乡镇街道死亡计数稀疏，修饰效应可能较弱，反复比较模型易致过拟合（对策见3.3节（1））。</w:t>
      </w:r>
    </w:p>
    <w:p>
      <w:pPr>
        <w:keepNext/>
        <w:snapToGrid w:val="0"/>
        <w:spacing w:lineRule="exact" w:line="440" w:before="160" w:after="40"/>
        <w:jc w:val="both"/>
      </w:pPr>
      <w:r>
        <w:rPr>
          <w:rFonts w:ascii="Times New Roman" w:hAnsi="Times New Roman" w:eastAsia="黑体" w:cs="Times New Roman"/>
          <w:b/>
          <w:sz w:val="24"/>
        </w:rPr>
        <w:t>4. 数据基础</w:t>
      </w:r>
    </w:p>
    <w:p>
      <w:pPr>
        <w:snapToGrid w:val="0"/>
        <w:spacing w:lineRule="exact" w:line="440" w:before="0" w:after="0"/>
        <w:ind w:firstLineChars="200" w:firstLine="480"/>
        <w:jc w:val="both"/>
      </w:pPr>
      <w:r>
        <w:rPr>
          <w:rFonts w:ascii="Times New Roman" w:hAnsi="Times New Roman" w:eastAsia="宋体" w:cs="Times New Roman"/>
          <w:b w:val="0"/>
          <w:sz w:val="24"/>
        </w:rPr>
        <w:t>主要数据见表1；记录级数据只在境内安全环境处理（见（四）5）。</w:t>
      </w:r>
    </w:p>
    <w:p>
      <w:pPr>
        <w:keepNext/>
        <w:snapToGrid w:val="0"/>
        <w:spacing w:lineRule="exact" w:line="360" w:before="120" w:after="40"/>
        <w:jc w:val="center"/>
      </w:pPr>
      <w:r>
        <w:rPr>
          <w:rFonts w:ascii="Times New Roman" w:hAnsi="Times New Roman" w:eastAsia="黑体" w:cs="Times New Roman"/>
          <w:b w:val="0"/>
          <w:sz w:val="21"/>
        </w:rPr>
        <w:t>表1 主要数据与获取状态</w:t>
      </w: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4139"/>
        <w:gridCol w:w="1655"/>
        <w:gridCol w:w="2483"/>
      </w:tblGrid>
      <w:tr>
        <w:trPr>
          <w:tblHeader w:val="true"/>
        </w:trPr>
        <w:tc>
          <w:tcPr>
            <w:tcW w:type="dxa" w:w="4139"/>
            <w:shd w:val="clear" w:color="auto" w:fill="DCE6F1"/>
          </w:tcPr>
          <w:p>
            <w:pPr>
              <w:snapToGrid w:val="0"/>
              <w:spacing w:lineRule="exact" w:line="320" w:before="0" w:after="0"/>
              <w:jc w:val="center"/>
            </w:pPr>
            <w:r/>
            <w:r>
              <w:rPr>
                <w:rFonts w:ascii="Times New Roman" w:hAnsi="Times New Roman" w:eastAsia="黑体" w:cs="Times New Roman"/>
                <w:b/>
                <w:sz w:val="21"/>
              </w:rPr>
              <w:t>数据</w:t>
            </w:r>
          </w:p>
        </w:tc>
        <w:tc>
          <w:tcPr>
            <w:tcW w:type="dxa" w:w="1655"/>
            <w:shd w:val="clear" w:color="auto" w:fill="DCE6F1"/>
          </w:tcPr>
          <w:p>
            <w:pPr>
              <w:snapToGrid w:val="0"/>
              <w:spacing w:lineRule="exact" w:line="320" w:before="0" w:after="0"/>
              <w:jc w:val="center"/>
            </w:pPr>
            <w:r/>
            <w:r>
              <w:rPr>
                <w:rFonts w:ascii="Times New Roman" w:hAnsi="Times New Roman" w:eastAsia="黑体" w:cs="Times New Roman"/>
                <w:b/>
                <w:sz w:val="21"/>
              </w:rPr>
              <w:t>时段</w:t>
            </w:r>
          </w:p>
        </w:tc>
        <w:tc>
          <w:tcPr>
            <w:tcW w:type="dxa" w:w="2483"/>
            <w:shd w:val="clear" w:color="auto" w:fill="DCE6F1"/>
          </w:tcPr>
          <w:p>
            <w:pPr>
              <w:snapToGrid w:val="0"/>
              <w:spacing w:lineRule="exact" w:line="320" w:before="0" w:after="0"/>
              <w:jc w:val="center"/>
            </w:pPr>
            <w:r/>
            <w:r>
              <w:rPr>
                <w:rFonts w:ascii="Times New Roman" w:hAnsi="Times New Roman" w:eastAsia="黑体" w:cs="Times New Roman"/>
                <w:b/>
                <w:sz w:val="21"/>
              </w:rPr>
              <w:t>获取状态</w:t>
            </w:r>
          </w:p>
        </w:tc>
      </w:tr>
      <w:tr>
        <w:tc>
          <w:tcPr>
            <w:tcW w:type="dxa" w:w="4139"/>
          </w:tcPr>
          <w:p>
            <w:pPr>
              <w:snapToGrid w:val="0"/>
              <w:spacing w:lineRule="exact" w:line="320" w:before="0" w:after="0"/>
              <w:jc w:val="left"/>
            </w:pPr>
            <w:r/>
            <w:r>
              <w:rPr>
                <w:rFonts w:ascii="Times New Roman" w:hAnsi="Times New Roman" w:eastAsia="宋体" w:cs="Times New Roman"/>
                <w:b w:val="0"/>
                <w:sz w:val="21"/>
              </w:rPr>
              <w:t>国家级地面气象站、区域自动站、综合地面数据库（ISD）；ERA5-Land、中国区域地面气象要素驱动数据集（CMFD）</w:t>
            </w:r>
          </w:p>
        </w:tc>
        <w:tc>
          <w:tcPr>
            <w:tcW w:type="dxa" w:w="1655"/>
          </w:tcPr>
          <w:p>
            <w:pPr>
              <w:snapToGrid w:val="0"/>
              <w:spacing w:lineRule="exact" w:line="320" w:before="0" w:after="0"/>
              <w:jc w:val="left"/>
            </w:pPr>
            <w:r/>
            <w:r>
              <w:rPr>
                <w:rFonts w:ascii="Times New Roman" w:hAnsi="Times New Roman" w:eastAsia="宋体" w:cs="Times New Roman"/>
                <w:b w:val="0"/>
                <w:sz w:val="21"/>
              </w:rPr>
              <w:t>2000—2024年（CMFD</w:t>
            </w:r>
            <w:r>
              <w:rPr>
                <w:rFonts w:ascii="Times New Roman" w:hAnsi="Times New Roman" w:eastAsia="宋体" w:cs="Times New Roman"/>
                <w:b w:val="0"/>
                <w:sz w:val="21"/>
                <w:highlight w:val="yellow"/>
              </w:rPr>
              <w:t>【待核实】</w:t>
            </w:r>
            <w:r>
              <w:rPr>
                <w:rFonts w:ascii="Times New Roman" w:hAnsi="Times New Roman" w:eastAsia="宋体" w:cs="Times New Roman"/>
                <w:b w:val="0"/>
                <w:sz w:val="21"/>
              </w:rPr>
              <w:t>）</w:t>
            </w:r>
          </w:p>
        </w:tc>
        <w:tc>
          <w:tcPr>
            <w:tcW w:type="dxa" w:w="2483"/>
          </w:tcPr>
          <w:p>
            <w:pPr>
              <w:snapToGrid w:val="0"/>
              <w:spacing w:lineRule="exact" w:line="320" w:before="0" w:after="0"/>
              <w:jc w:val="left"/>
            </w:pPr>
            <w:r/>
            <w:r>
              <w:rPr>
                <w:rFonts w:ascii="Times New Roman" w:hAnsi="Times New Roman" w:eastAsia="宋体" w:cs="Times New Roman"/>
                <w:b w:val="0"/>
                <w:sz w:val="21"/>
              </w:rPr>
              <w:t>公开或可申请；区域自动站</w:t>
            </w:r>
            <w:r>
              <w:rPr>
                <w:rFonts w:ascii="Times New Roman" w:hAnsi="Times New Roman" w:eastAsia="宋体" w:cs="Times New Roman"/>
                <w:b w:val="0"/>
                <w:sz w:val="21"/>
                <w:highlight w:val="yellow"/>
              </w:rPr>
              <w:t>【待核实】</w:t>
            </w:r>
          </w:p>
        </w:tc>
      </w:tr>
      <w:tr>
        <w:tc>
          <w:tcPr>
            <w:tcW w:type="dxa" w:w="4139"/>
          </w:tcPr>
          <w:p>
            <w:pPr>
              <w:snapToGrid w:val="0"/>
              <w:spacing w:lineRule="exact" w:line="320" w:before="0" w:after="0"/>
              <w:jc w:val="left"/>
            </w:pPr>
            <w:r/>
            <w:r>
              <w:rPr>
                <w:rFonts w:ascii="Times New Roman" w:hAnsi="Times New Roman" w:eastAsia="宋体" w:cs="Times New Roman"/>
                <w:b w:val="0"/>
                <w:sz w:val="21"/>
              </w:rPr>
              <w:t>Landsat、MODIS、ECOSTRESS、Himawari-8/9、Sentinel-2</w:t>
            </w:r>
          </w:p>
        </w:tc>
        <w:tc>
          <w:tcPr>
            <w:tcW w:type="dxa" w:w="1655"/>
          </w:tcPr>
          <w:p>
            <w:pPr>
              <w:snapToGrid w:val="0"/>
              <w:spacing w:lineRule="exact" w:line="320" w:before="0" w:after="0"/>
              <w:jc w:val="left"/>
            </w:pPr>
            <w:r/>
            <w:r>
              <w:rPr>
                <w:rFonts w:ascii="Times New Roman" w:hAnsi="Times New Roman" w:eastAsia="宋体" w:cs="Times New Roman"/>
                <w:b w:val="0"/>
                <w:sz w:val="21"/>
              </w:rPr>
              <w:t>各传感器起始年至2024年</w:t>
            </w:r>
          </w:p>
        </w:tc>
        <w:tc>
          <w:tcPr>
            <w:tcW w:type="dxa" w:w="2483"/>
          </w:tcPr>
          <w:p>
            <w:pPr>
              <w:snapToGrid w:val="0"/>
              <w:spacing w:lineRule="exact" w:line="320" w:before="0" w:after="0"/>
              <w:jc w:val="left"/>
            </w:pPr>
            <w:r/>
            <w:r>
              <w:rPr>
                <w:rFonts w:ascii="Times New Roman" w:hAnsi="Times New Roman" w:eastAsia="宋体" w:cs="Times New Roman"/>
                <w:b w:val="0"/>
                <w:sz w:val="21"/>
              </w:rPr>
              <w:t>公开</w:t>
            </w:r>
          </w:p>
        </w:tc>
      </w:tr>
      <w:tr>
        <w:tc>
          <w:tcPr>
            <w:tcW w:type="dxa" w:w="4139"/>
          </w:tcPr>
          <w:p>
            <w:pPr>
              <w:snapToGrid w:val="0"/>
              <w:spacing w:lineRule="exact" w:line="320" w:before="0" w:after="0"/>
              <w:jc w:val="left"/>
            </w:pPr>
            <w:r/>
            <w:r>
              <w:rPr>
                <w:rFonts w:ascii="Times New Roman" w:hAnsi="Times New Roman" w:eastAsia="宋体" w:cs="Times New Roman"/>
                <w:b w:val="0"/>
                <w:sz w:val="21"/>
              </w:rPr>
              <w:t>CNBH-10m建筑高度</w:t>
            </w:r>
            <w:r>
              <w:rPr>
                <w:rFonts w:ascii="Times New Roman" w:hAnsi="Times New Roman" w:eastAsia="宋体" w:cs="Times New Roman"/>
                <w:b w:val="0"/>
                <w:sz w:val="21"/>
                <w:vertAlign w:val="superscript"/>
              </w:rPr>
              <w:t>[64]</w:t>
            </w:r>
            <w:r>
              <w:rPr>
                <w:rFonts w:ascii="Times New Roman" w:hAnsi="Times New Roman" w:eastAsia="宋体" w:cs="Times New Roman"/>
                <w:b w:val="0"/>
                <w:sz w:val="21"/>
              </w:rPr>
              <w:t>、全球10 m冠层高度</w:t>
            </w:r>
            <w:r>
              <w:rPr>
                <w:rFonts w:ascii="Times New Roman" w:hAnsi="Times New Roman" w:eastAsia="宋体" w:cs="Times New Roman"/>
                <w:b w:val="0"/>
                <w:sz w:val="21"/>
                <w:vertAlign w:val="superscript"/>
              </w:rPr>
              <w:t>[65]</w:t>
            </w:r>
            <w:r>
              <w:rPr>
                <w:rFonts w:ascii="Times New Roman" w:hAnsi="Times New Roman" w:eastAsia="宋体" w:cs="Times New Roman"/>
                <w:b w:val="0"/>
                <w:sz w:val="21"/>
              </w:rPr>
              <w:t>；CLCD、GLC_FCS30D；街景</w:t>
            </w:r>
          </w:p>
        </w:tc>
        <w:tc>
          <w:tcPr>
            <w:tcW w:type="dxa" w:w="1655"/>
          </w:tcPr>
          <w:p>
            <w:pPr>
              <w:snapToGrid w:val="0"/>
              <w:spacing w:lineRule="exact" w:line="320" w:before="0" w:after="0"/>
              <w:jc w:val="left"/>
            </w:pPr>
            <w:r/>
            <w:r>
              <w:rPr>
                <w:rFonts w:ascii="Times New Roman" w:hAnsi="Times New Roman" w:eastAsia="宋体" w:cs="Times New Roman"/>
                <w:b w:val="0"/>
                <w:sz w:val="21"/>
              </w:rPr>
              <w:t>单时相；逐年；</w:t>
            </w:r>
            <w:r>
              <w:rPr>
                <w:rFonts w:ascii="Times New Roman" w:hAnsi="Times New Roman" w:eastAsia="宋体" w:cs="Times New Roman"/>
                <w:b w:val="0"/>
                <w:sz w:val="21"/>
                <w:highlight w:val="yellow"/>
              </w:rPr>
              <w:t>【待补充】</w:t>
            </w:r>
          </w:p>
        </w:tc>
        <w:tc>
          <w:tcPr>
            <w:tcW w:type="dxa" w:w="2483"/>
          </w:tcPr>
          <w:p>
            <w:pPr>
              <w:snapToGrid w:val="0"/>
              <w:spacing w:lineRule="exact" w:line="320" w:before="0" w:after="0"/>
              <w:jc w:val="left"/>
            </w:pPr>
            <w:r/>
            <w:r>
              <w:rPr>
                <w:rFonts w:ascii="Times New Roman" w:hAnsi="Times New Roman" w:eastAsia="宋体" w:cs="Times New Roman"/>
                <w:b w:val="0"/>
                <w:sz w:val="21"/>
              </w:rPr>
              <w:t>公开（街景</w:t>
            </w:r>
            <w:r>
              <w:rPr>
                <w:rFonts w:ascii="Times New Roman" w:hAnsi="Times New Roman" w:eastAsia="宋体" w:cs="Times New Roman"/>
                <w:b w:val="0"/>
                <w:sz w:val="21"/>
                <w:highlight w:val="yellow"/>
              </w:rPr>
              <w:t>【待核实】</w:t>
            </w:r>
            <w:r>
              <w:rPr>
                <w:rFonts w:ascii="Times New Roman" w:hAnsi="Times New Roman" w:eastAsia="宋体" w:cs="Times New Roman"/>
                <w:b w:val="0"/>
                <w:sz w:val="21"/>
              </w:rPr>
              <w:t>）</w:t>
            </w:r>
          </w:p>
        </w:tc>
      </w:tr>
      <w:tr>
        <w:tc>
          <w:tcPr>
            <w:tcW w:type="dxa" w:w="4139"/>
          </w:tcPr>
          <w:p>
            <w:pPr>
              <w:snapToGrid w:val="0"/>
              <w:spacing w:lineRule="exact" w:line="320" w:before="0" w:after="0"/>
              <w:jc w:val="left"/>
            </w:pPr>
            <w:r/>
            <w:r>
              <w:rPr>
                <w:rFonts w:ascii="Times New Roman" w:hAnsi="Times New Roman" w:eastAsia="宋体" w:cs="Times New Roman"/>
                <w:b w:val="0"/>
                <w:sz w:val="21"/>
              </w:rPr>
              <w:t>水系、园林与水务矢量；高分影像</w:t>
            </w:r>
          </w:p>
        </w:tc>
        <w:tc>
          <w:tcPr>
            <w:tcW w:type="dxa" w:w="1655"/>
          </w:tcPr>
          <w:p>
            <w:pPr>
              <w:snapToGrid w:val="0"/>
              <w:spacing w:lineRule="exact" w:line="320" w:before="0" w:after="0"/>
              <w:jc w:val="left"/>
            </w:pPr>
            <w:r/>
            <w:r>
              <w:rPr>
                <w:rFonts w:ascii="Times New Roman" w:hAnsi="Times New Roman" w:eastAsia="宋体" w:cs="Times New Roman"/>
                <w:b w:val="0"/>
                <w:sz w:val="21"/>
                <w:highlight w:val="yellow"/>
              </w:rPr>
              <w:t>【待补充】</w:t>
            </w:r>
          </w:p>
        </w:tc>
        <w:tc>
          <w:tcPr>
            <w:tcW w:type="dxa" w:w="2483"/>
          </w:tcPr>
          <w:p>
            <w:pPr>
              <w:snapToGrid w:val="0"/>
              <w:spacing w:lineRule="exact" w:line="320" w:before="0" w:after="0"/>
              <w:jc w:val="left"/>
            </w:pPr>
            <w:r/>
            <w:r>
              <w:rPr>
                <w:rFonts w:ascii="Times New Roman" w:hAnsi="Times New Roman" w:eastAsia="宋体" w:cs="Times New Roman"/>
                <w:b w:val="0"/>
                <w:sz w:val="21"/>
                <w:highlight w:val="yellow"/>
              </w:rPr>
              <w:t>【待核实】</w:t>
            </w:r>
          </w:p>
        </w:tc>
      </w:tr>
      <w:tr>
        <w:tc>
          <w:tcPr>
            <w:tcW w:type="dxa" w:w="4139"/>
          </w:tcPr>
          <w:p>
            <w:pPr>
              <w:snapToGrid w:val="0"/>
              <w:spacing w:lineRule="exact" w:line="320" w:before="0" w:after="0"/>
              <w:jc w:val="left"/>
            </w:pPr>
            <w:r/>
            <w:r>
              <w:rPr>
                <w:rFonts w:ascii="Times New Roman" w:hAnsi="Times New Roman" w:eastAsia="宋体" w:cs="Times New Roman"/>
                <w:b w:val="0"/>
                <w:sz w:val="21"/>
              </w:rPr>
              <w:t>人口普查及第七次普查100 m人口格网；WorldPop、LandScan（至2022年）</w:t>
            </w:r>
          </w:p>
        </w:tc>
        <w:tc>
          <w:tcPr>
            <w:tcW w:type="dxa" w:w="1655"/>
          </w:tcPr>
          <w:p>
            <w:pPr>
              <w:snapToGrid w:val="0"/>
              <w:spacing w:lineRule="exact" w:line="320" w:before="0" w:after="0"/>
              <w:jc w:val="left"/>
            </w:pPr>
            <w:r/>
            <w:r>
              <w:rPr>
                <w:rFonts w:ascii="Times New Roman" w:hAnsi="Times New Roman" w:eastAsia="宋体" w:cs="Times New Roman"/>
                <w:b w:val="0"/>
                <w:sz w:val="21"/>
              </w:rPr>
              <w:t>2000—2024年（WorldPop</w:t>
            </w:r>
            <w:r>
              <w:rPr>
                <w:rFonts w:ascii="Times New Roman" w:hAnsi="Times New Roman" w:eastAsia="宋体" w:cs="Times New Roman"/>
                <w:b w:val="0"/>
                <w:sz w:val="21"/>
                <w:highlight w:val="yellow"/>
              </w:rPr>
              <w:t>【待核实】</w:t>
            </w:r>
            <w:r>
              <w:rPr>
                <w:rFonts w:ascii="Times New Roman" w:hAnsi="Times New Roman" w:eastAsia="宋体" w:cs="Times New Roman"/>
                <w:b w:val="0"/>
                <w:sz w:val="21"/>
              </w:rPr>
              <w:t>）</w:t>
            </w:r>
          </w:p>
        </w:tc>
        <w:tc>
          <w:tcPr>
            <w:tcW w:type="dxa" w:w="2483"/>
          </w:tcPr>
          <w:p>
            <w:pPr>
              <w:snapToGrid w:val="0"/>
              <w:spacing w:lineRule="exact" w:line="320" w:before="0" w:after="0"/>
              <w:jc w:val="left"/>
            </w:pPr>
            <w:r/>
            <w:r>
              <w:rPr>
                <w:rFonts w:ascii="Times New Roman" w:hAnsi="Times New Roman" w:eastAsia="宋体" w:cs="Times New Roman"/>
                <w:b w:val="0"/>
                <w:sz w:val="21"/>
              </w:rPr>
              <w:t>公开或可申请</w:t>
            </w:r>
          </w:p>
        </w:tc>
      </w:tr>
      <w:tr>
        <w:tc>
          <w:tcPr>
            <w:tcW w:type="dxa" w:w="4139"/>
          </w:tcPr>
          <w:p>
            <w:pPr>
              <w:snapToGrid w:val="0"/>
              <w:spacing w:lineRule="exact" w:line="320" w:before="0" w:after="0"/>
              <w:jc w:val="left"/>
            </w:pPr>
            <w:r/>
            <w:r>
              <w:rPr>
                <w:rFonts w:ascii="Times New Roman" w:hAnsi="Times New Roman" w:eastAsia="宋体" w:cs="Times New Roman"/>
                <w:b w:val="0"/>
                <w:sz w:val="21"/>
              </w:rPr>
              <w:t>杭州、上海、南京手机信令</w:t>
            </w:r>
          </w:p>
        </w:tc>
        <w:tc>
          <w:tcPr>
            <w:tcW w:type="dxa" w:w="1655"/>
          </w:tcPr>
          <w:p>
            <w:pPr>
              <w:snapToGrid w:val="0"/>
              <w:spacing w:lineRule="exact" w:line="320" w:before="0" w:after="0"/>
              <w:jc w:val="left"/>
            </w:pPr>
            <w:r/>
            <w:r>
              <w:rPr>
                <w:rFonts w:ascii="Times New Roman" w:hAnsi="Times New Roman" w:eastAsia="宋体" w:cs="Times New Roman"/>
                <w:b w:val="0"/>
                <w:sz w:val="21"/>
                <w:highlight w:val="yellow"/>
              </w:rPr>
              <w:t>【待补充】</w:t>
            </w:r>
          </w:p>
        </w:tc>
        <w:tc>
          <w:tcPr>
            <w:tcW w:type="dxa" w:w="2483"/>
          </w:tcPr>
          <w:p>
            <w:pPr>
              <w:snapToGrid w:val="0"/>
              <w:spacing w:lineRule="exact" w:line="320" w:before="0" w:after="0"/>
              <w:jc w:val="left"/>
            </w:pPr>
            <w:r/>
            <w:r>
              <w:rPr>
                <w:rFonts w:ascii="Times New Roman" w:hAnsi="Times New Roman" w:eastAsia="宋体" w:cs="Times New Roman"/>
                <w:b w:val="0"/>
                <w:sz w:val="21"/>
              </w:rPr>
              <w:t>已获得（细节</w:t>
            </w:r>
            <w:r>
              <w:rPr>
                <w:rFonts w:ascii="Times New Roman" w:hAnsi="Times New Roman" w:eastAsia="宋体" w:cs="Times New Roman"/>
                <w:b w:val="0"/>
                <w:sz w:val="21"/>
                <w:highlight w:val="yellow"/>
              </w:rPr>
              <w:t>【待补充】</w:t>
            </w:r>
            <w:r>
              <w:rPr>
                <w:rFonts w:ascii="Times New Roman" w:hAnsi="Times New Roman" w:eastAsia="宋体" w:cs="Times New Roman"/>
                <w:b w:val="0"/>
                <w:sz w:val="21"/>
              </w:rPr>
              <w:t>）</w:t>
            </w:r>
          </w:p>
        </w:tc>
      </w:tr>
      <w:tr>
        <w:tc>
          <w:tcPr>
            <w:tcW w:type="dxa" w:w="4139"/>
          </w:tcPr>
          <w:p>
            <w:pPr>
              <w:snapToGrid w:val="0"/>
              <w:spacing w:lineRule="exact" w:line="320" w:before="0" w:after="0"/>
              <w:jc w:val="left"/>
            </w:pPr>
            <w:r/>
            <w:r>
              <w:rPr>
                <w:rFonts w:ascii="Times New Roman" w:hAnsi="Times New Roman" w:eastAsia="宋体" w:cs="Times New Roman"/>
                <w:b w:val="0"/>
                <w:sz w:val="21"/>
              </w:rPr>
              <w:t>三城乡镇街道、长三角区县（覆盖</w:t>
            </w:r>
            <w:r>
              <w:rPr>
                <w:rFonts w:ascii="Times New Roman" w:hAnsi="Times New Roman" w:eastAsia="宋体" w:cs="Times New Roman"/>
                <w:b w:val="0"/>
                <w:sz w:val="21"/>
                <w:highlight w:val="yellow"/>
              </w:rPr>
              <w:t>【待补充】</w:t>
            </w:r>
            <w:r>
              <w:rPr>
                <w:rFonts w:ascii="Times New Roman" w:hAnsi="Times New Roman" w:eastAsia="宋体" w:cs="Times New Roman"/>
                <w:b w:val="0"/>
                <w:sz w:val="21"/>
              </w:rPr>
              <w:t>）逐日死亡；住院/医保就诊</w:t>
            </w:r>
          </w:p>
        </w:tc>
        <w:tc>
          <w:tcPr>
            <w:tcW w:type="dxa" w:w="1655"/>
          </w:tcPr>
          <w:p>
            <w:pPr>
              <w:snapToGrid w:val="0"/>
              <w:spacing w:lineRule="exact" w:line="320" w:before="0" w:after="0"/>
              <w:jc w:val="left"/>
            </w:pPr>
            <w:r/>
            <w:r>
              <w:rPr>
                <w:rFonts w:ascii="Times New Roman" w:hAnsi="Times New Roman" w:eastAsia="宋体" w:cs="Times New Roman"/>
                <w:b w:val="0"/>
                <w:sz w:val="21"/>
                <w:highlight w:val="yellow"/>
              </w:rPr>
              <w:t>【待补充】</w:t>
            </w:r>
          </w:p>
        </w:tc>
        <w:tc>
          <w:tcPr>
            <w:tcW w:type="dxa" w:w="2483"/>
          </w:tcPr>
          <w:p>
            <w:pPr>
              <w:snapToGrid w:val="0"/>
              <w:spacing w:lineRule="exact" w:line="320" w:before="0" w:after="0"/>
              <w:jc w:val="left"/>
            </w:pPr>
            <w:r/>
            <w:r>
              <w:rPr>
                <w:rFonts w:ascii="Times New Roman" w:hAnsi="Times New Roman" w:eastAsia="宋体" w:cs="Times New Roman"/>
                <w:b w:val="0"/>
                <w:sz w:val="21"/>
              </w:rPr>
              <w:t>已获得（细节</w:t>
            </w:r>
            <w:r>
              <w:rPr>
                <w:rFonts w:ascii="Times New Roman" w:hAnsi="Times New Roman" w:eastAsia="宋体" w:cs="Times New Roman"/>
                <w:b w:val="0"/>
                <w:sz w:val="21"/>
                <w:highlight w:val="yellow"/>
              </w:rPr>
              <w:t>【待补充】</w:t>
            </w:r>
            <w:r>
              <w:rPr>
                <w:rFonts w:ascii="Times New Roman" w:hAnsi="Times New Roman" w:eastAsia="宋体" w:cs="Times New Roman"/>
                <w:b w:val="0"/>
                <w:sz w:val="21"/>
              </w:rPr>
              <w:t>）</w:t>
            </w:r>
          </w:p>
        </w:tc>
      </w:tr>
    </w:tbl>
    <w:p>
      <w:pPr>
        <w:snapToGrid w:val="0"/>
        <w:spacing w:lineRule="exact" w:line="160" w:before="0" w:after="0"/>
        <w:jc w:val="both"/>
      </w:pPr>
    </w:p>
    <w:p>
      <w:pPr>
        <w:keepNext/>
        <w:snapToGrid w:val="0"/>
        <w:spacing w:lineRule="exact" w:line="440" w:before="160" w:after="40"/>
        <w:jc w:val="both"/>
      </w:pPr>
      <w:r>
        <w:rPr>
          <w:rFonts w:ascii="Times New Roman" w:hAnsi="Times New Roman" w:eastAsia="黑体" w:cs="Times New Roman"/>
          <w:b/>
          <w:sz w:val="24"/>
        </w:rPr>
        <w:t>5. 特色与创新点</w:t>
      </w:r>
    </w:p>
    <w:p>
      <w:pPr>
        <w:snapToGrid w:val="0"/>
        <w:spacing w:lineRule="exact" w:line="440" w:before="0" w:after="0"/>
        <w:ind w:firstLineChars="200" w:firstLine="480"/>
        <w:jc w:val="both"/>
      </w:pPr>
      <w:r>
        <w:rPr>
          <w:rFonts w:ascii="Times New Roman" w:hAnsi="Times New Roman" w:eastAsia="宋体" w:cs="Times New Roman"/>
          <w:b/>
          <w:sz w:val="24"/>
        </w:rPr>
        <w:t>（1）研究视角：从“资源供给”转向“实得保护”。</w:t>
      </w:r>
      <w:r>
        <w:rPr>
          <w:rFonts w:ascii="Times New Roman" w:hAnsi="Times New Roman" w:eastAsia="宋体" w:cs="Times New Roman"/>
          <w:b w:val="0"/>
          <w:sz w:val="24"/>
        </w:rPr>
        <w:t>以往研究多以绿化率、蓝绿空间面积或潜在降温衡量NbS，默认占有资源即获得保护；公平研究已按居住人口估算居民获得的降温收益</w:t>
      </w:r>
      <w:r>
        <w:rPr>
          <w:rFonts w:ascii="Times New Roman" w:hAnsi="Times New Roman" w:eastAsia="宋体" w:cs="Times New Roman"/>
          <w:b w:val="0"/>
          <w:sz w:val="24"/>
          <w:vertAlign w:val="superscript"/>
        </w:rPr>
        <w:t>[41]</w:t>
      </w:r>
      <w:r>
        <w:rPr>
          <w:rFonts w:ascii="Times New Roman" w:hAnsi="Times New Roman" w:eastAsia="宋体" w:cs="Times New Roman"/>
          <w:b w:val="0"/>
          <w:sz w:val="24"/>
        </w:rPr>
        <w:t>，或以人群流动修正绿地暴露</w:t>
      </w:r>
      <w:r>
        <w:rPr>
          <w:rFonts w:ascii="Times New Roman" w:hAnsi="Times New Roman" w:eastAsia="宋体" w:cs="Times New Roman"/>
          <w:b w:val="0"/>
          <w:sz w:val="24"/>
          <w:vertAlign w:val="superscript"/>
        </w:rPr>
        <w:t>[40]</w:t>
      </w:r>
      <w:r>
        <w:rPr>
          <w:rFonts w:ascii="Times New Roman" w:hAnsi="Times New Roman" w:eastAsia="宋体" w:cs="Times New Roman"/>
          <w:b w:val="0"/>
          <w:sz w:val="24"/>
        </w:rPr>
        <w:t>，长三角研究揭示了热健康风险的多尺度不平等</w:t>
      </w:r>
      <w:r>
        <w:rPr>
          <w:rFonts w:ascii="Times New Roman" w:hAnsi="Times New Roman" w:eastAsia="宋体" w:cs="Times New Roman"/>
          <w:b w:val="0"/>
          <w:sz w:val="24"/>
          <w:vertAlign w:val="superscript"/>
        </w:rPr>
        <w:t>[43]</w:t>
      </w:r>
      <w:r>
        <w:rPr>
          <w:rFonts w:ascii="Times New Roman" w:hAnsi="Times New Roman" w:eastAsia="宋体" w:cs="Times New Roman"/>
          <w:b w:val="0"/>
          <w:sz w:val="24"/>
        </w:rPr>
        <w:t>，但降温多以地表温度或潜在降温表征，未剥离形态贡献，也未与人群逐时在场耦合。本项目以DCP度量实得保护，分三层次检验“资源公平不等于保护公平”，将DCP缺口分解为数量不足与三类非数量来源。若非数量来源占主导，单纯增绿难以弥补缺口，NbS配置须转向类型、时段与人群的匹配。</w:t>
      </w:r>
    </w:p>
    <w:p>
      <w:pPr>
        <w:snapToGrid w:val="0"/>
        <w:spacing w:lineRule="exact" w:line="440" w:before="0" w:after="0"/>
        <w:ind w:firstLineChars="200" w:firstLine="480"/>
        <w:jc w:val="both"/>
      </w:pPr>
      <w:r>
        <w:rPr>
          <w:rFonts w:ascii="Times New Roman" w:hAnsi="Times New Roman" w:eastAsia="宋体" w:cs="Times New Roman"/>
          <w:b/>
          <w:sz w:val="24"/>
        </w:rPr>
        <w:t>（2）识别方法：在湿热河网城市群中从表观降温走向可归因降温。</w:t>
      </w:r>
      <w:r>
        <w:rPr>
          <w:rFonts w:ascii="Times New Roman" w:hAnsi="Times New Roman" w:eastAsia="宋体" w:cs="Times New Roman"/>
          <w:b w:val="0"/>
          <w:sz w:val="24"/>
        </w:rPr>
        <w:t>长三角水体与绿地降温研究多以LST或“NbS—周边”温差刻画</w:t>
      </w:r>
      <w:r>
        <w:rPr>
          <w:rFonts w:ascii="Times New Roman" w:hAnsi="Times New Roman" w:eastAsia="宋体" w:cs="Times New Roman"/>
          <w:b w:val="0"/>
          <w:sz w:val="24"/>
          <w:vertAlign w:val="superscript"/>
        </w:rPr>
        <w:t>[27,66]</w:t>
      </w:r>
      <w:r>
        <w:rPr>
          <w:rFonts w:ascii="Times New Roman" w:hAnsi="Times New Roman" w:eastAsia="宋体" w:cs="Times New Roman"/>
          <w:b w:val="0"/>
          <w:sz w:val="24"/>
        </w:rPr>
        <w:t>，难以剥离形态贡献；动态热暴露研究描述了人群流动</w:t>
      </w:r>
      <w:r>
        <w:rPr>
          <w:rFonts w:ascii="Times New Roman" w:hAnsi="Times New Roman" w:eastAsia="宋体" w:cs="Times New Roman"/>
          <w:b w:val="0"/>
          <w:sz w:val="24"/>
          <w:vertAlign w:val="superscript"/>
        </w:rPr>
        <w:t>[35,37]</w:t>
      </w:r>
      <w:r>
        <w:rPr>
          <w:rFonts w:ascii="Times New Roman" w:hAnsi="Times New Roman" w:eastAsia="宋体" w:cs="Times New Roman"/>
          <w:b w:val="0"/>
          <w:sz w:val="24"/>
        </w:rPr>
        <w:t>，但多未在控制建筑遮荫与形态后将降温归因于具体NbS类型。本项目在逐时YRD-HES上以形态分层与遮荫分离识别九类NbS的可归因降温，经DID、ENVI-met与去NbS变量模型检验，以Ta与UTCI联合识别“降气温而不降热负荷”等设计禁忌，并检验41城异质性。该设计可减少将建筑遮荫计为NbS效益的偏误，并为湿热河网地区判断蓝色NbS何时有效、何时产生反效果提供证据。</w:t>
      </w:r>
    </w:p>
    <w:p>
      <w:pPr>
        <w:snapToGrid w:val="0"/>
        <w:spacing w:lineRule="exact" w:line="440" w:before="0" w:after="0"/>
        <w:ind w:firstLineChars="200" w:firstLine="480"/>
        <w:jc w:val="both"/>
      </w:pPr>
      <w:r>
        <w:rPr>
          <w:rFonts w:ascii="Times New Roman" w:hAnsi="Times New Roman" w:eastAsia="宋体" w:cs="Times New Roman"/>
          <w:b/>
          <w:sz w:val="24"/>
        </w:rPr>
        <w:t>（3）检验思路：使NbS保护指标接受健康结局检验。</w:t>
      </w:r>
      <w:r>
        <w:rPr>
          <w:rFonts w:ascii="Times New Roman" w:hAnsi="Times New Roman" w:eastAsia="宋体" w:cs="Times New Roman"/>
          <w:b w:val="0"/>
          <w:sz w:val="24"/>
        </w:rPr>
        <w:t>这一要求亦见于世界卫生组织报告</w:t>
      </w:r>
      <w:r>
        <w:rPr>
          <w:rFonts w:ascii="Times New Roman" w:hAnsi="Times New Roman" w:eastAsia="宋体" w:cs="Times New Roman"/>
          <w:b w:val="0"/>
          <w:sz w:val="24"/>
          <w:vertAlign w:val="superscript"/>
        </w:rPr>
        <w:t>[67]</w:t>
      </w:r>
      <w:r>
        <w:rPr>
          <w:rFonts w:ascii="Times New Roman" w:hAnsi="Times New Roman" w:eastAsia="宋体" w:cs="Times New Roman"/>
          <w:b w:val="0"/>
          <w:sz w:val="24"/>
        </w:rPr>
        <w:t>。中国东南1085个乡镇街道的研究以分类型静态蓝绿空间指标为热—死亡关联的修饰项，结果随NbS类型而异</w:t>
      </w:r>
      <w:r>
        <w:rPr>
          <w:rFonts w:ascii="Times New Roman" w:hAnsi="Times New Roman" w:eastAsia="宋体" w:cs="Times New Roman"/>
          <w:b w:val="0"/>
          <w:sz w:val="24"/>
          <w:vertAlign w:val="superscript"/>
        </w:rPr>
        <w:t>[47,48]</w:t>
      </w:r>
      <w:r>
        <w:rPr>
          <w:rFonts w:ascii="Times New Roman" w:hAnsi="Times New Roman" w:eastAsia="宋体" w:cs="Times New Roman"/>
          <w:b w:val="0"/>
          <w:sz w:val="24"/>
        </w:rPr>
        <w:t>。本项目在同一人群与分层上以样本外偏差比较DCP与这类指标的修饰作用，借分析计划存档与封存期检验使DCP可被健康结局证伪，并量化现有NbS已避免的热相关健康负担及其分配。若DCP通过检验，即可与按暴露—反应关系分级的高温健康风险预警</w:t>
      </w:r>
      <w:r>
        <w:rPr>
          <w:rFonts w:ascii="Times New Roman" w:hAnsi="Times New Roman" w:eastAsia="宋体" w:cs="Times New Roman"/>
          <w:b w:val="0"/>
          <w:sz w:val="24"/>
          <w:vertAlign w:val="superscript"/>
        </w:rPr>
        <w:t>[54]</w:t>
      </w:r>
      <w:r>
        <w:rPr>
          <w:rFonts w:ascii="Times New Roman" w:hAnsi="Times New Roman" w:eastAsia="宋体" w:cs="Times New Roman"/>
          <w:b w:val="0"/>
          <w:sz w:val="24"/>
        </w:rPr>
        <w:t>采用同一健康口径，供规划评估与风险管理共用。</w:t>
      </w:r>
    </w:p>
    <w:p>
      <w:pPr>
        <w:keepNext/>
        <w:snapToGrid w:val="0"/>
        <w:spacing w:lineRule="exact" w:line="440" w:before="160" w:after="40"/>
        <w:jc w:val="both"/>
      </w:pPr>
      <w:r>
        <w:rPr>
          <w:rFonts w:ascii="Times New Roman" w:hAnsi="Times New Roman" w:eastAsia="黑体" w:cs="Times New Roman"/>
          <w:b/>
          <w:sz w:val="24"/>
        </w:rPr>
        <w:t>6. 年度研究计划</w:t>
      </w:r>
    </w:p>
    <w:p>
      <w:pPr>
        <w:snapToGrid w:val="0"/>
        <w:spacing w:lineRule="exact" w:line="440" w:before="0" w:after="0"/>
        <w:ind w:firstLineChars="200" w:firstLine="480"/>
        <w:jc w:val="both"/>
      </w:pPr>
      <w:r>
        <w:rPr>
          <w:rFonts w:ascii="Times New Roman" w:hAnsi="Times New Roman" w:eastAsia="宋体" w:cs="Times New Roman"/>
          <w:b w:val="0"/>
          <w:sz w:val="24"/>
        </w:rPr>
        <w:t>执行期为2028年1月1日—2030年12月31日，按“数据构建—机理识别—健康检验—集成转化”推进（表2），研究内容二、三中不依赖前项产出的工作（在场重建、基线DLNM）提前或并行开展，以免单项延误逐级传导。</w:t>
      </w:r>
    </w:p>
    <w:p>
      <w:pPr>
        <w:keepNext/>
        <w:snapToGrid w:val="0"/>
        <w:spacing w:lineRule="exact" w:line="360" w:before="120" w:after="40"/>
        <w:jc w:val="center"/>
      </w:pPr>
      <w:r>
        <w:rPr>
          <w:rFonts w:ascii="Times New Roman" w:hAnsi="Times New Roman" w:eastAsia="黑体" w:cs="Times New Roman"/>
          <w:b w:val="0"/>
          <w:sz w:val="21"/>
        </w:rPr>
        <w:t>表2 年度研究计划与考核节点</w:t>
      </w: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573"/>
        <w:gridCol w:w="4304"/>
        <w:gridCol w:w="2400"/>
      </w:tblGrid>
      <w:tr>
        <w:trPr>
          <w:tblHeader w:val="true"/>
        </w:trPr>
        <w:tc>
          <w:tcPr>
            <w:tcW w:type="dxa" w:w="1573"/>
            <w:shd w:val="clear" w:color="auto" w:fill="DCE6F1"/>
          </w:tcPr>
          <w:p>
            <w:pPr>
              <w:snapToGrid w:val="0"/>
              <w:spacing w:lineRule="exact" w:line="320" w:before="0" w:after="0"/>
              <w:jc w:val="center"/>
            </w:pPr>
            <w:r/>
            <w:r>
              <w:rPr>
                <w:rFonts w:ascii="Times New Roman" w:hAnsi="Times New Roman" w:eastAsia="黑体" w:cs="Times New Roman"/>
                <w:b/>
                <w:sz w:val="21"/>
              </w:rPr>
              <w:t>时段</w:t>
            </w:r>
          </w:p>
        </w:tc>
        <w:tc>
          <w:tcPr>
            <w:tcW w:type="dxa" w:w="4304"/>
            <w:shd w:val="clear" w:color="auto" w:fill="DCE6F1"/>
          </w:tcPr>
          <w:p>
            <w:pPr>
              <w:snapToGrid w:val="0"/>
              <w:spacing w:lineRule="exact" w:line="320" w:before="0" w:after="0"/>
              <w:jc w:val="center"/>
            </w:pPr>
            <w:r/>
            <w:r>
              <w:rPr>
                <w:rFonts w:ascii="Times New Roman" w:hAnsi="Times New Roman" w:eastAsia="黑体" w:cs="Times New Roman"/>
                <w:b/>
                <w:sz w:val="21"/>
              </w:rPr>
              <w:t>主要研究任务</w:t>
            </w:r>
          </w:p>
        </w:tc>
        <w:tc>
          <w:tcPr>
            <w:tcW w:type="dxa" w:w="2400"/>
            <w:shd w:val="clear" w:color="auto" w:fill="DCE6F1"/>
          </w:tcPr>
          <w:p>
            <w:pPr>
              <w:snapToGrid w:val="0"/>
              <w:spacing w:lineRule="exact" w:line="320" w:before="0" w:after="0"/>
              <w:jc w:val="center"/>
            </w:pPr>
            <w:r/>
            <w:r>
              <w:rPr>
                <w:rFonts w:ascii="Times New Roman" w:hAnsi="Times New Roman" w:eastAsia="黑体" w:cs="Times New Roman"/>
                <w:b/>
                <w:sz w:val="21"/>
              </w:rPr>
              <w:t>考核节点与预期成果</w:t>
            </w:r>
          </w:p>
        </w:tc>
      </w:tr>
      <w:tr>
        <w:tc>
          <w:tcPr>
            <w:tcW w:type="dxa" w:w="1573"/>
          </w:tcPr>
          <w:p>
            <w:pPr>
              <w:snapToGrid w:val="0"/>
              <w:spacing w:lineRule="exact" w:line="320" w:before="0" w:after="0"/>
              <w:jc w:val="left"/>
            </w:pPr>
            <w:r/>
            <w:r>
              <w:rPr>
                <w:rFonts w:ascii="Times New Roman" w:hAnsi="Times New Roman" w:eastAsia="宋体" w:cs="Times New Roman"/>
                <w:b w:val="0"/>
                <w:sz w:val="21"/>
              </w:rPr>
              <w:t>2028年上半年</w:t>
            </w:r>
          </w:p>
        </w:tc>
        <w:tc>
          <w:tcPr>
            <w:tcW w:type="dxa" w:w="4304"/>
          </w:tcPr>
          <w:p>
            <w:pPr>
              <w:snapToGrid w:val="0"/>
              <w:spacing w:lineRule="exact" w:line="320" w:before="0" w:after="0"/>
              <w:jc w:val="left"/>
            </w:pPr>
            <w:r/>
            <w:r>
              <w:rPr>
                <w:rFonts w:ascii="Times New Roman" w:hAnsi="Times New Roman" w:eastAsia="宋体" w:cs="Times New Roman"/>
                <w:b w:val="0"/>
                <w:sz w:val="21"/>
              </w:rPr>
              <w:t>伦理审查与境内数据环境部署；公开数据整编（记录级数据待伦理批准后启用）；形态分层；YRD-HES建模（30 m流程先一城后推广）；NbS重建启动</w:t>
            </w:r>
          </w:p>
        </w:tc>
        <w:tc>
          <w:tcPr>
            <w:tcW w:type="dxa" w:w="2400"/>
          </w:tcPr>
          <w:p>
            <w:pPr>
              <w:snapToGrid w:val="0"/>
              <w:spacing w:lineRule="exact" w:line="320" w:before="0" w:after="0"/>
              <w:jc w:val="left"/>
            </w:pPr>
            <w:r/>
            <w:r>
              <w:rPr>
                <w:rFonts w:ascii="Times New Roman" w:hAnsi="Times New Roman" w:eastAsia="宋体" w:cs="Times New Roman"/>
                <w:b w:val="0"/>
                <w:sz w:val="21"/>
              </w:rPr>
              <w:t>M1（3月）伦理审查申请提交</w:t>
            </w:r>
          </w:p>
        </w:tc>
      </w:tr>
      <w:tr>
        <w:tc>
          <w:tcPr>
            <w:tcW w:type="dxa" w:w="1573"/>
          </w:tcPr>
          <w:p>
            <w:pPr>
              <w:snapToGrid w:val="0"/>
              <w:spacing w:lineRule="exact" w:line="320" w:before="0" w:after="0"/>
              <w:jc w:val="left"/>
            </w:pPr>
            <w:r/>
            <w:r>
              <w:rPr>
                <w:rFonts w:ascii="Times New Roman" w:hAnsi="Times New Roman" w:eastAsia="宋体" w:cs="Times New Roman"/>
                <w:b w:val="0"/>
                <w:sz w:val="21"/>
              </w:rPr>
              <w:t>2028年下半年</w:t>
            </w:r>
          </w:p>
        </w:tc>
        <w:tc>
          <w:tcPr>
            <w:tcW w:type="dxa" w:w="4304"/>
          </w:tcPr>
          <w:p>
            <w:pPr>
              <w:snapToGrid w:val="0"/>
              <w:spacing w:lineRule="exact" w:line="320" w:before="0" w:after="0"/>
              <w:jc w:val="left"/>
            </w:pPr>
            <w:r/>
            <w:r>
              <w:rPr>
                <w:rFonts w:ascii="Times New Roman" w:hAnsi="Times New Roman" w:eastAsia="宋体" w:cs="Times New Roman"/>
                <w:b w:val="0"/>
                <w:sz w:val="21"/>
              </w:rPr>
              <w:t>三城30 m与1 km试点年份产品生产、验证；NbS重建完成；基线DLNM；工作坊1</w:t>
            </w:r>
          </w:p>
        </w:tc>
        <w:tc>
          <w:tcPr>
            <w:tcW w:type="dxa" w:w="2400"/>
          </w:tcPr>
          <w:p>
            <w:pPr>
              <w:snapToGrid w:val="0"/>
              <w:spacing w:lineRule="exact" w:line="320" w:before="0" w:after="0"/>
              <w:jc w:val="left"/>
            </w:pPr>
            <w:r/>
            <w:r>
              <w:rPr>
                <w:rFonts w:ascii="Times New Roman" w:hAnsi="Times New Roman" w:eastAsia="宋体" w:cs="Times New Roman"/>
                <w:b w:val="0"/>
                <w:sz w:val="21"/>
              </w:rPr>
              <w:t>M2 YRD-HES验证报告；G1数据可用性评估（均为12月）</w:t>
            </w:r>
          </w:p>
        </w:tc>
      </w:tr>
      <w:tr>
        <w:tc>
          <w:tcPr>
            <w:tcW w:type="dxa" w:w="1573"/>
          </w:tcPr>
          <w:p>
            <w:pPr>
              <w:snapToGrid w:val="0"/>
              <w:spacing w:lineRule="exact" w:line="320" w:before="0" w:after="0"/>
              <w:jc w:val="left"/>
            </w:pPr>
            <w:r/>
            <w:r>
              <w:rPr>
                <w:rFonts w:ascii="Times New Roman" w:hAnsi="Times New Roman" w:eastAsia="宋体" w:cs="Times New Roman"/>
                <w:b w:val="0"/>
                <w:sz w:val="21"/>
              </w:rPr>
              <w:t>2029年上半年</w:t>
            </w:r>
          </w:p>
        </w:tc>
        <w:tc>
          <w:tcPr>
            <w:tcW w:type="dxa" w:w="4304"/>
          </w:tcPr>
          <w:p>
            <w:pPr>
              <w:snapToGrid w:val="0"/>
              <w:spacing w:lineRule="exact" w:line="320" w:before="0" w:after="0"/>
              <w:jc w:val="left"/>
            </w:pPr>
            <w:r/>
            <w:r>
              <w:rPr>
                <w:rFonts w:ascii="Times New Roman" w:hAnsi="Times New Roman" w:eastAsia="宋体" w:cs="Times New Roman"/>
                <w:b w:val="0"/>
                <w:sz w:val="21"/>
              </w:rPr>
              <w:t>全域1 km产品生产；三城可归因降温估计与独立检验；在场重建；YRD-HES与代码公开；论文1投稿</w:t>
            </w:r>
          </w:p>
        </w:tc>
        <w:tc>
          <w:tcPr>
            <w:tcW w:type="dxa" w:w="2400"/>
          </w:tcPr>
          <w:p>
            <w:pPr>
              <w:snapToGrid w:val="0"/>
              <w:spacing w:lineRule="exact" w:line="320" w:before="0" w:after="0"/>
              <w:jc w:val="left"/>
            </w:pPr>
            <w:r/>
            <w:r>
              <w:rPr>
                <w:rFonts w:ascii="Times New Roman" w:hAnsi="Times New Roman" w:eastAsia="宋体" w:cs="Times New Roman"/>
                <w:b w:val="0"/>
                <w:sz w:val="21"/>
              </w:rPr>
              <w:t>M3（6月）全域1 km产品与H1检验报告</w:t>
            </w:r>
          </w:p>
        </w:tc>
      </w:tr>
      <w:tr>
        <w:tc>
          <w:tcPr>
            <w:tcW w:type="dxa" w:w="1573"/>
          </w:tcPr>
          <w:p>
            <w:pPr>
              <w:snapToGrid w:val="0"/>
              <w:spacing w:lineRule="exact" w:line="320" w:before="0" w:after="0"/>
              <w:jc w:val="left"/>
            </w:pPr>
            <w:r/>
            <w:r>
              <w:rPr>
                <w:rFonts w:ascii="Times New Roman" w:hAnsi="Times New Roman" w:eastAsia="宋体" w:cs="Times New Roman"/>
                <w:b w:val="0"/>
                <w:sz w:val="21"/>
              </w:rPr>
              <w:t>2029年下半年</w:t>
            </w:r>
          </w:p>
        </w:tc>
        <w:tc>
          <w:tcPr>
            <w:tcW w:type="dxa" w:w="4304"/>
          </w:tcPr>
          <w:p>
            <w:pPr>
              <w:snapToGrid w:val="0"/>
              <w:spacing w:lineRule="exact" w:line="320" w:before="0" w:after="0"/>
              <w:jc w:val="left"/>
            </w:pPr>
            <w:r/>
            <w:r>
              <w:rPr>
                <w:rFonts w:ascii="Times New Roman" w:hAnsi="Times New Roman" w:eastAsia="宋体" w:cs="Times New Roman"/>
                <w:b w:val="0"/>
                <w:sz w:val="21"/>
              </w:rPr>
              <w:t>三城DCP、DCP缺口与三层次公平检验；41城异质性与DCP</w:t>
            </w:r>
            <w:r>
              <w:rPr>
                <w:rFonts w:ascii="Times New Roman" w:hAnsi="Times New Roman" w:eastAsia="宋体" w:cs="Times New Roman"/>
                <w:b w:val="0"/>
                <w:sz w:val="21"/>
                <w:vertAlign w:val="subscript"/>
              </w:rPr>
              <w:t>res</w:t>
            </w:r>
            <w:r>
              <w:rPr>
                <w:rFonts w:ascii="Times New Roman" w:hAnsi="Times New Roman" w:eastAsia="宋体" w:cs="Times New Roman"/>
                <w:b w:val="0"/>
                <w:sz w:val="21"/>
              </w:rPr>
              <w:t>（探索性）；分析计划存档</w:t>
            </w:r>
          </w:p>
        </w:tc>
        <w:tc>
          <w:tcPr>
            <w:tcW w:type="dxa" w:w="2400"/>
          </w:tcPr>
          <w:p>
            <w:pPr>
              <w:snapToGrid w:val="0"/>
              <w:spacing w:lineRule="exact" w:line="320" w:before="0" w:after="0"/>
              <w:jc w:val="left"/>
            </w:pPr>
            <w:r/>
            <w:r>
              <w:rPr>
                <w:rFonts w:ascii="Times New Roman" w:hAnsi="Times New Roman" w:eastAsia="宋体" w:cs="Times New Roman"/>
                <w:b w:val="0"/>
                <w:sz w:val="21"/>
              </w:rPr>
              <w:t>M4（12月）DCP图谱、H2检验与41城格局</w:t>
            </w:r>
          </w:p>
        </w:tc>
      </w:tr>
      <w:tr>
        <w:tc>
          <w:tcPr>
            <w:tcW w:type="dxa" w:w="1573"/>
          </w:tcPr>
          <w:p>
            <w:pPr>
              <w:snapToGrid w:val="0"/>
              <w:spacing w:lineRule="exact" w:line="320" w:before="0" w:after="0"/>
              <w:jc w:val="left"/>
            </w:pPr>
            <w:r/>
            <w:r>
              <w:rPr>
                <w:rFonts w:ascii="Times New Roman" w:hAnsi="Times New Roman" w:eastAsia="宋体" w:cs="Times New Roman"/>
                <w:b w:val="0"/>
                <w:sz w:val="21"/>
              </w:rPr>
              <w:t>2030年上半年</w:t>
            </w:r>
          </w:p>
        </w:tc>
        <w:tc>
          <w:tcPr>
            <w:tcW w:type="dxa" w:w="4304"/>
          </w:tcPr>
          <w:p>
            <w:pPr>
              <w:snapToGrid w:val="0"/>
              <w:spacing w:lineRule="exact" w:line="320" w:before="0" w:after="0"/>
              <w:jc w:val="left"/>
            </w:pPr>
            <w:r/>
            <w:r>
              <w:rPr>
                <w:rFonts w:ascii="Times New Roman" w:hAnsi="Times New Roman" w:eastAsia="宋体" w:cs="Times New Roman"/>
                <w:b w:val="0"/>
                <w:sz w:val="21"/>
              </w:rPr>
              <w:t>三城H3检验与区县外部效度检验；已避免负担估算；工作坊2；论文2投稿</w:t>
            </w:r>
          </w:p>
        </w:tc>
        <w:tc>
          <w:tcPr>
            <w:tcW w:type="dxa" w:w="2400"/>
          </w:tcPr>
          <w:p>
            <w:pPr>
              <w:snapToGrid w:val="0"/>
              <w:spacing w:lineRule="exact" w:line="320" w:before="0" w:after="0"/>
              <w:jc w:val="left"/>
            </w:pPr>
            <w:r/>
            <w:r>
              <w:rPr>
                <w:rFonts w:ascii="Times New Roman" w:hAnsi="Times New Roman" w:eastAsia="宋体" w:cs="Times New Roman"/>
                <w:b w:val="0"/>
                <w:sz w:val="21"/>
              </w:rPr>
              <w:t>M5（6月）H3检验与已避免负担估算</w:t>
            </w:r>
          </w:p>
        </w:tc>
      </w:tr>
      <w:tr>
        <w:tc>
          <w:tcPr>
            <w:tcW w:type="dxa" w:w="1573"/>
          </w:tcPr>
          <w:p>
            <w:pPr>
              <w:snapToGrid w:val="0"/>
              <w:spacing w:lineRule="exact" w:line="320" w:before="0" w:after="0"/>
              <w:jc w:val="left"/>
            </w:pPr>
            <w:r/>
            <w:r>
              <w:rPr>
                <w:rFonts w:ascii="Times New Roman" w:hAnsi="Times New Roman" w:eastAsia="宋体" w:cs="Times New Roman"/>
                <w:b w:val="0"/>
                <w:sz w:val="21"/>
              </w:rPr>
              <w:t>2030年下半年</w:t>
            </w:r>
          </w:p>
        </w:tc>
        <w:tc>
          <w:tcPr>
            <w:tcW w:type="dxa" w:w="4304"/>
          </w:tcPr>
          <w:p>
            <w:pPr>
              <w:snapToGrid w:val="0"/>
              <w:spacing w:lineRule="exact" w:line="320" w:before="0" w:after="0"/>
              <w:jc w:val="left"/>
            </w:pPr>
            <w:r/>
            <w:r>
              <w:rPr>
                <w:rFonts w:ascii="Times New Roman" w:hAnsi="Times New Roman" w:eastAsia="宋体" w:cs="Times New Roman"/>
                <w:b w:val="0"/>
                <w:sz w:val="21"/>
              </w:rPr>
              <w:t>矩阵、设计禁忌与风险信息规范定稿；政策简报；DCP方法与代码发布；论文3投稿</w:t>
            </w:r>
          </w:p>
        </w:tc>
        <w:tc>
          <w:tcPr>
            <w:tcW w:type="dxa" w:w="2400"/>
          </w:tcPr>
          <w:p>
            <w:pPr>
              <w:snapToGrid w:val="0"/>
              <w:spacing w:lineRule="exact" w:line="320" w:before="0" w:after="0"/>
              <w:jc w:val="left"/>
            </w:pPr>
            <w:r/>
            <w:r>
              <w:rPr>
                <w:rFonts w:ascii="Times New Roman" w:hAnsi="Times New Roman" w:eastAsia="宋体" w:cs="Times New Roman"/>
                <w:b w:val="0"/>
                <w:sz w:val="21"/>
              </w:rPr>
              <w:t>M6（12月）成果发布与结题</w:t>
            </w:r>
          </w:p>
        </w:tc>
      </w:tr>
    </w:tbl>
    <w:p>
      <w:pPr>
        <w:snapToGrid w:val="0"/>
        <w:spacing w:lineRule="exact" w:line="160" w:before="0" w:after="0"/>
        <w:jc w:val="both"/>
      </w:pPr>
    </w:p>
    <w:p>
      <w:pPr>
        <w:snapToGrid w:val="0"/>
        <w:spacing w:lineRule="exact" w:line="440" w:before="0" w:after="0"/>
        <w:ind w:firstLineChars="200" w:firstLine="480"/>
        <w:jc w:val="both"/>
      </w:pPr>
      <w:r>
        <w:rPr>
          <w:rFonts w:ascii="Times New Roman" w:hAnsi="Times New Roman" w:eastAsia="宋体" w:cs="Times New Roman"/>
          <w:b/>
          <w:sz w:val="24"/>
        </w:rPr>
        <w:t>学术交流与合作。</w:t>
      </w:r>
      <w:r>
        <w:rPr>
          <w:rFonts w:ascii="Times New Roman" w:hAnsi="Times New Roman" w:eastAsia="宋体" w:cs="Times New Roman"/>
          <w:b w:val="0"/>
          <w:sz w:val="24"/>
        </w:rPr>
        <w:t>两场工作坊的目标与对象见3.5节（2）；继续与香港大学城市规划及设计系何深静教授团队合作；流行病学建模方面拟与</w:t>
      </w:r>
      <w:r>
        <w:rPr>
          <w:rFonts w:ascii="Times New Roman" w:hAnsi="Times New Roman" w:eastAsia="宋体" w:cs="Times New Roman"/>
          <w:b w:val="0"/>
          <w:sz w:val="24"/>
          <w:highlight w:val="yellow"/>
        </w:rPr>
        <w:t>【待补充：合作者、单位与分工；如无则删去本句】</w:t>
      </w:r>
      <w:r>
        <w:rPr>
          <w:rFonts w:ascii="Times New Roman" w:hAnsi="Times New Roman" w:eastAsia="宋体" w:cs="Times New Roman"/>
          <w:b w:val="0"/>
          <w:sz w:val="24"/>
        </w:rPr>
        <w:t>合作；2029—2030年拟参加国际学术会议报告阶段成果</w:t>
      </w:r>
      <w:r>
        <w:rPr>
          <w:rFonts w:ascii="Times New Roman" w:hAnsi="Times New Roman" w:eastAsia="宋体" w:cs="Times New Roman"/>
          <w:b w:val="0"/>
          <w:sz w:val="24"/>
          <w:highlight w:val="yellow"/>
        </w:rPr>
        <w:t>【待补充：会议名称】</w:t>
      </w:r>
      <w:r>
        <w:rPr>
          <w:rFonts w:ascii="Times New Roman" w:hAnsi="Times New Roman" w:eastAsia="宋体" w:cs="Times New Roman"/>
          <w:b w:val="0"/>
          <w:sz w:val="24"/>
        </w:rPr>
        <w:t>。</w:t>
      </w:r>
    </w:p>
    <w:p>
      <w:pPr>
        <w:keepNext/>
        <w:snapToGrid w:val="0"/>
        <w:spacing w:lineRule="exact" w:line="440" w:before="160" w:after="40"/>
        <w:jc w:val="both"/>
      </w:pPr>
      <w:r>
        <w:rPr>
          <w:rFonts w:ascii="Times New Roman" w:hAnsi="Times New Roman" w:eastAsia="黑体" w:cs="Times New Roman"/>
          <w:b/>
          <w:sz w:val="24"/>
        </w:rPr>
        <w:t>7. 预期研究成果</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sz w:val="24"/>
        </w:rPr>
        <w:t>科学认识</w:t>
      </w:r>
      <w:r>
        <w:rPr>
          <w:rFonts w:ascii="Times New Roman" w:hAnsi="Times New Roman" w:eastAsia="宋体" w:cs="Times New Roman"/>
          <w:b w:val="0"/>
          <w:sz w:val="24"/>
        </w:rPr>
        <w:t>：九类NbS按“类型×形态×时段”的可归因降温、失效条件及41城异质性；三城三层次公平格局与DCP缺口来源分解；DCP解释力检验结论与分人群已避免负担。H1a—H3b逐条按预设判据报告。</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sz w:val="24"/>
        </w:rPr>
        <w:t>理论与方法</w:t>
      </w:r>
      <w:r>
        <w:rPr>
          <w:rFonts w:ascii="Times New Roman" w:hAnsi="Times New Roman" w:eastAsia="宋体" w:cs="Times New Roman"/>
          <w:b w:val="0"/>
          <w:sz w:val="24"/>
        </w:rPr>
        <w:t>：DCP概念与测度框架、形态分层与遮荫分离的可归因降温识别方法及不确定性逐级传递方法。</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sz w:val="24"/>
        </w:rPr>
        <w:t>数据产品</w:t>
      </w:r>
      <w:r>
        <w:rPr>
          <w:rFonts w:ascii="Times New Roman" w:hAnsi="Times New Roman" w:eastAsia="宋体" w:cs="Times New Roman"/>
          <w:b w:val="0"/>
          <w:sz w:val="24"/>
        </w:rPr>
        <w:t>：YRD-HES 1套，覆盖2000—2024年，全域41城建成区及缓冲区1 km逐时Ta与UTCI、三城中心城区30 m暖季汇总与高温日全场；附分昼夜、高温日与夜间高温的精度报告和数据字典，2029年6月在源数据许可范围内公开并赋予持久标识符</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sz w:val="24"/>
        </w:rPr>
        <w:t>代码</w:t>
      </w:r>
      <w:r>
        <w:rPr>
          <w:rFonts w:ascii="Times New Roman" w:hAnsi="Times New Roman" w:eastAsia="宋体" w:cs="Times New Roman"/>
          <w:b w:val="0"/>
          <w:sz w:val="24"/>
        </w:rPr>
        <w:t>：YRD-HES降尺度、遮荫分离、DCP计算与DLNM检验的代码库，含数据字典、运行日志与测试用例；YRD-HES代码随数据公开，DCP方法、代码与汇总成果于2030年第四季度（M6）发布；信令、死亡与就诊等记录级数据不予发布。</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sz w:val="24"/>
        </w:rPr>
        <w:t>学术论文</w:t>
      </w:r>
      <w:r>
        <w:rPr>
          <w:rFonts w:ascii="Times New Roman" w:hAnsi="Times New Roman" w:eastAsia="宋体" w:cs="Times New Roman"/>
          <w:b w:val="0"/>
          <w:sz w:val="24"/>
        </w:rPr>
        <w:t>：完成论文3篇，分别对应研究内容一至三（投稿节点见表2），投至城市规划、地理学与环境健康领域期刊。</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sz w:val="24"/>
        </w:rPr>
        <w:t>规划与管理工具</w:t>
      </w:r>
      <w:r>
        <w:rPr>
          <w:rFonts w:ascii="Times New Roman" w:hAnsi="Times New Roman" w:eastAsia="宋体" w:cs="Times New Roman"/>
          <w:b w:val="0"/>
          <w:sz w:val="24"/>
        </w:rPr>
        <w:t>：NbS降温保护矩阵1套（按形态分层×气候—水网分区×时段给出四类配置建议与证据等级，附设计禁忌清单）；精细化高温风险信息规范1份，规定逐时热暴露、DCP缺口、在场人口与脆弱性四类信息的空间单元、时段与分级</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及三类对象（见3.5节）的对应措施，与高温健康风险预警衔接；政策简报1份，概述矩阵与设计禁忌要点，于2030年第四季度提交三城相关部门。</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sz w:val="24"/>
        </w:rPr>
        <w:t>人才培养</w:t>
      </w:r>
      <w:r>
        <w:rPr>
          <w:rFonts w:ascii="Times New Roman" w:hAnsi="Times New Roman" w:eastAsia="宋体" w:cs="Times New Roman"/>
          <w:b w:val="0"/>
          <w:sz w:val="24"/>
        </w:rPr>
        <w:t>：协助指导参与本项目的研究生</w:t>
      </w:r>
      <w:r>
        <w:rPr>
          <w:rFonts w:ascii="Times New Roman" w:hAnsi="Times New Roman" w:eastAsia="宋体" w:cs="Times New Roman"/>
          <w:b w:val="0"/>
          <w:sz w:val="24"/>
          <w:highlight w:val="yellow"/>
        </w:rPr>
        <w:t>【待补充：人数】</w:t>
      </w:r>
      <w:r>
        <w:rPr>
          <w:rFonts w:ascii="Times New Roman" w:hAnsi="Times New Roman" w:eastAsia="宋体" w:cs="Times New Roman"/>
          <w:b w:val="0"/>
          <w:sz w:val="24"/>
        </w:rPr>
        <w:t>，覆盖问题界定、研究设计、数据处理、代码审查、统计分析与论文修改各环节；申请人借此提升独立主持城市规划、遥感与环境健康交叉研究的能力。</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sz w:val="24"/>
        </w:rPr>
        <w:t>转化路径</w:t>
      </w:r>
      <w:r>
        <w:rPr>
          <w:rFonts w:ascii="Times New Roman" w:hAnsi="Times New Roman" w:eastAsia="宋体" w:cs="Times New Roman"/>
          <w:b w:val="0"/>
          <w:sz w:val="24"/>
        </w:rPr>
        <w:t>：近期（项目期内）经工作坊与政策简报，向三城实务部门提供户外工作者、老年人等高风险人群的分时段、分地点风险信息；中期三城规划、园林、气象、疾控与人社部门可共用DCP计量口径，用于NbS方案比选、遮荫与工时安排及高温健康风险管理；远期可向粤港澳大湾区等其他湿热城市群推广判断某类NbS在何种形态与时段能否真正降低人体热负荷的评估方法，而非固定的种植或水体设计标准。以至少1个参与部门依业务数据试用风险信息规范并形成书面反馈为转化指标</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w:t>
      </w:r>
    </w:p>
    <w:p>
      <w:pPr>
        <w:pStyle w:val="Normal"/>
        <w:keepNext w:val="false"/>
        <w:keepLines w:val="false"/>
        <w:pageBreakBefore w:val="false"/>
        <w:widowControl w:val="false"/>
        <w:kinsoku w:val="true"/>
        <w:overflowPunct w:val="true"/>
        <w:autoSpaceDE w:val="true"/>
        <w:bidi w:val="0"/>
        <w:snapToGrid w:val="false"/>
        <w:spacing w:lineRule="exact" w:line="440"/>
        <w:ind w:firstLine="562" w:right="0"/>
        <w:textAlignment w:val="auto"/>
        <w:rPr>
          <w:rFonts w:ascii="楷体" w:hAnsi="楷体" w:eastAsia="楷体" w:cs="楷体"/>
          <w:color w:val="0070C0"/>
          <w:sz w:val="28"/>
          <w:szCs w:val="28"/>
        </w:rPr>
      </w:pPr>
      <w:r>
        <w:rPr>
          <w:rFonts w:ascii="楷体" w:hAnsi="楷体" w:cs="楷体_GB2312" w:eastAsia="楷体"/>
          <w:b/>
          <w:bCs/>
          <w:color w:val="0070C0"/>
          <w:sz w:val="28"/>
          <w:szCs w:val="28"/>
        </w:rPr>
        <w:t>（</w:t>
      </w:r>
      <w:r>
        <w:rPr>
          <w:rFonts w:ascii="楷体" w:hAnsi="楷体" w:cs="楷体_GB2312" w:eastAsia="楷体"/>
          <w:b/>
          <w:bCs/>
          <w:color w:val="0070C0"/>
          <w:sz w:val="28"/>
          <w:szCs w:val="28"/>
          <w:lang w:eastAsia="zh-CN"/>
        </w:rPr>
        <w:t>三</w:t>
      </w:r>
      <w:r>
        <w:rPr>
          <w:rFonts w:ascii="楷体" w:hAnsi="楷体" w:cs="楷体_GB2312" w:eastAsia="楷体"/>
          <w:b/>
          <w:bCs/>
          <w:color w:val="0070C0"/>
          <w:sz w:val="28"/>
          <w:szCs w:val="28"/>
        </w:rPr>
        <w:t>）研究基础</w:t>
      </w:r>
    </w:p>
    <w:p>
      <w:pPr>
        <w:pStyle w:val="Normal"/>
        <w:keepNext w:val="false"/>
        <w:keepLines w:val="false"/>
        <w:pageBreakBefore w:val="false"/>
        <w:widowControl w:val="false"/>
        <w:kinsoku w:val="true"/>
        <w:overflowPunct w:val="true"/>
        <w:autoSpaceDE w:val="true"/>
        <w:bidi w:val="0"/>
        <w:snapToGrid w:val="false"/>
        <w:spacing w:lineRule="exact" w:line="440"/>
        <w:ind w:firstLine="560" w:right="0"/>
        <w:textAlignment w:val="auto"/>
        <w:rPr>
          <w:rFonts w:ascii="楷体" w:hAnsi="楷体" w:eastAsia="楷体" w:cs="楷体_GB2312"/>
          <w:color w:val="0070C0"/>
          <w:sz w:val="28"/>
          <w:szCs w:val="28"/>
        </w:rPr>
      </w:pPr>
      <w:r>
        <w:rPr>
          <w:rFonts w:eastAsia="楷体" w:cs="楷体" w:ascii="楷体" w:hAnsi="楷体"/>
          <w:bCs/>
          <w:color w:val="0070C0"/>
          <w:sz w:val="28"/>
          <w:szCs w:val="28"/>
        </w:rPr>
        <w:t xml:space="preserve">1. </w:t>
      </w:r>
      <w:r>
        <w:rPr>
          <w:rFonts w:ascii="楷体" w:hAnsi="楷体" w:cs="楷体_GB2312" w:eastAsia="楷体"/>
          <w:b/>
          <w:bCs/>
          <w:color w:val="0070C0"/>
          <w:sz w:val="28"/>
          <w:szCs w:val="28"/>
        </w:rPr>
        <w:t>研究基础</w:t>
      </w:r>
      <w:r>
        <w:rPr>
          <w:rFonts w:ascii="楷体" w:hAnsi="楷体" w:cs="楷体_GB2312" w:eastAsia="楷体"/>
          <w:b/>
          <w:bCs/>
          <w:color w:val="0070C0"/>
          <w:sz w:val="28"/>
          <w:szCs w:val="28"/>
          <w:lang w:eastAsia="zh-CN"/>
        </w:rPr>
        <w:t>与可行性分析</w:t>
      </w:r>
      <w:r>
        <w:rPr>
          <w:rFonts w:ascii="楷体" w:hAnsi="楷体" w:cs="楷体_GB2312" w:eastAsia="楷体"/>
          <w:color w:val="0070C0"/>
          <w:sz w:val="28"/>
          <w:szCs w:val="28"/>
        </w:rPr>
        <w:t>（与本项目相关的研究工作积累和已取得的研究工作成绩</w:t>
      </w:r>
      <w:r>
        <w:rPr>
          <w:rFonts w:ascii="楷体" w:hAnsi="楷体" w:cs="楷体_GB2312" w:eastAsia="楷体"/>
          <w:color w:val="0070C0"/>
          <w:sz w:val="28"/>
          <w:szCs w:val="28"/>
          <w:lang w:eastAsia="zh-CN"/>
        </w:rPr>
        <w:t>，研究风险的应对措施等</w:t>
      </w:r>
      <w:r>
        <w:rPr>
          <w:rFonts w:ascii="楷体" w:hAnsi="楷体" w:cs="楷体_GB2312" w:eastAsia="楷体"/>
          <w:color w:val="0070C0"/>
          <w:sz w:val="28"/>
          <w:szCs w:val="28"/>
        </w:rPr>
        <w:t>）；</w:t>
      </w:r>
    </w:p>
    <w:p>
      <w:pPr>
        <w:keepNext/>
        <w:snapToGrid w:val="0"/>
        <w:spacing w:lineRule="exact" w:line="440" w:before="0" w:after="0"/>
        <w:ind w:firstLineChars="200" w:firstLine="480"/>
        <w:jc w:val="both"/>
      </w:pPr>
      <w:r>
        <w:rPr>
          <w:rFonts w:ascii="Times New Roman" w:hAnsi="Times New Roman" w:eastAsia="楷体" w:cs="Times New Roman"/>
          <w:b/>
          <w:sz w:val="24"/>
        </w:rPr>
        <w:t>（1）前期研究积累</w:t>
      </w:r>
    </w:p>
    <w:p>
      <w:pPr>
        <w:snapToGrid w:val="0"/>
        <w:spacing w:lineRule="exact" w:line="440" w:before="0" w:after="0"/>
        <w:ind w:firstLineChars="200" w:firstLine="480"/>
        <w:jc w:val="both"/>
      </w:pPr>
      <w:r>
        <w:rPr>
          <w:rFonts w:ascii="Times New Roman" w:hAnsi="Times New Roman" w:eastAsia="宋体" w:cs="Times New Roman"/>
          <w:b w:val="0"/>
          <w:sz w:val="24"/>
        </w:rPr>
        <w:t>申请人本科与博士阶段均就读于浙江大学（2025年6月获设计学博士学位），现任职于香港大学城市规划及设计系</w:t>
      </w:r>
      <w:r>
        <w:rPr>
          <w:rFonts w:ascii="Times New Roman" w:hAnsi="Times New Roman" w:eastAsia="宋体" w:cs="Times New Roman"/>
          <w:b w:val="0"/>
          <w:sz w:val="24"/>
          <w:highlight w:val="yellow"/>
        </w:rPr>
        <w:t>【待核实：与依托单位的聘任关系，见（四）5（1）】</w:t>
      </w:r>
      <w:r>
        <w:rPr>
          <w:rFonts w:ascii="Times New Roman" w:hAnsi="Times New Roman" w:eastAsia="宋体" w:cs="Times New Roman"/>
          <w:b w:val="0"/>
          <w:sz w:val="24"/>
        </w:rPr>
        <w:t>。前期研究综合遥感、三维城市形态、手机信令、行政记录与队列数据，结合公平分析与流行病学建模，以中国城市为对象，沿“城市蓝绿空间提供多少降温—如何分配—能否转化为健康收益”三个递进问题展开。</w:t>
      </w:r>
    </w:p>
    <w:p>
      <w:pPr>
        <w:snapToGrid w:val="0"/>
        <w:spacing w:lineRule="exact" w:line="440" w:before="0" w:after="0"/>
        <w:ind w:firstLineChars="200" w:firstLine="480"/>
        <w:jc w:val="both"/>
      </w:pPr>
      <w:r>
        <w:rPr>
          <w:rFonts w:ascii="Times New Roman" w:hAnsi="Times New Roman" w:eastAsia="宋体" w:cs="Times New Roman"/>
          <w:b/>
          <w:sz w:val="24"/>
        </w:rPr>
        <w:t>从绿地公平到降温约束（支撑研究内容一、二）。</w:t>
      </w:r>
      <w:r>
        <w:rPr>
          <w:rFonts w:ascii="Times New Roman" w:hAnsi="Times New Roman" w:eastAsia="宋体" w:cs="Times New Roman"/>
          <w:b w:val="0"/>
          <w:sz w:val="24"/>
        </w:rPr>
        <w:t>申请人早期以卫星影像、城市大数据与机器学习测度城市景观特征</w:t>
      </w:r>
      <w:r>
        <w:rPr>
          <w:rFonts w:ascii="Times New Roman" w:hAnsi="Times New Roman" w:eastAsia="宋体" w:cs="Times New Roman"/>
          <w:b w:val="0"/>
          <w:sz w:val="24"/>
          <w:vertAlign w:val="superscript"/>
        </w:rPr>
        <w:t>[68]</w:t>
      </w:r>
      <w:r>
        <w:rPr>
          <w:rFonts w:ascii="Times New Roman" w:hAnsi="Times New Roman" w:eastAsia="宋体" w:cs="Times New Roman"/>
          <w:b w:val="0"/>
          <w:sz w:val="24"/>
        </w:rPr>
        <w:t>、历史地段形态与绿地，积累了多源影像处理与建模经验，可用于YRD-HES降尺度与九类NbS逐年重建。此后关注绿地的分配公平：揭示了中国城市绿地可达性的公平格局及其社会经济驱动因素</w:t>
      </w:r>
      <w:r>
        <w:rPr>
          <w:rFonts w:ascii="Times New Roman" w:hAnsi="Times New Roman" w:eastAsia="宋体" w:cs="Times New Roman"/>
          <w:b w:val="0"/>
          <w:sz w:val="24"/>
          <w:vertAlign w:val="superscript"/>
        </w:rPr>
        <w:t>[42]</w:t>
      </w:r>
      <w:r>
        <w:rPr>
          <w:rFonts w:ascii="Times New Roman" w:hAnsi="Times New Roman" w:eastAsia="宋体" w:cs="Times New Roman"/>
          <w:b w:val="0"/>
          <w:sz w:val="24"/>
        </w:rPr>
        <w:t>，并在263个城市建立了绿地公平的“测度—理解—优化”框架</w:t>
      </w:r>
      <w:r>
        <w:rPr>
          <w:rFonts w:ascii="Times New Roman" w:hAnsi="Times New Roman" w:eastAsia="宋体" w:cs="Times New Roman"/>
          <w:b w:val="0"/>
          <w:sz w:val="24"/>
          <w:vertAlign w:val="superscript"/>
        </w:rPr>
        <w:t>[69]</w:t>
      </w:r>
      <w:r>
        <w:rPr>
          <w:rFonts w:ascii="Times New Roman" w:hAnsi="Times New Roman" w:eastAsia="宋体" w:cs="Times New Roman"/>
          <w:b w:val="0"/>
          <w:sz w:val="24"/>
        </w:rPr>
        <w:t>，为本项目“资源供给”层次的测度及其与实得保护的比较提供了方法基础。311城研究基于Landsat与MODIS地表温度及城市形态指标，发现单位面积绿地的降温潜力受城市形态与背景气候共同约束</w:t>
      </w:r>
      <w:r>
        <w:rPr>
          <w:rFonts w:ascii="Times New Roman" w:hAnsi="Times New Roman" w:eastAsia="宋体" w:cs="Times New Roman"/>
          <w:b w:val="0"/>
          <w:sz w:val="24"/>
          <w:vertAlign w:val="superscript"/>
        </w:rPr>
        <w:t>[25]</w:t>
      </w:r>
      <w:r>
        <w:rPr>
          <w:rFonts w:ascii="Times New Roman" w:hAnsi="Times New Roman" w:eastAsia="宋体" w:cs="Times New Roman"/>
          <w:b w:val="0"/>
          <w:sz w:val="24"/>
        </w:rPr>
        <w:t>，这是本项目先按形态分层再估计可归因降温，并在41城检验区域异质性的直接依据。申请人还提出了降温范围—能力—效益测度框架，并构建了控制LST与不平等指数间机械相关的降温基尼系数（Cooling Gini）</w:t>
      </w:r>
      <w:r>
        <w:rPr>
          <w:rFonts w:ascii="Times New Roman" w:hAnsi="Times New Roman" w:eastAsia="宋体" w:cs="Times New Roman"/>
          <w:b w:val="0"/>
          <w:sz w:val="24"/>
          <w:highlight w:val="yellow"/>
        </w:rPr>
        <w:t>【待核实：对应文献，否则删除】</w:t>
      </w:r>
      <w:r>
        <w:rPr>
          <w:rFonts w:ascii="Times New Roman" w:hAnsi="Times New Roman" w:eastAsia="宋体" w:cs="Times New Roman"/>
          <w:b w:val="0"/>
          <w:sz w:val="24"/>
        </w:rPr>
        <w:t>，可用于三层次公平检验。上述工作基于LST与居住地，未区分形态与NbS的贡献，也未计入人群在场；本项目改以Ta与UTCI、遮荫分离和逐时在场应对这些局限。</w:t>
      </w:r>
    </w:p>
    <w:p>
      <w:pPr>
        <w:snapToGrid w:val="0"/>
        <w:spacing w:lineRule="exact" w:line="440" w:before="0" w:after="0"/>
        <w:ind w:firstLineChars="200" w:firstLine="480"/>
        <w:jc w:val="both"/>
      </w:pPr>
      <w:r>
        <w:rPr>
          <w:rFonts w:ascii="Times New Roman" w:hAnsi="Times New Roman" w:eastAsia="宋体" w:cs="Times New Roman"/>
          <w:b/>
          <w:sz w:val="24"/>
        </w:rPr>
        <w:t>从居住地到活动空间（支撑研究内容二）。</w:t>
      </w:r>
      <w:r>
        <w:rPr>
          <w:rFonts w:ascii="Times New Roman" w:hAnsi="Times New Roman" w:eastAsia="宋体" w:cs="Times New Roman"/>
          <w:b w:val="0"/>
          <w:sz w:val="24"/>
        </w:rPr>
        <w:t>申请人利用大规模多期手机信令数据</w:t>
      </w:r>
      <w:r>
        <w:rPr>
          <w:rFonts w:ascii="Times New Roman" w:hAnsi="Times New Roman" w:eastAsia="宋体" w:cs="Times New Roman"/>
          <w:b w:val="0"/>
          <w:sz w:val="24"/>
          <w:highlight w:val="yellow"/>
        </w:rPr>
        <w:t>【待核实：研究区（是否浙江）与年份】</w:t>
      </w:r>
      <w:r>
        <w:rPr>
          <w:rFonts w:ascii="Times New Roman" w:hAnsi="Times New Roman" w:eastAsia="宋体" w:cs="Times New Roman"/>
          <w:b w:val="0"/>
          <w:sz w:val="24"/>
        </w:rPr>
        <w:t>发现，与计入日常流动的估计相比，基于居住地的绿地暴露估计存在系统性偏差</w:t>
      </w:r>
      <w:r>
        <w:rPr>
          <w:rFonts w:ascii="Times New Roman" w:hAnsi="Times New Roman" w:eastAsia="宋体" w:cs="Times New Roman"/>
          <w:b w:val="0"/>
          <w:sz w:val="24"/>
          <w:vertAlign w:val="superscript"/>
        </w:rPr>
        <w:t>[38]</w:t>
      </w:r>
      <w:r>
        <w:rPr>
          <w:rFonts w:ascii="Times New Roman" w:hAnsi="Times New Roman" w:eastAsia="宋体" w:cs="Times New Roman"/>
          <w:b w:val="0"/>
          <w:sz w:val="24"/>
        </w:rPr>
        <w:t>；进而比较邻里与活动锚点测度，发现工作地是独立于居住地的暴露锚点（第一作者，Landscape and Urban Planning，二审中</w:t>
      </w:r>
      <w:r>
        <w:rPr>
          <w:rFonts w:ascii="Times New Roman" w:hAnsi="Times New Roman" w:eastAsia="宋体" w:cs="Times New Roman"/>
          <w:b w:val="0"/>
          <w:sz w:val="24"/>
          <w:highlight w:val="yellow"/>
        </w:rPr>
        <w:t>【待核实】</w:t>
      </w:r>
      <w:r>
        <w:rPr>
          <w:rFonts w:ascii="Times New Roman" w:hAnsi="Times New Roman" w:eastAsia="宋体" w:cs="Times New Roman"/>
          <w:b w:val="0"/>
          <w:sz w:val="24"/>
        </w:rPr>
        <w:t>）。这提示居住地绿化水平高不等于全天活动中的绿地暴露同样高，也是DCP以在场人口替代居住人口的出发点。双锚点框架与信令处理经验直接支撑三城逐时在场人口重建。</w:t>
      </w:r>
    </w:p>
    <w:p>
      <w:pPr>
        <w:snapToGrid w:val="0"/>
        <w:spacing w:lineRule="exact" w:line="440" w:before="0" w:after="0"/>
        <w:ind w:firstLineChars="200" w:firstLine="480"/>
        <w:jc w:val="both"/>
      </w:pPr>
      <w:r>
        <w:rPr>
          <w:rFonts w:ascii="Times New Roman" w:hAnsi="Times New Roman" w:eastAsia="宋体" w:cs="Times New Roman"/>
          <w:b/>
          <w:sz w:val="24"/>
        </w:rPr>
        <w:t>从暴露到健康（支撑研究内容三）。</w:t>
      </w:r>
      <w:r>
        <w:rPr>
          <w:rFonts w:ascii="Times New Roman" w:hAnsi="Times New Roman" w:eastAsia="宋体" w:cs="Times New Roman"/>
          <w:b w:val="0"/>
          <w:sz w:val="24"/>
        </w:rPr>
        <w:t>申请人作为共同第一作者，将双锚点框架用于中国出生队列研究，基于17个省份38家中心的178 441例单胎活产，以含医院随机截距的广义线性混合模型分析居住地与工作地热暴露和早产风险的关联（在审）。该研究提供了联结动态暴露与健康结局、处理多中心层级数据的经验；本项目拟补足这一研究链条中缺失的环节：NbS可归因降温能否经人群在场转化为健康收益。</w:t>
      </w:r>
    </w:p>
    <w:p>
      <w:pPr>
        <w:keepNext/>
        <w:snapToGrid w:val="0"/>
        <w:spacing w:lineRule="exact" w:line="440" w:before="0" w:after="0"/>
        <w:ind w:firstLineChars="200" w:firstLine="480"/>
        <w:jc w:val="both"/>
      </w:pPr>
      <w:r>
        <w:rPr>
          <w:rFonts w:ascii="Times New Roman" w:hAnsi="Times New Roman" w:eastAsia="楷体" w:cs="Times New Roman"/>
          <w:b/>
          <w:sz w:val="24"/>
        </w:rPr>
        <w:t>（2）已取得的研究工作成绩</w:t>
      </w:r>
    </w:p>
    <w:p>
      <w:pPr>
        <w:snapToGrid w:val="0"/>
        <w:spacing w:lineRule="exact" w:line="440" w:before="0" w:after="0"/>
        <w:ind w:firstLineChars="200" w:firstLine="480"/>
        <w:jc w:val="both"/>
      </w:pPr>
      <w:r>
        <w:rPr>
          <w:rFonts w:ascii="Times New Roman" w:hAnsi="Times New Roman" w:eastAsia="宋体" w:cs="Times New Roman"/>
          <w:b w:val="0"/>
          <w:sz w:val="24"/>
        </w:rPr>
        <w:t>2022—2025年，申请人以第一作者身份在Landscape and Urban Planning（LUP）和Sustainable Cities and Society（SCS）发表论文5篇</w:t>
      </w:r>
      <w:r>
        <w:rPr>
          <w:rFonts w:ascii="Times New Roman" w:hAnsi="Times New Roman" w:eastAsia="宋体" w:cs="Times New Roman"/>
          <w:b w:val="0"/>
          <w:sz w:val="24"/>
          <w:vertAlign w:val="superscript"/>
        </w:rPr>
        <w:t>[25,38,42,68,69]</w:t>
      </w:r>
      <w:r>
        <w:rPr>
          <w:rFonts w:ascii="Times New Roman" w:hAnsi="Times New Roman" w:eastAsia="宋体" w:cs="Times New Roman"/>
          <w:b w:val="0"/>
          <w:sz w:val="24"/>
        </w:rPr>
        <w:t>，此外在Computers, Environment and Urban Systems和Journal of Environmental Management发表合作论文；尚有5篇第一或共同第一作者稿件在审</w:t>
      </w:r>
      <w:r>
        <w:rPr>
          <w:rFonts w:ascii="Times New Roman" w:hAnsi="Times New Roman" w:eastAsia="宋体" w:cs="Times New Roman"/>
          <w:b w:val="0"/>
          <w:sz w:val="24"/>
          <w:highlight w:val="yellow"/>
        </w:rPr>
        <w:t>【待核实】</w:t>
      </w:r>
      <w:r>
        <w:rPr>
          <w:rFonts w:ascii="Times New Roman" w:hAnsi="Times New Roman" w:eastAsia="宋体" w:cs="Times New Roman"/>
          <w:b w:val="0"/>
          <w:sz w:val="24"/>
        </w:rPr>
        <w:t>。截至2026年8月，论文总被引450次，h指数与i10指数均为9</w:t>
      </w:r>
      <w:r>
        <w:rPr>
          <w:rFonts w:ascii="Times New Roman" w:hAnsi="Times New Roman" w:eastAsia="宋体" w:cs="Times New Roman"/>
          <w:b w:val="0"/>
          <w:sz w:val="24"/>
          <w:highlight w:val="yellow"/>
        </w:rPr>
        <w:t>【待核实：提交前更新并注明数据库】</w:t>
      </w:r>
      <w:r>
        <w:rPr>
          <w:rFonts w:ascii="Times New Roman" w:hAnsi="Times New Roman" w:eastAsia="宋体" w:cs="Times New Roman"/>
          <w:b w:val="0"/>
          <w:sz w:val="24"/>
        </w:rPr>
        <w:t>；其中2024年发表于LUP的论文</w:t>
      </w:r>
      <w:r>
        <w:rPr>
          <w:rFonts w:ascii="Times New Roman" w:hAnsi="Times New Roman" w:eastAsia="宋体" w:cs="Times New Roman"/>
          <w:b w:val="0"/>
          <w:sz w:val="24"/>
          <w:vertAlign w:val="superscript"/>
        </w:rPr>
        <w:t>[42]</w:t>
      </w:r>
      <w:r>
        <w:rPr>
          <w:rFonts w:ascii="Times New Roman" w:hAnsi="Times New Roman" w:eastAsia="宋体" w:cs="Times New Roman"/>
          <w:b w:val="0"/>
          <w:sz w:val="24"/>
        </w:rPr>
        <w:t>被引166次，为基本科学指标（ESI）高被引论文及热点论文</w:t>
      </w:r>
      <w:r>
        <w:rPr>
          <w:rFonts w:ascii="Times New Roman" w:hAnsi="Times New Roman" w:eastAsia="宋体" w:cs="Times New Roman"/>
          <w:b w:val="0"/>
          <w:sz w:val="24"/>
          <w:highlight w:val="yellow"/>
        </w:rPr>
        <w:t>【待核实】</w:t>
      </w:r>
      <w:r>
        <w:rPr>
          <w:rFonts w:ascii="Times New Roman" w:hAnsi="Times New Roman" w:eastAsia="宋体" w:cs="Times New Roman"/>
          <w:b w:val="0"/>
          <w:sz w:val="24"/>
        </w:rPr>
        <w:t>。相关成果获City+ 2024国际会议最佳论文奖和第二十三届浙江省哲学社会科学优秀成果奖二等奖</w:t>
      </w:r>
      <w:r>
        <w:rPr>
          <w:rFonts w:ascii="Times New Roman" w:hAnsi="Times New Roman" w:eastAsia="宋体" w:cs="Times New Roman"/>
          <w:b w:val="0"/>
          <w:sz w:val="24"/>
          <w:highlight w:val="yellow"/>
        </w:rPr>
        <w:t>【待核实：获奖成果与排名】</w:t>
      </w:r>
      <w:r>
        <w:rPr>
          <w:rFonts w:ascii="Times New Roman" w:hAnsi="Times New Roman" w:eastAsia="宋体" w:cs="Times New Roman"/>
          <w:b w:val="0"/>
          <w:sz w:val="24"/>
        </w:rPr>
        <w:t>。</w:t>
      </w:r>
    </w:p>
    <w:p>
      <w:pPr>
        <w:snapToGrid w:val="0"/>
        <w:spacing w:lineRule="exact" w:line="440" w:before="0" w:after="0"/>
        <w:ind w:firstLineChars="200" w:firstLine="480"/>
        <w:jc w:val="both"/>
      </w:pPr>
      <w:r>
        <w:rPr>
          <w:rFonts w:ascii="Times New Roman" w:hAnsi="Times New Roman" w:eastAsia="宋体" w:cs="Times New Roman"/>
          <w:b/>
          <w:sz w:val="24"/>
        </w:rPr>
        <w:t>学术服务与指导。</w:t>
      </w:r>
      <w:r>
        <w:rPr>
          <w:rFonts w:ascii="Times New Roman" w:hAnsi="Times New Roman" w:eastAsia="宋体" w:cs="Times New Roman"/>
          <w:b w:val="0"/>
          <w:sz w:val="24"/>
        </w:rPr>
        <w:t>申请人协助指导浙江大学计算机科学与技术学院及香港大学的研究生和研究助理，涉及研究设计、数据处理、代码审查与论文修改；担任SCS、LUP、Cities与Annals of the American Association of Geographers审稿人；2022年受邀在国际中国规划学会（International Association for China Planning）会议论坛作报告并参加圆桌讨论</w:t>
      </w:r>
      <w:r>
        <w:rPr>
          <w:rFonts w:ascii="Times New Roman" w:hAnsi="Times New Roman" w:eastAsia="宋体" w:cs="Times New Roman"/>
          <w:b w:val="0"/>
          <w:sz w:val="24"/>
          <w:highlight w:val="yellow"/>
        </w:rPr>
        <w:t>【待核实：会议正式名称】</w:t>
      </w:r>
      <w:r>
        <w:rPr>
          <w:rFonts w:ascii="Times New Roman" w:hAnsi="Times New Roman" w:eastAsia="宋体" w:cs="Times New Roman"/>
          <w:b w:val="0"/>
          <w:sz w:val="24"/>
        </w:rPr>
        <w:t>。</w:t>
      </w:r>
    </w:p>
    <w:p>
      <w:pPr>
        <w:keepNext/>
        <w:snapToGrid w:val="0"/>
        <w:spacing w:lineRule="exact" w:line="440" w:before="0" w:after="0"/>
        <w:ind w:firstLineChars="200" w:firstLine="480"/>
        <w:jc w:val="both"/>
      </w:pPr>
      <w:r>
        <w:rPr>
          <w:rFonts w:ascii="Times New Roman" w:hAnsi="Times New Roman" w:eastAsia="楷体" w:cs="Times New Roman"/>
          <w:b/>
          <w:sz w:val="24"/>
        </w:rPr>
        <w:t>（3）可行性分析</w:t>
      </w:r>
    </w:p>
    <w:p>
      <w:pPr>
        <w:snapToGrid w:val="0"/>
        <w:spacing w:lineRule="exact" w:line="440" w:before="0" w:after="0"/>
        <w:ind w:firstLineChars="200" w:firstLine="480"/>
        <w:jc w:val="both"/>
      </w:pPr>
      <w:r>
        <w:rPr>
          <w:rFonts w:ascii="Times New Roman" w:hAnsi="Times New Roman" w:eastAsia="宋体" w:cs="Times New Roman"/>
          <w:b/>
          <w:sz w:val="24"/>
        </w:rPr>
        <w:t>理论与设计。</w:t>
      </w:r>
      <w:r>
        <w:rPr>
          <w:rFonts w:ascii="Times New Roman" w:hAnsi="Times New Roman" w:eastAsia="宋体" w:cs="Times New Roman"/>
          <w:b w:val="0"/>
          <w:sz w:val="24"/>
        </w:rPr>
        <w:t>本项目将生态系统服务级联与服务流理论具体化为形态过滤、时空耦合与健康转化三个可检验环节；各假说判据事先设定，健康检验以封存期数据一次性完成，否定结果如实报告（见（二）1.1）。</w:t>
      </w:r>
    </w:p>
    <w:p>
      <w:pPr>
        <w:snapToGrid w:val="0"/>
        <w:spacing w:lineRule="exact" w:line="440" w:before="0" w:after="0"/>
        <w:ind w:firstLineChars="200" w:firstLine="480"/>
        <w:jc w:val="both"/>
      </w:pPr>
      <w:r>
        <w:rPr>
          <w:rFonts w:ascii="Times New Roman" w:hAnsi="Times New Roman" w:eastAsia="宋体" w:cs="Times New Roman"/>
          <w:b/>
          <w:sz w:val="24"/>
        </w:rPr>
        <w:t>数据。</w:t>
      </w:r>
      <w:r>
        <w:rPr>
          <w:rFonts w:ascii="Times New Roman" w:hAnsi="Times New Roman" w:eastAsia="宋体" w:cs="Times New Roman"/>
          <w:b w:val="0"/>
          <w:sz w:val="24"/>
        </w:rPr>
        <w:t>三城手机信令、三城乡镇街道与长三角区县逐日死亡及住院/医保就诊数据均已获得</w:t>
      </w:r>
      <w:r>
        <w:rPr>
          <w:rFonts w:ascii="Times New Roman" w:hAnsi="Times New Roman" w:eastAsia="宋体" w:cs="Times New Roman"/>
          <w:b w:val="0"/>
          <w:sz w:val="24"/>
          <w:highlight w:val="yellow"/>
        </w:rPr>
        <w:t>【待补充：信令年份与时空粒度；死亡数据年份、死因编码、乡镇街道数与暖季日均死亡数】</w:t>
      </w:r>
      <w:r>
        <w:rPr>
          <w:rFonts w:ascii="Times New Roman" w:hAnsi="Times New Roman" w:eastAsia="宋体" w:cs="Times New Roman"/>
          <w:b w:val="0"/>
          <w:sz w:val="24"/>
        </w:rPr>
        <w:t>，其余数据公开或可申请（见表1）；2028年核心工作（YRD-HES构建与验证、NbS逐年重建、基线DLNM）只依赖公开与已获得数据。申请人在311城与263城研究中已批量处理全国范围的遥感、土地利用与城市形态数据。</w:t>
      </w:r>
    </w:p>
    <w:p>
      <w:pPr>
        <w:snapToGrid w:val="0"/>
        <w:spacing w:lineRule="exact" w:line="440" w:before="0" w:after="0"/>
        <w:ind w:firstLineChars="200" w:firstLine="480"/>
        <w:jc w:val="both"/>
      </w:pPr>
      <w:r>
        <w:rPr>
          <w:rFonts w:ascii="Times New Roman" w:hAnsi="Times New Roman" w:eastAsia="宋体" w:cs="Times New Roman"/>
          <w:b/>
          <w:sz w:val="24"/>
        </w:rPr>
        <w:t>方法。</w:t>
      </w:r>
      <w:r>
        <w:rPr>
          <w:rFonts w:ascii="Times New Roman" w:hAnsi="Times New Roman" w:eastAsia="宋体" w:cs="Times New Roman"/>
          <w:b w:val="0"/>
          <w:sz w:val="24"/>
        </w:rPr>
        <w:t>所用基础方法均较成熟，其中机器学习建模、不平等测度、信令暴露分析与混合效应模型已用于申请人前期研究；遮荫分离、气温插值与DLNM流程已有代码库，含数据字典与运行日志，经团队内部代码审查并多次复用。</w:t>
      </w:r>
    </w:p>
    <w:p>
      <w:pPr>
        <w:snapToGrid w:val="0"/>
        <w:spacing w:lineRule="exact" w:line="440" w:before="0" w:after="0"/>
        <w:ind w:firstLineChars="200" w:firstLine="480"/>
        <w:jc w:val="both"/>
      </w:pPr>
      <w:r>
        <w:rPr>
          <w:rFonts w:ascii="Times New Roman" w:hAnsi="Times New Roman" w:eastAsia="宋体" w:cs="Times New Roman"/>
          <w:b/>
          <w:sz w:val="24"/>
        </w:rPr>
        <w:t>团队。</w:t>
      </w:r>
      <w:r>
        <w:rPr>
          <w:rFonts w:ascii="Times New Roman" w:hAnsi="Times New Roman" w:eastAsia="宋体" w:cs="Times New Roman"/>
          <w:b w:val="0"/>
          <w:sz w:val="24"/>
        </w:rPr>
        <w:t>申请人在香港大学参与何深静教授主持的3项项目（国家自然科学基金1项、香港研究资助局2项）的研究工作，负责空间数据构建、空间分析与统计建模，并参与研究设计与论文写作。这些项目涉及城市社会地理、邻里互动、心理健康与跨境养老，与本项目的研究对象和科学问题不重叠</w:t>
      </w:r>
      <w:r>
        <w:rPr>
          <w:rFonts w:ascii="Times New Roman" w:hAnsi="Times New Roman" w:eastAsia="宋体" w:cs="Times New Roman"/>
          <w:b w:val="0"/>
          <w:sz w:val="24"/>
          <w:highlight w:val="yellow"/>
        </w:rPr>
        <w:t>【待核实】</w:t>
      </w:r>
      <w:r>
        <w:rPr>
          <w:rFonts w:ascii="Times New Roman" w:hAnsi="Times New Roman" w:eastAsia="宋体" w:cs="Times New Roman"/>
          <w:b w:val="0"/>
          <w:sz w:val="24"/>
        </w:rPr>
        <w:t>；申请人在其中将跨学科研究问题转化为空间数据与分析框架，积累了跨机构协调数据需求、统一分析标准的经验。申请人还参与了2020—2028年间绿地、主动出行与心理健康方向国家级或省级项目4项的研究</w:t>
      </w:r>
      <w:r>
        <w:rPr>
          <w:rFonts w:ascii="Times New Roman" w:hAnsi="Times New Roman" w:eastAsia="宋体" w:cs="Times New Roman"/>
          <w:b w:val="0"/>
          <w:sz w:val="24"/>
          <w:highlight w:val="yellow"/>
        </w:rPr>
        <w:t>【待核实：参与身份】</w:t>
      </w:r>
      <w:r>
        <w:rPr>
          <w:rFonts w:ascii="Times New Roman" w:hAnsi="Times New Roman" w:eastAsia="宋体" w:cs="Times New Roman"/>
          <w:b w:val="0"/>
          <w:sz w:val="24"/>
        </w:rPr>
        <w:t>。协助指导研究生与研究助理的经验可支撑项目组分工与代码审查</w:t>
      </w:r>
      <w:r>
        <w:rPr>
          <w:rFonts w:ascii="Times New Roman" w:hAnsi="Times New Roman" w:eastAsia="宋体" w:cs="Times New Roman"/>
          <w:b w:val="0"/>
          <w:sz w:val="24"/>
          <w:highlight w:val="yellow"/>
        </w:rPr>
        <w:t>【待补充：项目组成员与分工】</w:t>
      </w:r>
      <w:r>
        <w:rPr>
          <w:rFonts w:ascii="Times New Roman" w:hAnsi="Times New Roman" w:eastAsia="宋体" w:cs="Times New Roman"/>
          <w:b w:val="0"/>
          <w:sz w:val="24"/>
        </w:rPr>
        <w:t>，流行病学与生物统计合作安排见本部分2（2）。</w:t>
      </w:r>
    </w:p>
    <w:p>
      <w:pPr>
        <w:keepNext/>
        <w:snapToGrid w:val="0"/>
        <w:spacing w:lineRule="exact" w:line="440" w:before="0" w:after="0"/>
        <w:ind w:firstLineChars="200" w:firstLine="480"/>
        <w:jc w:val="both"/>
      </w:pPr>
      <w:r>
        <w:rPr>
          <w:rFonts w:ascii="Times New Roman" w:hAnsi="Times New Roman" w:eastAsia="楷体" w:cs="Times New Roman"/>
          <w:b/>
          <w:sz w:val="24"/>
        </w:rPr>
        <w:t>（4）研究风险的应对措施</w:t>
      </w:r>
    </w:p>
    <w:p>
      <w:pPr>
        <w:snapToGrid w:val="0"/>
        <w:spacing w:lineRule="exact" w:line="440" w:before="0" w:after="0"/>
        <w:ind w:firstLineChars="200" w:firstLine="480"/>
        <w:jc w:val="both"/>
      </w:pPr>
      <w:r>
        <w:rPr>
          <w:rFonts w:ascii="Times New Roman" w:hAnsi="Times New Roman" w:eastAsia="宋体" w:cs="Times New Roman"/>
          <w:b w:val="0"/>
          <w:sz w:val="24"/>
        </w:rPr>
        <w:t>①</w:t>
      </w:r>
      <w:r>
        <w:rPr>
          <w:rFonts w:ascii="Times New Roman" w:hAnsi="Times New Roman" w:eastAsia="宋体" w:cs="Times New Roman"/>
          <w:b/>
          <w:sz w:val="24"/>
        </w:rPr>
        <w:t>数据授权与覆盖（G1）</w:t>
      </w:r>
      <w:r>
        <w:rPr>
          <w:rFonts w:ascii="Times New Roman" w:hAnsi="Times New Roman" w:eastAsia="宋体" w:cs="Times New Roman"/>
          <w:b w:val="0"/>
          <w:sz w:val="24"/>
        </w:rPr>
        <w:t>：某城信令不足时以信令活动结构结合普查人口回推（见（二）3.2），回推年份只作敏感性分析</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；死亡数据受限时以其余城市检验</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；就诊数据只作探索性结局。</w:t>
      </w:r>
    </w:p>
    <w:p>
      <w:pPr>
        <w:snapToGrid w:val="0"/>
        <w:spacing w:lineRule="exact" w:line="440" w:before="0" w:after="0"/>
        <w:ind w:firstLineChars="200" w:firstLine="480"/>
        <w:jc w:val="both"/>
      </w:pPr>
      <w:r>
        <w:rPr>
          <w:rFonts w:ascii="Times New Roman" w:hAnsi="Times New Roman" w:eastAsia="宋体" w:cs="Times New Roman"/>
          <w:b w:val="0"/>
          <w:sz w:val="24"/>
        </w:rPr>
        <w:t>②</w:t>
      </w:r>
      <w:r>
        <w:rPr>
          <w:rFonts w:ascii="Times New Roman" w:hAnsi="Times New Roman" w:eastAsia="宋体" w:cs="Times New Roman"/>
          <w:b/>
          <w:sz w:val="24"/>
        </w:rPr>
        <w:t>30 m验证点稀疏（M2）</w:t>
      </w:r>
      <w:r>
        <w:rPr>
          <w:rFonts w:ascii="Times New Roman" w:hAnsi="Times New Roman" w:eastAsia="宋体" w:cs="Times New Roman"/>
          <w:b w:val="0"/>
          <w:sz w:val="24"/>
        </w:rPr>
        <w:t>：三城国家站较少，经合作获取区域自动站观测加密检验</w:t>
      </w:r>
      <w:r>
        <w:rPr>
          <w:rFonts w:ascii="Times New Roman" w:hAnsi="Times New Roman" w:eastAsia="宋体" w:cs="Times New Roman"/>
          <w:b w:val="0"/>
          <w:sz w:val="24"/>
          <w:highlight w:val="yellow"/>
        </w:rPr>
        <w:t>【待核实】</w:t>
      </w:r>
      <w:r>
        <w:rPr>
          <w:rFonts w:ascii="Times New Roman" w:hAnsi="Times New Roman" w:eastAsia="宋体" w:cs="Times New Roman"/>
          <w:b w:val="0"/>
          <w:sz w:val="24"/>
        </w:rPr>
        <w:t>，以ECOSTRESS与Landsat地表温度核查空间格局；分昼夜、天气与形态报告精度，不达标者聚合至乡镇街道或区县。</w:t>
      </w:r>
    </w:p>
    <w:p>
      <w:pPr>
        <w:snapToGrid w:val="0"/>
        <w:spacing w:lineRule="exact" w:line="440" w:before="0" w:after="0"/>
        <w:ind w:firstLineChars="200" w:firstLine="480"/>
        <w:jc w:val="both"/>
      </w:pPr>
      <w:r>
        <w:rPr>
          <w:rFonts w:ascii="Times New Roman" w:hAnsi="Times New Roman" w:eastAsia="宋体" w:cs="Times New Roman"/>
          <w:b w:val="0"/>
          <w:sz w:val="24"/>
        </w:rPr>
        <w:t>③</w:t>
      </w:r>
      <w:r>
        <w:rPr>
          <w:rFonts w:ascii="Times New Roman" w:hAnsi="Times New Roman" w:eastAsia="宋体" w:cs="Times New Roman"/>
          <w:b/>
          <w:sz w:val="24"/>
        </w:rPr>
        <w:t>计算与尺度（M2/M3）</w:t>
      </w:r>
      <w:r>
        <w:rPr>
          <w:rFonts w:ascii="Times New Roman" w:hAnsi="Times New Roman" w:eastAsia="宋体" w:cs="Times New Roman"/>
          <w:b w:val="0"/>
          <w:sz w:val="24"/>
        </w:rPr>
        <w:t>：优先保障三城30 m产品，全域1 km产品分批生产，算力不足时先覆盖健康数据年份；两级估计不一致时全域只报告方向。</w:t>
      </w:r>
    </w:p>
    <w:p>
      <w:pPr>
        <w:snapToGrid w:val="0"/>
        <w:spacing w:lineRule="exact" w:line="440" w:before="0" w:after="0"/>
        <w:ind w:firstLineChars="200" w:firstLine="480"/>
        <w:jc w:val="both"/>
      </w:pPr>
      <w:r>
        <w:rPr>
          <w:rFonts w:ascii="Times New Roman" w:hAnsi="Times New Roman" w:eastAsia="宋体" w:cs="Times New Roman"/>
          <w:b w:val="0"/>
          <w:sz w:val="24"/>
        </w:rPr>
        <w:t>④</w:t>
      </w:r>
      <w:r>
        <w:rPr>
          <w:rFonts w:ascii="Times New Roman" w:hAnsi="Times New Roman" w:eastAsia="宋体" w:cs="Times New Roman"/>
          <w:b/>
          <w:sz w:val="24"/>
        </w:rPr>
        <w:t>单时相三维形态与未观测混杂（M3）</w:t>
      </w:r>
      <w:r>
        <w:rPr>
          <w:rFonts w:ascii="Times New Roman" w:hAnsi="Times New Roman" w:eastAsia="宋体" w:cs="Times New Roman"/>
          <w:b w:val="0"/>
          <w:sz w:val="24"/>
        </w:rPr>
        <w:t>：遮荫分离以近年为主、早年作敏感性分析；以DID、去NbS变量模型与ENVI-met检验，不一致单元降为“证据不足”。</w:t>
      </w:r>
    </w:p>
    <w:p>
      <w:pPr>
        <w:snapToGrid w:val="0"/>
        <w:spacing w:lineRule="exact" w:line="440" w:before="0" w:after="0"/>
        <w:ind w:firstLineChars="200" w:firstLine="480"/>
        <w:jc w:val="both"/>
      </w:pPr>
      <w:r>
        <w:rPr>
          <w:rFonts w:ascii="Times New Roman" w:hAnsi="Times New Roman" w:eastAsia="宋体" w:cs="Times New Roman"/>
          <w:b w:val="0"/>
          <w:sz w:val="24"/>
        </w:rPr>
        <w:t>⑤</w:t>
      </w:r>
      <w:r>
        <w:rPr>
          <w:rFonts w:ascii="Times New Roman" w:hAnsi="Times New Roman" w:eastAsia="宋体" w:cs="Times New Roman"/>
          <w:b/>
          <w:sz w:val="24"/>
        </w:rPr>
        <w:t>小区域死亡计数稀疏（基线模型、M5）</w:t>
      </w:r>
      <w:r>
        <w:rPr>
          <w:rFonts w:ascii="Times New Roman" w:hAnsi="Times New Roman" w:eastAsia="宋体" w:cs="Times New Roman"/>
          <w:b w:val="0"/>
          <w:sz w:val="24"/>
        </w:rPr>
        <w:t>：采用条件泊松模型，按形态或地理邻近合并乡镇街道，样本外偏差以区间报告。</w:t>
      </w:r>
    </w:p>
    <w:p>
      <w:pPr>
        <w:snapToGrid w:val="0"/>
        <w:spacing w:lineRule="exact" w:line="440" w:before="0" w:after="0"/>
        <w:ind w:firstLineChars="200" w:firstLine="480"/>
        <w:jc w:val="both"/>
      </w:pPr>
      <w:r>
        <w:rPr>
          <w:rFonts w:ascii="Times New Roman" w:hAnsi="Times New Roman" w:eastAsia="宋体" w:cs="Times New Roman"/>
          <w:b w:val="0"/>
          <w:sz w:val="24"/>
        </w:rPr>
        <w:t>⑥</w:t>
      </w:r>
      <w:r>
        <w:rPr>
          <w:rFonts w:ascii="Times New Roman" w:hAnsi="Times New Roman" w:eastAsia="宋体" w:cs="Times New Roman"/>
          <w:b/>
          <w:sz w:val="24"/>
        </w:rPr>
        <w:t>DCP解释力假说（H3a）未获支持（M4前/M5）</w:t>
      </w:r>
      <w:r>
        <w:rPr>
          <w:rFonts w:ascii="Times New Roman" w:hAnsi="Times New Roman" w:eastAsia="宋体" w:cs="Times New Roman"/>
          <w:b w:val="0"/>
          <w:sz w:val="24"/>
        </w:rPr>
        <w:t>：按（二）1.1预设程序诊断并修正DCP；启用封存期数据后的修正只作探索性分析。</w:t>
      </w:r>
    </w:p>
    <w:p>
      <w:pPr>
        <w:snapToGrid w:val="0"/>
        <w:spacing w:lineRule="exact" w:line="440" w:before="0" w:after="0"/>
        <w:ind w:firstLineChars="200" w:firstLine="480"/>
        <w:jc w:val="both"/>
      </w:pPr>
      <w:r>
        <w:rPr>
          <w:rFonts w:ascii="Times New Roman" w:hAnsi="Times New Roman" w:eastAsia="宋体" w:cs="Times New Roman"/>
          <w:b w:val="0"/>
          <w:sz w:val="24"/>
        </w:rPr>
        <w:t>⑦</w:t>
      </w:r>
      <w:r>
        <w:rPr>
          <w:rFonts w:ascii="Times New Roman" w:hAnsi="Times New Roman" w:eastAsia="宋体" w:cs="Times New Roman"/>
          <w:b/>
          <w:sz w:val="24"/>
        </w:rPr>
        <w:t>实务需求变化</w:t>
      </w:r>
      <w:r>
        <w:rPr>
          <w:rFonts w:ascii="Times New Roman" w:hAnsi="Times New Roman" w:eastAsia="宋体" w:cs="Times New Roman"/>
          <w:b w:val="0"/>
          <w:sz w:val="24"/>
        </w:rPr>
        <w:t>：两场工作坊收集反馈，成果模块化；转化指标为参与部门的试用与书面反馈，而非正式采纳。</w:t>
      </w:r>
    </w:p>
    <w:p>
      <w:pPr>
        <w:pStyle w:val="Normal"/>
        <w:keepNext w:val="false"/>
        <w:keepLines w:val="false"/>
        <w:pageBreakBefore w:val="false"/>
        <w:widowControl w:val="false"/>
        <w:kinsoku w:val="true"/>
        <w:overflowPunct w:val="true"/>
        <w:autoSpaceDE w:val="true"/>
        <w:bidi w:val="0"/>
        <w:snapToGrid w:val="false"/>
        <w:spacing w:lineRule="exact" w:line="440"/>
        <w:ind w:firstLine="560" w:right="0"/>
        <w:textAlignment w:val="auto"/>
        <w:rPr>
          <w:rFonts w:ascii="楷体" w:hAnsi="楷体" w:eastAsia="楷体" w:cs="楷体_GB2312"/>
          <w:color w:val="0070C0"/>
          <w:sz w:val="28"/>
          <w:szCs w:val="28"/>
        </w:rPr>
      </w:pPr>
      <w:r>
        <w:rPr>
          <w:rFonts w:eastAsia="楷体" w:cs="楷体" w:ascii="楷体" w:hAnsi="楷体"/>
          <w:bCs/>
          <w:color w:val="0070C0"/>
          <w:sz w:val="28"/>
          <w:szCs w:val="28"/>
        </w:rPr>
        <w:t>2</w:t>
      </w:r>
      <w:r>
        <w:rPr>
          <w:rFonts w:eastAsia="楷体" w:cs="楷体" w:ascii="楷体" w:hAnsi="楷体"/>
          <w:bCs/>
          <w:color w:val="0070C0"/>
          <w:sz w:val="28"/>
          <w:szCs w:val="28"/>
        </w:rPr>
        <w:t xml:space="preserve">. </w:t>
      </w:r>
      <w:r>
        <w:rPr>
          <w:rFonts w:ascii="楷体" w:hAnsi="楷体" w:cs="楷体_GB2312" w:eastAsia="楷体"/>
          <w:b/>
          <w:bCs/>
          <w:color w:val="0070C0"/>
          <w:sz w:val="28"/>
          <w:szCs w:val="28"/>
        </w:rPr>
        <w:t>工作条件</w:t>
      </w:r>
      <w:r>
        <w:rPr>
          <w:rFonts w:ascii="楷体" w:hAnsi="楷体" w:cs="楷体_GB2312" w:eastAsia="楷体"/>
          <w:color w:val="0070C0"/>
          <w:sz w:val="28"/>
          <w:szCs w:val="28"/>
        </w:rPr>
        <w:t>（包括已具备的实验条件，尚缺少的实验条件和拟解决的途径，包括利用国家实验室、全国重点实验室和部门重点实验室等研究基地的计划与落实情况）；</w:t>
      </w:r>
    </w:p>
    <w:p>
      <w:pPr>
        <w:keepNext/>
        <w:snapToGrid w:val="0"/>
        <w:spacing w:lineRule="exact" w:line="440" w:before="0" w:after="0"/>
        <w:ind w:firstLineChars="200" w:firstLine="480"/>
        <w:jc w:val="both"/>
      </w:pPr>
      <w:r>
        <w:rPr>
          <w:rFonts w:ascii="Times New Roman" w:hAnsi="Times New Roman" w:eastAsia="楷体" w:cs="Times New Roman"/>
          <w:b/>
          <w:sz w:val="24"/>
        </w:rPr>
        <w:t>（1）已具备的条件</w:t>
      </w:r>
    </w:p>
    <w:p>
      <w:pPr>
        <w:snapToGrid w:val="0"/>
        <w:spacing w:lineRule="exact" w:line="440" w:before="0" w:after="0"/>
        <w:ind w:firstLineChars="200" w:firstLine="480"/>
        <w:jc w:val="both"/>
      </w:pPr>
      <w:r>
        <w:rPr>
          <w:rFonts w:ascii="Times New Roman" w:hAnsi="Times New Roman" w:eastAsia="宋体" w:cs="Times New Roman"/>
          <w:b/>
          <w:sz w:val="24"/>
        </w:rPr>
        <w:t>数据与代码。</w:t>
      </w:r>
      <w:r>
        <w:rPr>
          <w:rFonts w:ascii="Times New Roman" w:hAnsi="Times New Roman" w:eastAsia="宋体" w:cs="Times New Roman"/>
          <w:b w:val="0"/>
          <w:sz w:val="24"/>
        </w:rPr>
        <w:t>三城信令、两级逐日死亡与就诊数据已获得（见本部分1（3））</w:t>
      </w:r>
      <w:r>
        <w:rPr>
          <w:rFonts w:ascii="Times New Roman" w:hAnsi="Times New Roman" w:eastAsia="宋体" w:cs="Times New Roman"/>
          <w:b w:val="0"/>
          <w:sz w:val="24"/>
          <w:highlight w:val="yellow"/>
        </w:rPr>
        <w:t>【待补充：提供方与当前存放环境】</w:t>
      </w:r>
      <w:r>
        <w:rPr>
          <w:rFonts w:ascii="Times New Roman" w:hAnsi="Times New Roman" w:eastAsia="宋体" w:cs="Times New Roman"/>
          <w:b w:val="0"/>
          <w:sz w:val="24"/>
        </w:rPr>
        <w:t>；卫星影像、再分析与驱动数据、建筑与冠层高度、逐年土地覆盖及人口格网均为公开数据（见表1）；相关代码库已建成（见本部分1（3））。</w:t>
      </w:r>
    </w:p>
    <w:p>
      <w:pPr>
        <w:snapToGrid w:val="0"/>
        <w:spacing w:lineRule="exact" w:line="440" w:before="0" w:after="0"/>
        <w:ind w:firstLineChars="200" w:firstLine="480"/>
        <w:jc w:val="both"/>
      </w:pPr>
      <w:r>
        <w:rPr>
          <w:rFonts w:ascii="Times New Roman" w:hAnsi="Times New Roman" w:eastAsia="宋体" w:cs="Times New Roman"/>
          <w:b/>
          <w:sz w:val="24"/>
        </w:rPr>
        <w:t>依托单位与合作团队。</w:t>
      </w:r>
      <w:r>
        <w:rPr>
          <w:rFonts w:ascii="Times New Roman" w:hAnsi="Times New Roman" w:eastAsia="宋体" w:cs="Times New Roman"/>
          <w:b w:val="0"/>
          <w:sz w:val="24"/>
        </w:rPr>
        <w:t>申请人依托香港大学深圳研究院开展研究</w:t>
      </w:r>
      <w:r>
        <w:rPr>
          <w:rFonts w:ascii="Times New Roman" w:hAnsi="Times New Roman" w:eastAsia="宋体" w:cs="Times New Roman"/>
          <w:b w:val="0"/>
          <w:sz w:val="24"/>
          <w:highlight w:val="yellow"/>
        </w:rPr>
        <w:t>【待补充：可提供的办公场所、境内计算与数据安全条件】</w:t>
      </w:r>
      <w:r>
        <w:rPr>
          <w:rFonts w:ascii="Times New Roman" w:hAnsi="Times New Roman" w:eastAsia="宋体" w:cs="Times New Roman"/>
          <w:b w:val="0"/>
          <w:sz w:val="24"/>
        </w:rPr>
        <w:t>，并与香港大学城市规划及设计系何深静教授团队合作（见本部分1（3））。</w:t>
      </w:r>
    </w:p>
    <w:p>
      <w:pPr>
        <w:keepNext/>
        <w:snapToGrid w:val="0"/>
        <w:spacing w:lineRule="exact" w:line="440" w:before="0" w:after="0"/>
        <w:ind w:firstLineChars="200" w:firstLine="480"/>
        <w:jc w:val="both"/>
      </w:pPr>
      <w:r>
        <w:rPr>
          <w:rFonts w:ascii="Times New Roman" w:hAnsi="Times New Roman" w:eastAsia="楷体" w:cs="Times New Roman"/>
          <w:b/>
          <w:sz w:val="24"/>
        </w:rPr>
        <w:t>（2）尚缺少的条件及解决途径</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sz w:val="24"/>
        </w:rPr>
        <w:t>数据协议</w:t>
      </w:r>
      <w:r>
        <w:rPr>
          <w:rFonts w:ascii="Times New Roman" w:hAnsi="Times New Roman" w:eastAsia="宋体" w:cs="Times New Roman"/>
          <w:b w:val="0"/>
          <w:sz w:val="24"/>
        </w:rPr>
        <w:t>：M1前完成已获数据的使用协议确认与伦理申请，G1时某城数据不足即转入备选路线（见风险①）。</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sz w:val="24"/>
        </w:rPr>
        <w:t>境内数据环境</w:t>
      </w:r>
      <w:r>
        <w:rPr>
          <w:rFonts w:ascii="Times New Roman" w:hAnsi="Times New Roman" w:eastAsia="宋体" w:cs="Times New Roman"/>
          <w:b w:val="0"/>
          <w:sz w:val="24"/>
        </w:rPr>
        <w:t>：记录级数据只在境内安全环境</w:t>
      </w:r>
      <w:r>
        <w:rPr>
          <w:rFonts w:ascii="Times New Roman" w:hAnsi="Times New Roman" w:eastAsia="宋体" w:cs="Times New Roman"/>
          <w:b w:val="0"/>
          <w:sz w:val="24"/>
          <w:highlight w:val="yellow"/>
        </w:rPr>
        <w:t>【待核实：具体环境】</w:t>
      </w:r>
      <w:r>
        <w:rPr>
          <w:rFonts w:ascii="Times New Roman" w:hAnsi="Times New Roman" w:eastAsia="宋体" w:cs="Times New Roman"/>
          <w:b w:val="0"/>
          <w:sz w:val="24"/>
        </w:rPr>
        <w:t>存储、分析与访问（依托单位深圳场所或运营商、疾控现场终端），不从境外（含香港）远程访问或下载，也不向境外传输。</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sz w:val="24"/>
        </w:rPr>
        <w:t>伦理审查</w:t>
      </w:r>
      <w:r>
        <w:rPr>
          <w:rFonts w:ascii="Times New Roman" w:hAnsi="Times New Roman" w:eastAsia="宋体" w:cs="Times New Roman"/>
          <w:b w:val="0"/>
          <w:sz w:val="24"/>
        </w:rPr>
        <w:t>：须经依托单位或合作单位伦理委员会批准</w:t>
      </w:r>
      <w:r>
        <w:rPr>
          <w:rFonts w:ascii="Times New Roman" w:hAnsi="Times New Roman" w:eastAsia="宋体" w:cs="Times New Roman"/>
          <w:b w:val="0"/>
          <w:sz w:val="24"/>
          <w:highlight w:val="yellow"/>
        </w:rPr>
        <w:t>【待核实：审查机构】</w:t>
      </w:r>
      <w:r>
        <w:rPr>
          <w:rFonts w:ascii="Times New Roman" w:hAnsi="Times New Roman" w:eastAsia="宋体" w:cs="Times New Roman"/>
          <w:b w:val="0"/>
          <w:sz w:val="24"/>
        </w:rPr>
        <w:t>（见（四）5）。</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sz w:val="24"/>
        </w:rPr>
        <w:t>流行病学与生物统计合作</w:t>
      </w:r>
      <w:r>
        <w:rPr>
          <w:rFonts w:ascii="Times New Roman" w:hAnsi="Times New Roman" w:eastAsia="宋体" w:cs="Times New Roman"/>
          <w:b w:val="0"/>
          <w:sz w:val="24"/>
        </w:rPr>
        <w:t>：两级DLNM与已避免负担估算须有流行病学或生物统计学合作者参与模型设定与结果审核</w:t>
      </w:r>
      <w:r>
        <w:rPr>
          <w:rFonts w:ascii="Times New Roman" w:hAnsi="Times New Roman" w:eastAsia="宋体" w:cs="Times New Roman"/>
          <w:b w:val="0"/>
          <w:sz w:val="24"/>
          <w:highlight w:val="yellow"/>
        </w:rPr>
        <w:t>【待补充：合作者姓名、单位与分工】</w:t>
      </w:r>
      <w:r>
        <w:rPr>
          <w:rFonts w:ascii="Times New Roman" w:hAnsi="Times New Roman" w:eastAsia="宋体" w:cs="Times New Roman"/>
          <w:b w:val="0"/>
          <w:sz w:val="24"/>
        </w:rPr>
        <w:t>。</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sz w:val="24"/>
        </w:rPr>
        <w:t>计算资源与软件</w:t>
      </w:r>
      <w:r>
        <w:rPr>
          <w:rFonts w:ascii="Times New Roman" w:hAnsi="Times New Roman" w:eastAsia="宋体" w:cs="Times New Roman"/>
          <w:b w:val="0"/>
          <w:sz w:val="24"/>
        </w:rPr>
        <w:t>：YRD-HES需较大算力与存储，拟用</w:t>
      </w:r>
      <w:r>
        <w:rPr>
          <w:rFonts w:ascii="Times New Roman" w:hAnsi="Times New Roman" w:eastAsia="宋体" w:cs="Times New Roman"/>
          <w:b w:val="0"/>
          <w:sz w:val="24"/>
          <w:highlight w:val="yellow"/>
        </w:rPr>
        <w:t>【待补充：境内计算平台及配额】</w:t>
      </w:r>
      <w:r>
        <w:rPr>
          <w:rFonts w:ascii="Times New Roman" w:hAnsi="Times New Roman" w:eastAsia="宋体" w:cs="Times New Roman"/>
          <w:b w:val="0"/>
          <w:sz w:val="24"/>
        </w:rPr>
        <w:t>；ENVI-met许可</w:t>
      </w:r>
      <w:r>
        <w:rPr>
          <w:rFonts w:ascii="Times New Roman" w:hAnsi="Times New Roman" w:eastAsia="宋体" w:cs="Times New Roman"/>
          <w:b w:val="0"/>
          <w:sz w:val="24"/>
          <w:highlight w:val="yellow"/>
        </w:rPr>
        <w:t>【待补充：获取方式】</w:t>
      </w:r>
      <w:r>
        <w:rPr>
          <w:rFonts w:ascii="Times New Roman" w:hAnsi="Times New Roman" w:eastAsia="宋体" w:cs="Times New Roman"/>
          <w:b w:val="0"/>
          <w:sz w:val="24"/>
        </w:rPr>
        <w:t>。</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sz w:val="24"/>
        </w:rPr>
        <w:t>实务部门参与</w:t>
      </w:r>
      <w:r>
        <w:rPr>
          <w:rFonts w:ascii="Times New Roman" w:hAnsi="Times New Roman" w:eastAsia="宋体" w:cs="Times New Roman"/>
          <w:b w:val="0"/>
          <w:sz w:val="24"/>
        </w:rPr>
        <w:t>：工作坊参与意向</w:t>
      </w:r>
      <w:r>
        <w:rPr>
          <w:rFonts w:ascii="Times New Roman" w:hAnsi="Times New Roman" w:eastAsia="宋体" w:cs="Times New Roman"/>
          <w:b w:val="0"/>
          <w:sz w:val="24"/>
          <w:highlight w:val="yellow"/>
        </w:rPr>
        <w:t>【待核实】</w:t>
      </w:r>
      <w:r>
        <w:rPr>
          <w:rFonts w:ascii="Times New Roman" w:hAnsi="Times New Roman" w:eastAsia="宋体" w:cs="Times New Roman"/>
          <w:b w:val="0"/>
          <w:sz w:val="24"/>
        </w:rPr>
        <w:t>，不足时按风险⑦处理。</w:t>
      </w:r>
    </w:p>
    <w:p>
      <w:pPr>
        <w:snapToGrid w:val="0"/>
        <w:spacing w:lineRule="exact" w:line="440" w:before="0" w:after="0"/>
        <w:ind w:firstLineChars="200" w:firstLine="480"/>
        <w:jc w:val="both"/>
      </w:pPr>
      <w:r>
        <w:rPr>
          <w:rFonts w:ascii="Times New Roman" w:hAnsi="Times New Roman" w:eastAsia="宋体" w:cs="Times New Roman"/>
          <w:b w:val="0"/>
          <w:sz w:val="24"/>
        </w:rPr>
        <w:t>暂无利用国家实验室、全国重点实验室和部门重点实验室等研究基地的计划</w:t>
      </w:r>
      <w:r>
        <w:rPr>
          <w:rFonts w:ascii="Times New Roman" w:hAnsi="Times New Roman" w:eastAsia="宋体" w:cs="Times New Roman"/>
          <w:b w:val="0"/>
          <w:sz w:val="24"/>
          <w:highlight w:val="yellow"/>
        </w:rPr>
        <w:t>【待核实】</w:t>
      </w:r>
      <w:r>
        <w:rPr>
          <w:rFonts w:ascii="Times New Roman" w:hAnsi="Times New Roman" w:eastAsia="宋体" w:cs="Times New Roman"/>
          <w:b w:val="0"/>
          <w:sz w:val="24"/>
        </w:rPr>
        <w:t>。</w:t>
      </w:r>
    </w:p>
    <w:p>
      <w:pPr>
        <w:pStyle w:val="Normal"/>
        <w:keepNext w:val="false"/>
        <w:keepLines w:val="false"/>
        <w:pageBreakBefore w:val="false"/>
        <w:widowControl w:val="false"/>
        <w:kinsoku w:val="true"/>
        <w:overflowPunct w:val="true"/>
        <w:autoSpaceDE w:val="true"/>
        <w:bidi w:val="0"/>
        <w:snapToGrid w:val="false"/>
        <w:spacing w:lineRule="exact" w:line="440"/>
        <w:ind w:firstLine="560" w:right="0"/>
        <w:textAlignment w:val="auto"/>
        <w:rPr>
          <w:rFonts w:ascii="楷体" w:hAnsi="楷体" w:eastAsia="楷体" w:cs="楷体_GB2312"/>
          <w:color w:val="0070C0"/>
          <w:sz w:val="28"/>
          <w:szCs w:val="28"/>
        </w:rPr>
      </w:pPr>
      <w:r>
        <w:rPr>
          <w:rFonts w:eastAsia="楷体" w:cs="楷体" w:ascii="楷体" w:hAnsi="楷体"/>
          <w:bCs/>
          <w:color w:val="0070C0"/>
          <w:sz w:val="28"/>
          <w:szCs w:val="28"/>
        </w:rPr>
        <w:t>3</w:t>
      </w:r>
      <w:r>
        <w:rPr>
          <w:rFonts w:eastAsia="楷体" w:cs="楷体" w:ascii="楷体" w:hAnsi="楷体"/>
          <w:bCs/>
          <w:color w:val="0070C0"/>
          <w:sz w:val="28"/>
          <w:szCs w:val="28"/>
        </w:rPr>
        <w:t xml:space="preserve">. </w:t>
      </w:r>
      <w:r>
        <w:rPr>
          <w:rFonts w:ascii="楷体" w:hAnsi="楷体" w:cs="楷体_GB2312" w:eastAsia="楷体"/>
          <w:b/>
          <w:bCs/>
          <w:color w:val="0070C0"/>
          <w:sz w:val="28"/>
          <w:szCs w:val="28"/>
        </w:rPr>
        <w:t>正在承担的与本项目相关的科研项目情况</w:t>
      </w:r>
      <w:r>
        <w:rPr>
          <w:rFonts w:ascii="楷体" w:hAnsi="楷体" w:cs="楷体_GB2312" w:eastAsia="楷体"/>
          <w:color w:val="0070C0"/>
          <w:sz w:val="28"/>
          <w:szCs w:val="28"/>
        </w:rPr>
        <w:t>（申请人正在承担的与本项目相关的科研项目情况，包括国家自然科学基金的项目和国家其他科技计划项目，要注明项目的资助机构、项目类别、批准号、项目名称、获资助金额、起止年月、与本项目的关系及负责的内容等）；</w:t>
      </w:r>
    </w:p>
    <w:p>
      <w:pPr>
        <w:snapToGrid w:val="0"/>
        <w:spacing w:lineRule="exact" w:line="440" w:before="0" w:after="0"/>
        <w:ind w:firstLineChars="200" w:firstLine="480"/>
        <w:jc w:val="both"/>
      </w:pPr>
      <w:r>
        <w:rPr>
          <w:rFonts w:ascii="Times New Roman" w:hAnsi="Times New Roman" w:eastAsia="宋体" w:cs="Times New Roman"/>
          <w:b w:val="0"/>
          <w:sz w:val="24"/>
        </w:rPr>
        <w:t>申请人目前未主持科研项目</w:t>
      </w:r>
      <w:r>
        <w:rPr>
          <w:rFonts w:ascii="Times New Roman" w:hAnsi="Times New Roman" w:eastAsia="宋体" w:cs="Times New Roman"/>
          <w:b w:val="0"/>
          <w:sz w:val="24"/>
          <w:highlight w:val="yellow"/>
        </w:rPr>
        <w:t>【待核实】</w:t>
      </w:r>
      <w:r>
        <w:rPr>
          <w:rFonts w:ascii="Times New Roman" w:hAnsi="Times New Roman" w:eastAsia="宋体" w:cs="Times New Roman"/>
          <w:b w:val="0"/>
          <w:sz w:val="24"/>
        </w:rPr>
        <w:t>。申请人参与何深静教授主持的3项项目及另4项国家级或省级项目的研究工作，见本部分1（3）“团队”</w:t>
      </w:r>
      <w:r>
        <w:rPr>
          <w:rFonts w:ascii="Times New Roman" w:hAnsi="Times New Roman" w:eastAsia="宋体" w:cs="Times New Roman"/>
          <w:b w:val="0"/>
          <w:sz w:val="24"/>
          <w:highlight w:val="yellow"/>
        </w:rPr>
        <w:t>【待核实：如为正式登记的项目组成员，请按模板字段逐项列出】</w:t>
      </w:r>
      <w:r>
        <w:rPr>
          <w:rFonts w:ascii="Times New Roman" w:hAnsi="Times New Roman" w:eastAsia="宋体" w:cs="Times New Roman"/>
          <w:b w:val="0"/>
          <w:sz w:val="24"/>
        </w:rPr>
        <w:t>。</w:t>
      </w:r>
    </w:p>
    <w:p>
      <w:pPr>
        <w:pStyle w:val="Normal"/>
        <w:keepNext w:val="false"/>
        <w:keepLines w:val="false"/>
        <w:pageBreakBefore w:val="false"/>
        <w:widowControl w:val="false"/>
        <w:kinsoku w:val="true"/>
        <w:overflowPunct w:val="true"/>
        <w:autoSpaceDE w:val="true"/>
        <w:bidi w:val="0"/>
        <w:snapToGrid w:val="false"/>
        <w:spacing w:lineRule="exact" w:line="440"/>
        <w:ind w:firstLine="560" w:right="0"/>
        <w:textAlignment w:val="auto"/>
        <w:rPr>
          <w:rFonts w:ascii="楷体" w:hAnsi="楷体" w:eastAsia="楷体" w:cs="楷体_GB2312"/>
          <w:color w:val="0070C0"/>
          <w:sz w:val="28"/>
          <w:szCs w:val="28"/>
        </w:rPr>
      </w:pPr>
      <w:r>
        <w:rPr>
          <w:rFonts w:eastAsia="楷体" w:cs="楷体" w:ascii="楷体" w:hAnsi="楷体"/>
          <w:bCs/>
          <w:color w:val="0070C0"/>
          <w:sz w:val="28"/>
          <w:szCs w:val="28"/>
        </w:rPr>
        <w:t>4</w:t>
      </w:r>
      <w:r>
        <w:rPr>
          <w:rFonts w:eastAsia="楷体" w:cs="楷体" w:ascii="楷体" w:hAnsi="楷体"/>
          <w:bCs/>
          <w:color w:val="0070C0"/>
          <w:sz w:val="28"/>
          <w:szCs w:val="28"/>
        </w:rPr>
        <w:t xml:space="preserve">. </w:t>
      </w:r>
      <w:r>
        <w:rPr>
          <w:rFonts w:ascii="楷体" w:hAnsi="楷体" w:cs="楷体_GB2312" w:eastAsia="楷体"/>
          <w:b/>
          <w:bCs/>
          <w:color w:val="0070C0"/>
          <w:sz w:val="28"/>
          <w:szCs w:val="28"/>
        </w:rPr>
        <w:t>完成国家自然科学基金项目情况</w:t>
      </w:r>
      <w:r>
        <w:rPr>
          <w:rFonts w:ascii="楷体" w:hAnsi="楷体" w:cs="楷体_GB2312" w:eastAsia="楷体"/>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eastAsia="楷体" w:cs="楷体" w:ascii="楷体" w:hAnsi="楷体"/>
          <w:color w:val="0070C0"/>
          <w:sz w:val="28"/>
          <w:szCs w:val="28"/>
        </w:rPr>
        <w:t>500</w:t>
      </w:r>
      <w:r>
        <w:rPr>
          <w:rFonts w:ascii="楷体" w:hAnsi="楷体" w:cs="楷体_GB2312" w:eastAsia="楷体"/>
          <w:color w:val="0070C0"/>
          <w:sz w:val="28"/>
          <w:szCs w:val="28"/>
        </w:rPr>
        <w:t>字）和相关成果详细目录）。</w:t>
      </w:r>
    </w:p>
    <w:p>
      <w:pPr>
        <w:snapToGrid w:val="0"/>
        <w:spacing w:lineRule="exact" w:line="440" w:before="0" w:after="0"/>
        <w:ind w:firstLineChars="200" w:firstLine="480"/>
        <w:jc w:val="both"/>
      </w:pPr>
      <w:r>
        <w:rPr>
          <w:rFonts w:ascii="Times New Roman" w:hAnsi="Times New Roman" w:eastAsia="宋体" w:cs="Times New Roman"/>
          <w:b w:val="0"/>
          <w:sz w:val="24"/>
        </w:rPr>
        <w:t>无。</w:t>
      </w:r>
    </w:p>
    <w:p>
      <w:pPr>
        <w:pStyle w:val="Normal"/>
        <w:keepNext w:val="false"/>
        <w:keepLines w:val="false"/>
        <w:pageBreakBefore w:val="false"/>
        <w:widowControl w:val="false"/>
        <w:kinsoku w:val="true"/>
        <w:overflowPunct w:val="true"/>
        <w:autoSpaceDE w:val="true"/>
        <w:bidi w:val="0"/>
        <w:snapToGrid w:val="false"/>
        <w:spacing w:lineRule="exact" w:line="440"/>
        <w:ind w:firstLine="562" w:right="0"/>
        <w:textAlignment w:val="auto"/>
        <w:rPr>
          <w:rFonts w:ascii="楷体" w:hAnsi="楷体" w:eastAsia="楷体" w:cs="楷体_GB2312"/>
          <w:b/>
          <w:bCs/>
          <w:color w:val="0070C0"/>
          <w:sz w:val="28"/>
          <w:szCs w:val="28"/>
        </w:rPr>
      </w:pPr>
      <w:r>
        <w:rPr>
          <w:rFonts w:ascii="楷体" w:hAnsi="楷体" w:cs="楷体_GB2312" w:eastAsia="楷体"/>
          <w:b/>
          <w:bCs/>
          <w:color w:val="0070C0"/>
          <w:sz w:val="28"/>
          <w:szCs w:val="28"/>
        </w:rPr>
        <w:t>（</w:t>
      </w:r>
      <w:r>
        <w:rPr>
          <w:rFonts w:ascii="楷体" w:hAnsi="楷体" w:cs="楷体_GB2312" w:eastAsia="楷体"/>
          <w:b/>
          <w:bCs/>
          <w:color w:val="0070C0"/>
          <w:sz w:val="28"/>
          <w:szCs w:val="28"/>
          <w:lang w:eastAsia="zh-CN"/>
        </w:rPr>
        <w:t>四</w:t>
      </w:r>
      <w:r>
        <w:rPr>
          <w:rFonts w:ascii="楷体" w:hAnsi="楷体" w:cs="楷体_GB2312" w:eastAsia="楷体"/>
          <w:b/>
          <w:bCs/>
          <w:color w:val="0070C0"/>
          <w:sz w:val="28"/>
          <w:szCs w:val="28"/>
        </w:rPr>
        <w:t>）其他需要说明的情况</w:t>
      </w:r>
    </w:p>
    <w:p>
      <w:pPr>
        <w:pStyle w:val="Normal"/>
        <w:keepNext w:val="false"/>
        <w:keepLines w:val="false"/>
        <w:pageBreakBefore w:val="false"/>
        <w:widowControl w:val="false"/>
        <w:kinsoku w:val="true"/>
        <w:overflowPunct w:val="true"/>
        <w:autoSpaceDE w:val="true"/>
        <w:bidi w:val="0"/>
        <w:snapToGrid w:val="false"/>
        <w:spacing w:lineRule="exact" w:line="440"/>
        <w:ind w:firstLine="560" w:right="0"/>
        <w:textAlignment w:val="auto"/>
        <w:rPr>
          <w:rFonts w:ascii="楷体" w:hAnsi="楷体" w:eastAsia="楷体" w:cs="楷体"/>
          <w:bCs/>
          <w:color w:val="0070C0"/>
          <w:sz w:val="28"/>
          <w:szCs w:val="28"/>
        </w:rPr>
      </w:pPr>
      <w:r>
        <w:rPr>
          <w:rFonts w:eastAsia="楷体" w:cs="楷体" w:ascii="楷体" w:hAnsi="楷体"/>
          <w:bCs/>
          <w:color w:val="0070C0"/>
          <w:sz w:val="28"/>
          <w:szCs w:val="28"/>
        </w:rPr>
        <w:t xml:space="preserve">1. </w:t>
      </w:r>
      <w:r>
        <w:rPr>
          <w:rFonts w:ascii="楷体" w:hAnsi="楷体" w:cs="楷体" w:eastAsia="楷体"/>
          <w:bCs/>
          <w:color w:val="0070C0"/>
          <w:sz w:val="28"/>
          <w:szCs w:val="28"/>
        </w:rPr>
        <w:t>申请人同年申请不同类型的国家自然科学基金项目情况（列明同年申请的其他项目的项目类型、项目名称信息，并说明与本项目之间的区别与联系；已收到自然科学基金委不予受理或不予资助决定的，无需列出</w:t>
      </w:r>
      <w:r>
        <w:rPr>
          <w:rFonts w:ascii="楷体" w:hAnsi="楷体" w:cs="楷体" w:eastAsia="楷体"/>
          <w:bCs/>
          <w:color w:val="0070C0"/>
          <w:sz w:val="28"/>
          <w:szCs w:val="28"/>
        </w:rPr>
        <w:t>）</w:t>
      </w:r>
      <w:r>
        <w:rPr>
          <w:rFonts w:ascii="楷体" w:hAnsi="楷体" w:cs="楷体" w:eastAsia="楷体"/>
          <w:bCs/>
          <w:color w:val="0070C0"/>
          <w:sz w:val="28"/>
          <w:szCs w:val="28"/>
        </w:rPr>
        <w:t>。</w:t>
      </w:r>
    </w:p>
    <w:p>
      <w:pPr>
        <w:snapToGrid w:val="0"/>
        <w:spacing w:lineRule="exact" w:line="440" w:before="0" w:after="0"/>
        <w:ind w:firstLineChars="200" w:firstLine="480"/>
        <w:jc w:val="both"/>
      </w:pPr>
      <w:r>
        <w:rPr>
          <w:rFonts w:ascii="Times New Roman" w:hAnsi="Times New Roman" w:eastAsia="宋体" w:cs="Times New Roman"/>
          <w:b w:val="0"/>
          <w:sz w:val="24"/>
        </w:rPr>
        <w:t>无。</w:t>
      </w:r>
      <w:r>
        <w:rPr>
          <w:rFonts w:ascii="Times New Roman" w:hAnsi="Times New Roman" w:eastAsia="宋体" w:cs="Times New Roman"/>
          <w:b w:val="0"/>
          <w:sz w:val="24"/>
          <w:highlight w:val="yellow"/>
        </w:rPr>
        <w:t>【待核实】</w:t>
      </w:r>
    </w:p>
    <w:p>
      <w:pPr>
        <w:pStyle w:val="Normal"/>
        <w:keepNext w:val="false"/>
        <w:keepLines w:val="false"/>
        <w:pageBreakBefore w:val="false"/>
        <w:widowControl w:val="false"/>
        <w:kinsoku w:val="true"/>
        <w:overflowPunct w:val="true"/>
        <w:autoSpaceDE w:val="true"/>
        <w:bidi w:val="0"/>
        <w:snapToGrid w:val="false"/>
        <w:spacing w:lineRule="exact" w:line="440"/>
        <w:ind w:firstLine="560" w:right="0"/>
        <w:textAlignment w:val="auto"/>
        <w:rPr>
          <w:rFonts w:ascii="楷体" w:hAnsi="楷体" w:eastAsia="楷体" w:cs="楷体"/>
          <w:bCs/>
          <w:color w:val="0070C0"/>
          <w:sz w:val="28"/>
          <w:szCs w:val="28"/>
        </w:rPr>
      </w:pPr>
      <w:r>
        <w:rPr>
          <w:rFonts w:eastAsia="楷体" w:cs="楷体" w:ascii="楷体" w:hAnsi="楷体"/>
          <w:bCs/>
          <w:color w:val="0070C0"/>
          <w:sz w:val="28"/>
          <w:szCs w:val="28"/>
        </w:rPr>
        <w:t xml:space="preserve">2. </w:t>
      </w:r>
      <w:r>
        <w:rPr>
          <w:rFonts w:ascii="楷体" w:hAnsi="楷体" w:cs="楷体" w:eastAsia="楷体"/>
          <w:bCs/>
          <w:color w:val="0070C0"/>
          <w:sz w:val="28"/>
          <w:szCs w:val="28"/>
        </w:rPr>
        <w:t>具有高级专业技术职务（职称）的申请人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pPr>
        <w:snapToGrid w:val="0"/>
        <w:spacing w:lineRule="exact" w:line="440" w:before="0" w:after="0"/>
        <w:ind w:firstLineChars="200" w:firstLine="480"/>
        <w:jc w:val="both"/>
      </w:pPr>
      <w:r>
        <w:rPr>
          <w:rFonts w:ascii="Times New Roman" w:hAnsi="Times New Roman" w:eastAsia="宋体" w:cs="Times New Roman"/>
          <w:b w:val="0"/>
          <w:sz w:val="24"/>
        </w:rPr>
        <w:t>不涉及（无高级专业技术职务）。</w:t>
      </w:r>
    </w:p>
    <w:p>
      <w:pPr>
        <w:pStyle w:val="Normal"/>
        <w:keepNext w:val="false"/>
        <w:keepLines w:val="false"/>
        <w:pageBreakBefore w:val="false"/>
        <w:widowControl w:val="false"/>
        <w:kinsoku w:val="true"/>
        <w:overflowPunct w:val="true"/>
        <w:autoSpaceDE w:val="true"/>
        <w:bidi w:val="0"/>
        <w:snapToGrid w:val="false"/>
        <w:spacing w:lineRule="exact" w:line="440"/>
        <w:ind w:firstLine="560" w:right="0"/>
        <w:textAlignment w:val="auto"/>
        <w:rPr>
          <w:rFonts w:ascii="楷体" w:hAnsi="楷体" w:eastAsia="楷体" w:cs="楷体"/>
          <w:bCs/>
          <w:color w:val="0070C0"/>
          <w:sz w:val="28"/>
          <w:szCs w:val="28"/>
        </w:rPr>
      </w:pPr>
      <w:r>
        <w:rPr>
          <w:rFonts w:eastAsia="楷体" w:cs="楷体" w:ascii="楷体" w:hAnsi="楷体"/>
          <w:bCs/>
          <w:color w:val="0070C0"/>
          <w:sz w:val="28"/>
          <w:szCs w:val="28"/>
        </w:rPr>
        <w:t xml:space="preserve">3. </w:t>
      </w:r>
      <w:r>
        <w:rPr>
          <w:rFonts w:ascii="楷体" w:hAnsi="楷体" w:cs="楷体" w:eastAsia="楷体"/>
          <w:bCs/>
          <w:color w:val="0070C0"/>
          <w:sz w:val="28"/>
          <w:szCs w:val="28"/>
        </w:rPr>
        <w:t>具有高级专业技术职务（职称）的申请人是否存在与正在承担的国家自然科学基金项目的单位不一致的情况；如存在上述情况，列明所涉及人员的姓名，正在承担项目的批准号、项目类型、项目名称、单位名称、起止年月，并说明单位不一致原因。</w:t>
      </w:r>
    </w:p>
    <w:p>
      <w:pPr>
        <w:snapToGrid w:val="0"/>
        <w:spacing w:lineRule="exact" w:line="440" w:before="0" w:after="0"/>
        <w:ind w:firstLineChars="200" w:firstLine="480"/>
        <w:jc w:val="both"/>
      </w:pPr>
      <w:r>
        <w:rPr>
          <w:rFonts w:ascii="Times New Roman" w:hAnsi="Times New Roman" w:eastAsia="宋体" w:cs="Times New Roman"/>
          <w:b w:val="0"/>
          <w:sz w:val="24"/>
        </w:rPr>
        <w:t>不涉及（无高级专业技术职务）。</w:t>
      </w:r>
    </w:p>
    <w:p>
      <w:pPr>
        <w:pStyle w:val="Normal"/>
        <w:keepNext w:val="false"/>
        <w:keepLines w:val="false"/>
        <w:pageBreakBefore w:val="false"/>
        <w:widowControl w:val="false"/>
        <w:kinsoku w:val="true"/>
        <w:overflowPunct w:val="true"/>
        <w:autoSpaceDE w:val="true"/>
        <w:bidi w:val="0"/>
        <w:snapToGrid w:val="false"/>
        <w:spacing w:lineRule="exact" w:line="440"/>
        <w:ind w:firstLine="560" w:right="0"/>
        <w:textAlignment w:val="auto"/>
        <w:rPr>
          <w:rFonts w:ascii="楷体" w:hAnsi="楷体" w:eastAsia="楷体" w:cs="楷体"/>
          <w:bCs/>
          <w:color w:val="0070C0"/>
          <w:sz w:val="28"/>
          <w:szCs w:val="28"/>
        </w:rPr>
      </w:pPr>
      <w:r>
        <w:rPr>
          <w:rFonts w:eastAsia="楷体" w:cs="楷体" w:ascii="楷体" w:hAnsi="楷体"/>
          <w:bCs/>
          <w:color w:val="0070C0"/>
          <w:sz w:val="28"/>
          <w:szCs w:val="28"/>
          <w:lang w:val="en-US" w:eastAsia="zh-CN"/>
        </w:rPr>
        <w:t xml:space="preserve">4. </w:t>
      </w:r>
      <w:r>
        <w:rPr>
          <w:rFonts w:ascii="楷体" w:hAnsi="楷体" w:cs="楷体" w:eastAsia="楷体"/>
          <w:bCs/>
          <w:color w:val="0070C0"/>
          <w:sz w:val="28"/>
          <w:szCs w:val="28"/>
        </w:rPr>
        <w:t>同年以不同专业技术职务（职称）申请或参与申请科学基金项目的情况（应详细说明原因）。</w:t>
      </w:r>
    </w:p>
    <w:p>
      <w:pPr>
        <w:snapToGrid w:val="0"/>
        <w:spacing w:lineRule="exact" w:line="440" w:before="0" w:after="0"/>
        <w:ind w:firstLineChars="200" w:firstLine="480"/>
        <w:jc w:val="both"/>
      </w:pPr>
      <w:r>
        <w:rPr>
          <w:rFonts w:ascii="Times New Roman" w:hAnsi="Times New Roman" w:eastAsia="宋体" w:cs="Times New Roman"/>
          <w:b w:val="0"/>
          <w:sz w:val="24"/>
        </w:rPr>
        <w:t>无。</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440"/>
        <w:ind w:firstLine="560" w:left="0" w:right="0"/>
        <w:textAlignment w:val="auto"/>
        <w:rPr>
          <w:rFonts w:ascii="楷体" w:hAnsi="楷体" w:eastAsia="楷体" w:cs="楷体"/>
          <w:bCs/>
          <w:color w:val="0070C0"/>
          <w:sz w:val="28"/>
          <w:szCs w:val="28"/>
        </w:rPr>
      </w:pPr>
      <w:r>
        <w:rPr>
          <w:rFonts w:eastAsia="楷体" w:cs="楷体" w:ascii="楷体" w:hAnsi="楷体"/>
          <w:bCs/>
          <w:color w:val="0070C0"/>
          <w:sz w:val="28"/>
          <w:szCs w:val="28"/>
        </w:rPr>
        <w:t>5</w:t>
      </w:r>
      <w:r>
        <w:rPr>
          <w:rFonts w:eastAsia="楷体" w:cs="楷体" w:ascii="楷体" w:hAnsi="楷体"/>
          <w:bCs/>
          <w:color w:val="0070C0"/>
          <w:sz w:val="28"/>
          <w:szCs w:val="28"/>
        </w:rPr>
        <w:t xml:space="preserve">. </w:t>
      </w:r>
      <w:r>
        <w:rPr>
          <w:rFonts w:ascii="楷体" w:hAnsi="楷体" w:cs="楷体" w:eastAsia="楷体"/>
          <w:bCs/>
          <w:color w:val="0070C0"/>
          <w:sz w:val="28"/>
          <w:szCs w:val="28"/>
        </w:rPr>
        <w:t>其他。</w:t>
      </w:r>
    </w:p>
    <w:p>
      <w:pPr>
        <w:keepNext/>
        <w:snapToGrid w:val="0"/>
        <w:spacing w:lineRule="exact" w:line="440" w:before="0" w:after="0"/>
        <w:ind w:firstLineChars="200" w:firstLine="480"/>
        <w:jc w:val="both"/>
      </w:pPr>
      <w:r>
        <w:rPr>
          <w:rFonts w:ascii="Times New Roman" w:hAnsi="Times New Roman" w:eastAsia="楷体" w:cs="Times New Roman"/>
          <w:b/>
          <w:sz w:val="24"/>
        </w:rPr>
        <w:t>（1）在依托单位的聘任情况</w:t>
      </w:r>
    </w:p>
    <w:p>
      <w:pPr>
        <w:snapToGrid w:val="0"/>
        <w:spacing w:lineRule="exact" w:line="440" w:before="0" w:after="0"/>
        <w:ind w:firstLineChars="200" w:firstLine="480"/>
        <w:jc w:val="both"/>
      </w:pPr>
      <w:r>
        <w:rPr>
          <w:rFonts w:ascii="Times New Roman" w:hAnsi="Times New Roman" w:eastAsia="宋体" w:cs="Times New Roman"/>
          <w:b w:val="0"/>
          <w:sz w:val="24"/>
        </w:rPr>
        <w:t>聘任关系</w:t>
      </w:r>
      <w:r>
        <w:rPr>
          <w:rFonts w:ascii="Times New Roman" w:hAnsi="Times New Roman" w:eastAsia="宋体" w:cs="Times New Roman"/>
          <w:b w:val="0"/>
          <w:sz w:val="24"/>
          <w:highlight w:val="yellow"/>
        </w:rPr>
        <w:t>【待核实：全职或非全职，须与个人简历一致】</w:t>
      </w:r>
      <w:r>
        <w:rPr>
          <w:rFonts w:ascii="Times New Roman" w:hAnsi="Times New Roman" w:eastAsia="宋体" w:cs="Times New Roman"/>
          <w:b w:val="0"/>
          <w:sz w:val="24"/>
        </w:rPr>
        <w:t>；聘任岗位</w:t>
      </w:r>
      <w:r>
        <w:rPr>
          <w:rFonts w:ascii="Times New Roman" w:hAnsi="Times New Roman" w:eastAsia="宋体" w:cs="Times New Roman"/>
          <w:b w:val="0"/>
          <w:sz w:val="24"/>
          <w:highlight w:val="yellow"/>
        </w:rPr>
        <w:t>【待补充】</w:t>
      </w:r>
      <w:r>
        <w:rPr>
          <w:rFonts w:ascii="Times New Roman" w:hAnsi="Times New Roman" w:eastAsia="宋体" w:cs="Times New Roman"/>
          <w:b w:val="0"/>
          <w:sz w:val="24"/>
        </w:rPr>
        <w:t>；聘任期限</w:t>
      </w:r>
      <w:r>
        <w:rPr>
          <w:rFonts w:ascii="Times New Roman" w:hAnsi="Times New Roman" w:eastAsia="宋体" w:cs="Times New Roman"/>
          <w:b w:val="0"/>
          <w:sz w:val="24"/>
          <w:highlight w:val="yellow"/>
        </w:rPr>
        <w:t>【待补充】</w:t>
      </w:r>
      <w:r>
        <w:rPr>
          <w:rFonts w:ascii="Times New Roman" w:hAnsi="Times New Roman" w:eastAsia="宋体" w:cs="Times New Roman"/>
          <w:b w:val="0"/>
          <w:sz w:val="24"/>
        </w:rPr>
        <w:t>；每年的工作时间</w:t>
      </w:r>
      <w:r>
        <w:rPr>
          <w:rFonts w:ascii="Times New Roman" w:hAnsi="Times New Roman" w:eastAsia="宋体" w:cs="Times New Roman"/>
          <w:b w:val="0"/>
          <w:sz w:val="24"/>
          <w:highlight w:val="yellow"/>
        </w:rPr>
        <w:t>【待补充】</w:t>
      </w:r>
      <w:r>
        <w:rPr>
          <w:rFonts w:ascii="Times New Roman" w:hAnsi="Times New Roman" w:eastAsia="宋体" w:cs="Times New Roman"/>
          <w:b w:val="0"/>
          <w:sz w:val="24"/>
        </w:rPr>
        <w:t>个月。</w:t>
      </w:r>
    </w:p>
    <w:p>
      <w:pPr>
        <w:keepNext/>
        <w:snapToGrid w:val="0"/>
        <w:spacing w:lineRule="exact" w:line="440" w:before="0" w:after="0"/>
        <w:ind w:firstLineChars="200" w:firstLine="480"/>
        <w:jc w:val="both"/>
      </w:pPr>
      <w:r>
        <w:rPr>
          <w:rFonts w:ascii="Times New Roman" w:hAnsi="Times New Roman" w:eastAsia="楷体" w:cs="Times New Roman"/>
          <w:b/>
          <w:sz w:val="24"/>
        </w:rPr>
        <w:t>（2）与其他渠道申请的关系</w:t>
      </w:r>
    </w:p>
    <w:p>
      <w:pPr>
        <w:snapToGrid w:val="0"/>
        <w:spacing w:lineRule="exact" w:line="440" w:before="0" w:after="0"/>
        <w:ind w:firstLineChars="200" w:firstLine="480"/>
        <w:jc w:val="both"/>
      </w:pPr>
      <w:r>
        <w:rPr>
          <w:rFonts w:ascii="Times New Roman" w:hAnsi="Times New Roman" w:eastAsia="宋体" w:cs="Times New Roman"/>
          <w:b w:val="0"/>
          <w:sz w:val="24"/>
        </w:rPr>
        <w:t>申请人已向香港大学提交香港研究资助局Junior Research Fellow Scheme（JRFS，2027/28）提名预申请</w:t>
      </w:r>
      <w:r>
        <w:rPr>
          <w:rFonts w:ascii="Times New Roman" w:hAnsi="Times New Roman" w:eastAsia="宋体" w:cs="Times New Roman"/>
          <w:b w:val="0"/>
          <w:sz w:val="24"/>
          <w:highlight w:val="yellow"/>
        </w:rPr>
        <w:t>【待核实：提交时间与状态】</w:t>
      </w:r>
      <w:r>
        <w:rPr>
          <w:rFonts w:ascii="Times New Roman" w:hAnsi="Times New Roman" w:eastAsia="宋体" w:cs="Times New Roman"/>
          <w:b w:val="0"/>
          <w:sz w:val="24"/>
        </w:rPr>
        <w:t>。本项目的DCP概念、核心假说、生态系统服务框架下的研究问题与方法链条源自该预申请，三环节表述与H1a—H3b分项假说为本申请重新凝练；二者的研究区（香港与长三角）、数据、尺度与实证对象均不同，本项目另设41城异质性与区县层外部效度检验。截至提交时，该预申请</w:t>
      </w:r>
      <w:r>
        <w:rPr>
          <w:rFonts w:ascii="Times New Roman" w:hAnsi="Times New Roman" w:eastAsia="宋体" w:cs="Times New Roman"/>
          <w:b w:val="0"/>
          <w:sz w:val="24"/>
          <w:highlight w:val="yellow"/>
        </w:rPr>
        <w:t>【待补充：未获提名、评审中或已获资助】</w:t>
      </w:r>
      <w:r>
        <w:rPr>
          <w:rFonts w:ascii="Times New Roman" w:hAnsi="Times New Roman" w:eastAsia="宋体" w:cs="Times New Roman"/>
          <w:b w:val="0"/>
          <w:sz w:val="24"/>
        </w:rPr>
        <w:t>；如获资助，将按规定说明二者区别与联系并分别标注资助来源</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w:t>
      </w:r>
    </w:p>
    <w:p>
      <w:pPr>
        <w:keepNext/>
        <w:snapToGrid w:val="0"/>
        <w:spacing w:lineRule="exact" w:line="440" w:before="0" w:after="0"/>
        <w:ind w:firstLineChars="200" w:firstLine="480"/>
        <w:jc w:val="both"/>
      </w:pPr>
      <w:r>
        <w:rPr>
          <w:rFonts w:ascii="Times New Roman" w:hAnsi="Times New Roman" w:eastAsia="楷体" w:cs="Times New Roman"/>
          <w:b/>
          <w:sz w:val="24"/>
        </w:rPr>
        <w:t>（3）生成式人工智能使用</w:t>
      </w:r>
    </w:p>
    <w:p>
      <w:pPr>
        <w:snapToGrid w:val="0"/>
        <w:spacing w:lineRule="exact" w:line="440" w:before="0" w:after="0"/>
        <w:ind w:firstLineChars="200" w:firstLine="480"/>
        <w:jc w:val="both"/>
      </w:pPr>
      <w:r>
        <w:rPr>
          <w:rFonts w:ascii="Times New Roman" w:hAnsi="Times New Roman" w:eastAsia="宋体" w:cs="Times New Roman"/>
          <w:b w:val="0"/>
          <w:sz w:val="24"/>
        </w:rPr>
        <w:t>撰写阶段：申请人撰写英文原稿时有限使用ChatGPT（OpenAI）润色、翻译、压缩与调整结构，并间或由其建议措辞；原稿的研究问题、核心概念、数据与设计均源自申请人。中文稿全文由Claude（Anthropic）辅助完成，包括：①翻译、重组与改写，并依申请人要求将研究区由香港改为长三角（研究区、尺度与已获数据由申请人确定）；②辅助凝练科学问题与假说，提出部分方法细节（DCP形式化定义、检验判据、循环论证检验，以及降尺度、匹配、ENVI-met、信令处理、沙普利分解、DLNM、检验效能、不确定性传递与矩阵判定的具体设定）及公开数据源、九类NbS划分、自然实验候选与重点人群代理变量的建议，经申请人逐项审定并以本人表述改写</w:t>
      </w:r>
      <w:r>
        <w:rPr>
          <w:rFonts w:ascii="Times New Roman" w:hAnsi="Times New Roman" w:eastAsia="宋体" w:cs="Times New Roman"/>
          <w:b w:val="0"/>
          <w:sz w:val="24"/>
          <w:highlight w:val="yellow"/>
        </w:rPr>
        <w:t>【待确认：列出采用部分】</w:t>
      </w:r>
      <w:r>
        <w:rPr>
          <w:rFonts w:ascii="Times New Roman" w:hAnsi="Times New Roman" w:eastAsia="宋体" w:cs="Times New Roman"/>
          <w:b w:val="0"/>
          <w:sz w:val="24"/>
        </w:rPr>
        <w:t>；③检索筛选文献（原稿无文献表）；④据公开来源核对事实与数字；⑤设计并绘制图1、图2，起草表格、年度计划、考核节点与信息表。以上均经申请人审核取舍并逐句核实</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，科学判断与结论由其负责。实施阶段：生成式人工智能仅用于语言编辑、文档整理及Python/R代码补全与调试（代码经审查测试后使用），不用于解释结果或形成结论，敏感数据不输入公开的人工智能服务。</w:t>
      </w:r>
    </w:p>
    <w:p>
      <w:pPr>
        <w:keepNext/>
        <w:snapToGrid w:val="0"/>
        <w:spacing w:lineRule="exact" w:line="440" w:before="0" w:after="0"/>
        <w:ind w:firstLineChars="200" w:firstLine="480"/>
        <w:jc w:val="both"/>
      </w:pPr>
      <w:r>
        <w:rPr>
          <w:rFonts w:ascii="Times New Roman" w:hAnsi="Times New Roman" w:eastAsia="楷体" w:cs="Times New Roman"/>
          <w:b/>
          <w:sz w:val="24"/>
        </w:rPr>
        <w:t>（4）伦理与数据合规</w:t>
      </w:r>
    </w:p>
    <w:p>
      <w:pPr>
        <w:snapToGrid w:val="0"/>
        <w:spacing w:lineRule="exact" w:line="440" w:before="0" w:after="0"/>
        <w:ind w:firstLineChars="200" w:firstLine="480"/>
        <w:jc w:val="both"/>
      </w:pPr>
      <w:r>
        <w:rPr>
          <w:rFonts w:ascii="Times New Roman" w:hAnsi="Times New Roman" w:eastAsia="宋体" w:cs="Times New Roman"/>
          <w:b w:val="0"/>
          <w:sz w:val="24"/>
        </w:rPr>
        <w:t>本项目以既有数据的二次利用为主，新数据仅来自两场工作坊。遵守《个人信息保护法》（2021）、《数据安全法》（2021）与《涉及人的生命科学和医学研究伦理审查办法》（2023），实施前须经伦理审查批准，无法联系数据主体时依规申请免除知情同意。记录级数据（信令、死亡与就诊记录）仅以去标识化形式在境内处理，对外仅发布经统计披露控制的汇总结果。数据管理采用可追溯流程：原始数据只读保存，来源、版本、许可、处理步骤与保存期限均建档，清洗与分析经版本控制代码完成，访问遵循最小权限原则，许可数据按协议到期删除。工作坊参与者签署书面知情同意书；录音另获同意，转录核实后删除，转录稿作化名处理。</w:t>
      </w:r>
    </w:p>
    <w:p>
      <w:pPr>
        <w:snapToGrid w:val="0"/>
        <w:spacing w:lineRule="exact" w:line="440" w:before="0" w:after="0"/>
        <w:ind w:firstLineChars="200" w:firstLine="480"/>
        <w:jc w:val="both"/>
      </w:pPr>
      <w:r>
        <w:rPr>
          <w:rFonts w:ascii="Times New Roman" w:hAnsi="Times New Roman" w:eastAsia="宋体" w:cs="Times New Roman"/>
          <w:b w:val="0"/>
          <w:sz w:val="24"/>
        </w:rPr>
        <w:t>注：本正文生成式人工智能辅助内容的使用与核实情况见（四）5（3）。</w:t>
      </w:r>
    </w:p>
    <w:sectPr>
      <w:footerReference w:type="default" r:id="rId5"/>
      <w:type w:val="nextPage"/>
      <w:pgSz w:w="11906" w:h="16838"/>
      <w:pgMar w:left="1814" w:right="1814" w:gutter="0" w:header="850" w:top="1440" w:footer="85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roman"/>
    <w:pitch w:val="default"/>
  </w:font>
  <w:font w:name="宋体">
    <w:charset w:val="86"/>
    <w:family w:val="auto"/>
    <w:pitch w:val="default"/>
  </w:font>
  <w:font w:name="Times New Roman bold">
    <w:charset w:val="00"/>
    <w:family w:val="roman"/>
    <w:pitch w:val="default"/>
  </w:font>
  <w:font w:name="Liberation Sans">
    <w:altName w:val="Arial"/>
    <w:charset w:val="00"/>
    <w:family w:val="swiss"/>
    <w:pitch w:val="variable"/>
  </w:font>
  <w:font w:name="楷体">
    <w:charset w:val="86"/>
    <w:family w:val="modern"/>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p>
</w:ftr>
</file>

<file path=word/settings.xml><?xml version="1.0" encoding="utf-8"?>
<w:settings xmlns:w="http://schemas.openxmlformats.org/wordprocessingml/2006/main">
  <w:zoom w:percent="130"/>
  <w:defaultTabStop w:val="420"/>
  <w:autoHyphenation w:val="true"/>
  <w:compat>
    <w:noLeading/>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4"/>
      <w:szCs w:val="24"/>
      <w:lang w:val="en-US" w:eastAsia="zh-CN" w:bidi="ar-SA"/>
    </w:rPr>
  </w:style>
  <w:style w:type="character" w:styleId="Style14">
    <w:name w:val="默认段落字体"/>
    <w:qFormat/>
    <w:rPr/>
  </w:style>
  <w:style w:type="character" w:styleId="Char">
    <w:name w:val="文档结构图 Char"/>
    <w:qFormat/>
    <w:rPr>
      <w:rFonts w:ascii="宋体" w:hAnsi="宋体"/>
      <w:kern w:val="2"/>
      <w:sz w:val="18"/>
      <w:szCs w:val="18"/>
    </w:rPr>
  </w:style>
  <w:style w:type="character" w:styleId="Char1">
    <w:name w:val="页脚 Char"/>
    <w:qFormat/>
    <w:rPr>
      <w:kern w:val="2"/>
      <w:sz w:val="18"/>
      <w:szCs w:val="18"/>
    </w:rPr>
  </w:style>
  <w:style w:type="character" w:styleId="Char2">
    <w:name w:val="页眉 Char"/>
    <w:qFormat/>
    <w:rPr>
      <w:kern w:val="2"/>
      <w:sz w:val="18"/>
      <w:szCs w:val="18"/>
    </w:rPr>
  </w:style>
  <w:style w:type="character" w:styleId="1HT">
    <w:name w:val="1HT 字符"/>
    <w:basedOn w:val="Style14"/>
    <w:qFormat/>
    <w:rPr>
      <w:rFonts w:ascii="Times New Roman bold" w:hAnsi="Times New Roman bold" w:eastAsia="方正黑体_GBK;黑体" w:cs="Times New Roman bold"/>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5">
    <w:name w:val="文档结构图"/>
    <w:basedOn w:val="Normal"/>
    <w:qFormat/>
    <w:pPr/>
    <w:rPr>
      <w:rFonts w:ascii="宋体" w:hAnsi="宋体"/>
      <w:sz w:val="18"/>
      <w:szCs w:val="18"/>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1HT1">
    <w:name w:val="1HT"/>
    <w:basedOn w:val="Normal"/>
    <w:qFormat/>
    <w:pPr>
      <w:ind w:firstLine="422" w:left="0" w:right="0"/>
    </w:pPr>
    <w:rPr>
      <w:rFonts w:ascii="Times New Roman bold" w:hAnsi="Times New Roman bold" w:eastAsia="方正黑体_GBK;黑体" w:cs="Times New Roman bold"/>
    </w:rPr>
  </w:style>
  <w:style w:type="paragraph" w:styleId="Style17">
    <w:name w:val="修订"/>
    <w:qFormat/>
    <w:pPr>
      <w:widowControl/>
      <w:bidi w:val="0"/>
    </w:pPr>
    <w:rPr>
      <w:rFonts w:ascii="Times New Roman" w:hAnsi="Times New Roman" w:eastAsia="宋体" w:cs="Times New Roman"/>
      <w:color w:val="auto"/>
      <w:kern w:val="2"/>
      <w:sz w:val="21"/>
      <w:szCs w:val="24"/>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8160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2024-01-10T14:18:00Z</dcterms:created>
  <dc:creator>wangyr</dc:creator>
  <dc:description/>
  <dc:language>en-US</dc:language>
  <cp:lastModifiedBy>方圆</cp:lastModifiedBy>
  <cp:lastPrinted>2025-12-28T09:44:00Z</cp:lastPrinted>
  <dcterms:modified xsi:type="dcterms:W3CDTF">2026-01-22T20:14:53Z</dcterms:modified>
  <cp:revision>3</cp:revision>
  <dc:subject/>
  <dc:title>青年科学基金项目申请书撰写提纲</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0C90F046CE59413B9175DB7843EE1B15_13</vt:lpwstr>
  </property>
  <property fmtid="{D5CDD505-2E9C-101B-9397-08002B2CF9AE}" pid="3" name="KSOProductBuildVer">
    <vt:lpwstr>2052-12.1.22553.22553</vt:lpwstr>
  </property>
  <property fmtid="{D5CDD505-2E9C-101B-9397-08002B2CF9AE}" pid="4" name="KSOTemplateDocerSaveRecord">
    <vt:lpwstr>eyJoZGlkIjoiOWIzMzRiNDVmM2FkZjM1Yjc0ZjRiZTdlMmIxODBmZGUiLCJ1c2VySWQiOiI5OTk2OTAwNTEifQ==</vt:lpwstr>
  </property>
</Properties>
</file>