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color w:val="6366F1"/>
          <w:sz w:val="17"/>
        </w:rPr>
        <w:t>FORMATEX WMS 360° | ESPECIFICACIÓN FUNCIONAL Y REGLAS DE NEGOCIO</w:t>
        <w:br/>
      </w:r>
      <w:r>
        <w:rPr>
          <w:color w:val="6B7280"/>
          <w:sz w:val="16"/>
        </w:rPr>
        <w:t>Área: Atención al Cliente (ATC) &amp; Ventas | Versión 1.0 Oficial para Revisión y Firma</w:t>
      </w:r>
    </w:p>
    <w:p>
      <w:pPr>
        <w:spacing w:before="240" w:after="80"/>
      </w:pPr>
      <w:r>
        <w:rPr>
          <w:b/>
          <w:color w:val="1E293B"/>
          <w:sz w:val="44"/>
        </w:rPr>
        <w:t>Especificación de Reglas de Negocio</w:t>
        <w:br/>
        <w:t>Módulo de Atención al Cliente (ATC)</w:t>
      </w:r>
    </w:p>
    <w:p>
      <w:pPr>
        <w:spacing w:after="320"/>
      </w:pPr>
      <w:r>
        <w:rPr>
          <w:i/>
          <w:color w:val="4F46E5"/>
          <w:sz w:val="22"/>
        </w:rPr>
        <w:t>Documento de Levantamiento Operativo, Definición de Procesos y Marco Vinculante de Alcance</w:t>
        <w:br/>
      </w:r>
    </w:p>
    <w:tbl>
      <w:tblPr>
        <w:tblW w:type="auto" w:w="0"/>
        <w:jc w:val="center"/>
        <w:tblLayout w:type="fixed"/>
        <w:tblLook w:firstColumn="1" w:firstRow="1" w:lastColumn="0" w:lastRow="0" w:noHBand="0" w:noVBand="1" w:val="04A0"/>
      </w:tblPr>
      <w:tblGrid>
        <w:gridCol w:w="4824"/>
        <w:gridCol w:w="4824"/>
      </w:tblGrid>
      <w:tr>
        <w:tc>
          <w:tcPr>
            <w:tcW w:type="dxa" w:w="3168"/>
            <w:shd w:fill="F1F5F9"/>
            <w:tcMar>
              <w:top w:w="70" w:type="dxa"/>
              <w:bottom w:w="70" w:type="dxa"/>
              <w:left w:w="100" w:type="dxa"/>
              <w:right w:w="100" w:type="dxa"/>
            </w:tcMar>
          </w:tcPr>
          <w:p>
            <w:r>
              <w:rPr>
                <w:b/>
                <w:color w:val="334155"/>
                <w:sz w:val="19"/>
              </w:rPr>
              <w:t>Organización Solicitante:</w:t>
            </w:r>
          </w:p>
        </w:tc>
        <w:tc>
          <w:tcPr>
            <w:tcW w:type="dxa" w:w="6480"/>
            <w:shd w:fill="FFFFFF"/>
            <w:tcMar>
              <w:top w:w="70" w:type="dxa"/>
              <w:bottom w:w="70" w:type="dxa"/>
              <w:left w:w="100" w:type="dxa"/>
              <w:right w:w="100" w:type="dxa"/>
            </w:tcMar>
          </w:tcPr>
          <w:p>
            <w:r>
              <w:rPr>
                <w:sz w:val="19"/>
              </w:rPr>
              <w:t>Forma Textil S. de R.L. de C.V. (Formatex)</w:t>
            </w:r>
          </w:p>
        </w:tc>
      </w:tr>
      <w:tr>
        <w:tc>
          <w:tcPr>
            <w:tcW w:type="dxa" w:w="3168"/>
            <w:shd w:fill="F1F5F9"/>
            <w:tcMar>
              <w:top w:w="70" w:type="dxa"/>
              <w:bottom w:w="70" w:type="dxa"/>
              <w:left w:w="100" w:type="dxa"/>
              <w:right w:w="100" w:type="dxa"/>
            </w:tcMar>
          </w:tcPr>
          <w:p>
            <w:r>
              <w:rPr>
                <w:b/>
                <w:color w:val="334155"/>
                <w:sz w:val="19"/>
              </w:rPr>
              <w:t>Proveedor de Ingeniería:</w:t>
            </w:r>
          </w:p>
        </w:tc>
        <w:tc>
          <w:tcPr>
            <w:tcW w:type="dxa" w:w="6480"/>
            <w:shd w:fill="FFFFFF"/>
            <w:tcMar>
              <w:top w:w="70" w:type="dxa"/>
              <w:bottom w:w="70" w:type="dxa"/>
              <w:left w:w="100" w:type="dxa"/>
              <w:right w:w="100" w:type="dxa"/>
            </w:tcMar>
          </w:tcPr>
          <w:p>
            <w:r>
              <w:rPr>
                <w:sz w:val="19"/>
              </w:rPr>
              <w:t>Movida TCI LLC</w:t>
            </w:r>
          </w:p>
        </w:tc>
      </w:tr>
      <w:tr>
        <w:tc>
          <w:tcPr>
            <w:tcW w:type="dxa" w:w="3168"/>
            <w:shd w:fill="F1F5F9"/>
            <w:tcMar>
              <w:top w:w="70" w:type="dxa"/>
              <w:bottom w:w="70" w:type="dxa"/>
              <w:left w:w="100" w:type="dxa"/>
              <w:right w:w="100" w:type="dxa"/>
            </w:tcMar>
          </w:tcPr>
          <w:p>
            <w:r>
              <w:rPr>
                <w:b/>
                <w:color w:val="334155"/>
                <w:sz w:val="19"/>
              </w:rPr>
              <w:t>Fecha de Levantamiento:</w:t>
            </w:r>
          </w:p>
        </w:tc>
        <w:tc>
          <w:tcPr>
            <w:tcW w:type="dxa" w:w="6480"/>
            <w:shd w:fill="FFFFFF"/>
            <w:tcMar>
              <w:top w:w="70" w:type="dxa"/>
              <w:bottom w:w="70" w:type="dxa"/>
              <w:left w:w="100" w:type="dxa"/>
              <w:right w:w="100" w:type="dxa"/>
            </w:tcMar>
          </w:tcPr>
          <w:p>
            <w:r>
              <w:rPr>
                <w:sz w:val="19"/>
              </w:rPr>
              <w:t>Miércoles, 14 de Octubre de 2026</w:t>
            </w:r>
          </w:p>
        </w:tc>
      </w:tr>
      <w:tr>
        <w:tc>
          <w:tcPr>
            <w:tcW w:type="dxa" w:w="3168"/>
            <w:shd w:fill="F1F5F9"/>
            <w:tcMar>
              <w:top w:w="70" w:type="dxa"/>
              <w:bottom w:w="70" w:type="dxa"/>
              <w:left w:w="100" w:type="dxa"/>
              <w:right w:w="100" w:type="dxa"/>
            </w:tcMar>
          </w:tcPr>
          <w:p>
            <w:r>
              <w:rPr>
                <w:b/>
                <w:color w:val="334155"/>
                <w:sz w:val="19"/>
              </w:rPr>
              <w:t>Participantes de la Sesión:</w:t>
            </w:r>
          </w:p>
        </w:tc>
        <w:tc>
          <w:tcPr>
            <w:tcW w:type="dxa" w:w="6480"/>
            <w:shd w:fill="FFFFFF"/>
            <w:tcMar>
              <w:top w:w="70" w:type="dxa"/>
              <w:bottom w:w="70" w:type="dxa"/>
              <w:left w:w="100" w:type="dxa"/>
              <w:right w:w="100" w:type="dxa"/>
            </w:tcMar>
          </w:tcPr>
          <w:p>
            <w:r>
              <w:rPr>
                <w:sz w:val="19"/>
              </w:rPr>
              <w:t>Alma (Líder Servicio al Cliente), Andrea Ramírez (ATC / Operaciones),</w:t>
              <w:br/>
              <w:t>Ricardo Zerpa (Arquitectura Movida TCI), Jonathan Palacios (Líder Técnico Movida TCI)</w:t>
            </w:r>
          </w:p>
        </w:tc>
      </w:tr>
      <w:tr>
        <w:tc>
          <w:tcPr>
            <w:tcW w:type="dxa" w:w="3168"/>
            <w:shd w:fill="F1F5F9"/>
            <w:tcMar>
              <w:top w:w="70" w:type="dxa"/>
              <w:bottom w:w="70" w:type="dxa"/>
              <w:left w:w="100" w:type="dxa"/>
              <w:right w:w="100" w:type="dxa"/>
            </w:tcMar>
          </w:tcPr>
          <w:p>
            <w:r>
              <w:rPr>
                <w:b/>
                <w:color w:val="334155"/>
                <w:sz w:val="19"/>
              </w:rPr>
              <w:t>Estatus del Entregable:</w:t>
            </w:r>
          </w:p>
        </w:tc>
        <w:tc>
          <w:tcPr>
            <w:tcW w:type="dxa" w:w="6480"/>
            <w:shd w:fill="FFFFFF"/>
            <w:tcMar>
              <w:top w:w="70" w:type="dxa"/>
              <w:bottom w:w="70" w:type="dxa"/>
              <w:left w:w="100" w:type="dxa"/>
              <w:right w:w="100" w:type="dxa"/>
            </w:tcMar>
          </w:tcPr>
          <w:p>
            <w:r>
              <w:rPr>
                <w:sz w:val="19"/>
              </w:rPr>
              <w:t>Versión 1.0 — Documento Vinculante para Validación, Firma y Control de Cambios</w:t>
            </w:r>
          </w:p>
        </w:tc>
      </w:tr>
    </w:tbl>
    <w:p>
      <w:pPr>
        <w:spacing w:after="240"/>
      </w:pPr>
    </w:p>
    <w:p>
      <w:pPr>
        <w:pStyle w:val="Heading1"/>
        <w:spacing w:before="280" w:after="120"/>
      </w:pPr>
      <w:r>
        <w:rPr>
          <w:color w:val="1E293B"/>
        </w:rPr>
        <w:t>1. Propósito y Marco de Aceptación Vinculante</w:t>
      </w:r>
    </w:p>
    <w:p>
      <w:r>
        <w:t>El presente documento tiene como finalidad plasmar de manera detallada, transparente e inequívoca todas las reglas de negocio, requerimientos operativos, candados de seguridad y flujos de trabajo levantados y consensuados durante la sesión de trabajo sostenida con el equipo de Atención al Cliente (ATC) de Formatex el 14 de octubre de 2026.</w:t>
        <w:br/>
        <w:br/>
        <w:t>Este documento servirá como memoria formal y anexo técnico vinculante. Una vez revisado y firmado por ambas partes, delimitará el comportamiento oficial que tendrá el módulo de Atención al Cliente y Ventas en el sistema WMS 360+ Formatex, previniendo ambigüedades sobre lo solicitado, lo comprometido y los criterios de aceptación durante las pruebas de usuario y la puesta en marcha.</w:t>
      </w:r>
    </w:p>
    <w:tbl>
      <w:tblPr>
        <w:tblW w:type="auto" w:w="0"/>
        <w:jc w:val="center"/>
        <w:tblLook w:firstColumn="1" w:firstRow="1" w:lastColumn="0" w:lastRow="0" w:noHBand="0" w:noVBand="1" w:val="04A0"/>
      </w:tblPr>
      <w:tblGrid>
        <w:gridCol w:w="9648"/>
      </w:tblGrid>
      <w:tr>
        <w:tc>
          <w:tcPr>
            <w:tcW w:type="dxa" w:w="9648"/>
            <w:shd w:fill="EFF6FF"/>
            <w:tcMar>
              <w:top w:w="100" w:type="dxa"/>
              <w:bottom w:w="100" w:type="dxa"/>
              <w:left w:w="140" w:type="dxa"/>
              <w:right w:w="140" w:type="dxa"/>
            </w:tcMar>
          </w:tcPr>
          <w:p>
            <w:r>
              <w:rPr>
                <w:b/>
                <w:color w:val="1E40AF"/>
              </w:rPr>
              <w:t>Principio Rector del Sistema 360° Formatex:</w:t>
              <w:br/>
            </w:r>
            <w:r>
              <w:rPr>
                <w:sz w:val="19"/>
              </w:rPr>
              <w:t>El área de Atención al Cliente es el nodo neurálgico que conecta las ventas de calle con el inventario físico de bodega, cobranza y logística de despacho. Todo dato ingresado en este módulo debe viajar con trazabilidad estricta, eliminando hojas de cálculo paralelas, erradicando errores de captura manual y asegurando que las decisiones comerciales cuenten con autorización gerencial explícita.</w:t>
            </w:r>
          </w:p>
        </w:tc>
      </w:tr>
    </w:tbl>
    <w:p>
      <w:pPr>
        <w:spacing w:after="160"/>
      </w:pPr>
    </w:p>
    <w:p>
      <w:pPr>
        <w:pStyle w:val="Heading1"/>
        <w:spacing w:before="280"/>
      </w:pPr>
      <w:r>
        <w:rPr>
          <w:color w:val="1E293B"/>
        </w:rPr>
        <w:t>2. Regla de Negocio 1: Registro y Perfilado de Clientes</w:t>
      </w:r>
    </w:p>
    <w:p>
      <w:r>
        <w:t>2.1. Origen y Responsabilidad del Registro:</w:t>
        <w:br/>
        <w:t>• El proceso comercial inicia cuando los agentes de ventas foráneos y locales ('callejeros') envían por correo o mensajería la documentación completa del prospecto.</w:t>
        <w:br/>
        <w:t>• El personal de Atención al Cliente (ATC) es el único facultado para registrar el alta formal del cliente en el WMS.</w:t>
        <w:br/>
        <w:br/>
        <w:t>2.2. Expediente Digital Obligatorio del Cliente:</w:t>
        <w:br/>
        <w:t>Para que un cliente sea habilitado para recibir cotizaciones a crédito o de mayoreo, ATC deberá corroborar y registrar:</w:t>
        <w:br/>
        <w:t xml:space="preserve">  a) Razón Social y RFC validado contra la Constancia de Situación Fiscal (CSF).</w:t>
        <w:br/>
        <w:t xml:space="preserve">  b) Domicilio Fiscal Matriz (calle, número exterior/interior, colonia, municipio, estado, C.P.).</w:t>
        <w:br/>
        <w:t xml:space="preserve">  c) Carta de Selección de Fletera Oficial debidamente firmada por el cliente, en donde se especifica si contrata o declina el seguro de transporte de mercancía en carretera.</w:t>
        <w:br/>
        <w:t xml:space="preserve">  d) Contacto de Compras y Contacto de Pagos/Tesorería (teléfono fijo, celular directo y correo para envío automático de CFDI).</w:t>
        <w:br/>
        <w:br/>
        <w:t>2.3. Estructura Multi-Domicilio (Destinos Alternos de Entrega):</w:t>
        <w:br/>
        <w:t>• En la práctica textil de Formatex, la mayoría de los clientes fabricantes o distribuidores no reciben la tela en su domicilio fiscal, sino en talleres de tapicería externos, sucursales o bodegas alternas (ej. Bodega Zapopan, Taller Tapicería Punto Sur).</w:t>
        <w:br/>
        <w:t>• El WMS permite asociar N domicilios de entrega a cada cliente, identificando para cada uno: alias de la sucursal, dirección completa, nombre del encargado de almacén que recibe, teléfono móvil directo y horario de recepción autorizado.</w:t>
        <w:br/>
        <w:br/>
        <w:t>2.4. Tratamiento Diferenciado para Clientes Web / Ocasionales:</w:t>
        <w:br/>
        <w:t>• Los clientes que realizan compras esporádicas a través de la página web (personas físicas de una sola compra) no se mezclan con el catálogo mayorista de ATC, sino que son gestionados por la Asesora de Servicio a Clientes del área de Marketing.</w:t>
        <w:br/>
        <w:t>• En estos casos se aplican precios de lista web sin requerir alta corporativa, emitiéndose factura al público en general (RFC genérico) o CFDI individual si el usuario lo solicita expresamente.</w:t>
      </w:r>
    </w:p>
    <w:p>
      <w:pPr>
        <w:pStyle w:val="Heading1"/>
        <w:spacing w:before="280"/>
      </w:pPr>
      <w:r>
        <w:rPr>
          <w:color w:val="1E293B"/>
        </w:rPr>
        <w:t>3. Regla de Negocio 2: Catálogo de Listas de Precios y Gobernanza de Modificación</w:t>
      </w:r>
    </w:p>
    <w:p>
      <w:r>
        <w:t>3.1. Las 10 Listas Oficiales de Formatex:</w:t>
        <w:br/>
        <w:t>El sistema reemplaza cualquier esquema genérico anterior para adoptar de forma estricta las 10 listas oficiales informadas por la jefatura de ATC, cada una vinculada al perfil comercial del comprador:</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412"/>
            <w:shd w:fill="1E293B"/>
            <w:tcMar>
              <w:top w:w="80" w:type="dxa"/>
              <w:bottom w:w="80" w:type="dxa"/>
              <w:left w:w="90" w:type="dxa"/>
              <w:right w:w="90" w:type="dxa"/>
            </w:tcMar>
          </w:tcPr>
          <w:p>
            <w:r>
              <w:rPr>
                <w:b/>
                <w:color w:val="FFFFFF"/>
                <w:sz w:val="17"/>
              </w:rPr>
              <w:t>Código</w:t>
            </w:r>
          </w:p>
        </w:tc>
        <w:tc>
          <w:tcPr>
            <w:tcW w:type="dxa" w:w="2412"/>
            <w:shd w:fill="1E293B"/>
            <w:tcMar>
              <w:top w:w="80" w:type="dxa"/>
              <w:bottom w:w="80" w:type="dxa"/>
              <w:left w:w="90" w:type="dxa"/>
              <w:right w:w="90" w:type="dxa"/>
            </w:tcMar>
          </w:tcPr>
          <w:p>
            <w:r>
              <w:rPr>
                <w:b/>
                <w:color w:val="FFFFFF"/>
                <w:sz w:val="17"/>
              </w:rPr>
              <w:t>Nombre de la Lista</w:t>
            </w:r>
          </w:p>
        </w:tc>
        <w:tc>
          <w:tcPr>
            <w:tcW w:type="dxa" w:w="2412"/>
            <w:shd w:fill="1E293B"/>
            <w:tcMar>
              <w:top w:w="80" w:type="dxa"/>
              <w:bottom w:w="80" w:type="dxa"/>
              <w:left w:w="90" w:type="dxa"/>
              <w:right w:w="90" w:type="dxa"/>
            </w:tcMar>
          </w:tcPr>
          <w:p>
            <w:r>
              <w:rPr>
                <w:b/>
                <w:color w:val="FFFFFF"/>
                <w:sz w:val="17"/>
              </w:rPr>
              <w:t>Perfil Objetivo</w:t>
            </w:r>
          </w:p>
        </w:tc>
        <w:tc>
          <w:tcPr>
            <w:tcW w:type="dxa" w:w="2412"/>
            <w:shd w:fill="1E293B"/>
            <w:tcMar>
              <w:top w:w="80" w:type="dxa"/>
              <w:bottom w:w="80" w:type="dxa"/>
              <w:left w:w="90" w:type="dxa"/>
              <w:right w:w="90" w:type="dxa"/>
            </w:tcMar>
          </w:tcPr>
          <w:p>
            <w:r>
              <w:rPr>
                <w:b/>
                <w:color w:val="FFFFFF"/>
                <w:sz w:val="17"/>
              </w:rPr>
              <w:t>Nivel de Autorización Requerido</w:t>
            </w:r>
          </w:p>
        </w:tc>
      </w:tr>
      <w:tr>
        <w:tc>
          <w:tcPr>
            <w:tcW w:type="dxa" w:w="1152"/>
            <w:shd w:fill="F8FAFC"/>
            <w:tcMar>
              <w:top w:w="50" w:type="dxa"/>
              <w:bottom w:w="50" w:type="dxa"/>
              <w:left w:w="80" w:type="dxa"/>
              <w:right w:w="80" w:type="dxa"/>
            </w:tcMar>
          </w:tcPr>
          <w:p>
            <w:r>
              <w:rPr>
                <w:b/>
                <w:sz w:val="17"/>
              </w:rPr>
              <w:t>F1</w:t>
            </w:r>
          </w:p>
        </w:tc>
        <w:tc>
          <w:tcPr>
            <w:tcW w:type="dxa" w:w="2592"/>
            <w:shd w:fill="F8FAFC"/>
            <w:tcMar>
              <w:top w:w="50" w:type="dxa"/>
              <w:bottom w:w="50" w:type="dxa"/>
              <w:left w:w="80" w:type="dxa"/>
              <w:right w:w="80" w:type="dxa"/>
            </w:tcMar>
          </w:tcPr>
          <w:p>
            <w:r>
              <w:rPr>
                <w:sz w:val="17"/>
              </w:rPr>
              <w:t>Casa Decoradora</w:t>
            </w:r>
          </w:p>
        </w:tc>
        <w:tc>
          <w:tcPr>
            <w:tcW w:type="dxa" w:w="3312"/>
            <w:shd w:fill="F8FAFC"/>
            <w:tcMar>
              <w:top w:w="50" w:type="dxa"/>
              <w:bottom w:w="50" w:type="dxa"/>
              <w:left w:w="80" w:type="dxa"/>
              <w:right w:w="80" w:type="dxa"/>
            </w:tcMar>
          </w:tcPr>
          <w:p>
            <w:r>
              <w:rPr>
                <w:sz w:val="17"/>
              </w:rPr>
              <w:t>Estudios de interiorismo, diseñadores y decoradores</w:t>
            </w:r>
          </w:p>
        </w:tc>
        <w:tc>
          <w:tcPr>
            <w:tcW w:type="dxa" w:w="2592"/>
            <w:shd w:fill="F8FAFC"/>
            <w:tcMar>
              <w:top w:w="50" w:type="dxa"/>
              <w:bottom w:w="50" w:type="dxa"/>
              <w:left w:w="80" w:type="dxa"/>
              <w:right w:w="80" w:type="dxa"/>
            </w:tcMar>
          </w:tcPr>
          <w:p>
            <w:r>
              <w:rPr>
                <w:sz w:val="17"/>
              </w:rPr>
              <w:t>Asignación Estándar (Sin aprobación)</w:t>
            </w:r>
          </w:p>
        </w:tc>
      </w:tr>
      <w:tr>
        <w:tc>
          <w:tcPr>
            <w:tcW w:type="dxa" w:w="1152"/>
            <w:shd w:fill="FFFFFF"/>
            <w:tcMar>
              <w:top w:w="50" w:type="dxa"/>
              <w:bottom w:w="50" w:type="dxa"/>
              <w:left w:w="80" w:type="dxa"/>
              <w:right w:w="80" w:type="dxa"/>
            </w:tcMar>
          </w:tcPr>
          <w:p>
            <w:r>
              <w:rPr>
                <w:b/>
                <w:sz w:val="17"/>
              </w:rPr>
              <w:t>F2</w:t>
            </w:r>
          </w:p>
        </w:tc>
        <w:tc>
          <w:tcPr>
            <w:tcW w:type="dxa" w:w="2592"/>
            <w:shd w:fill="FFFFFF"/>
            <w:tcMar>
              <w:top w:w="50" w:type="dxa"/>
              <w:bottom w:w="50" w:type="dxa"/>
              <w:left w:w="80" w:type="dxa"/>
              <w:right w:w="80" w:type="dxa"/>
            </w:tcMar>
          </w:tcPr>
          <w:p>
            <w:r>
              <w:rPr>
                <w:sz w:val="17"/>
              </w:rPr>
              <w:t>Tienda</w:t>
            </w:r>
          </w:p>
        </w:tc>
        <w:tc>
          <w:tcPr>
            <w:tcW w:type="dxa" w:w="3312"/>
            <w:shd w:fill="FFFFFF"/>
            <w:tcMar>
              <w:top w:w="50" w:type="dxa"/>
              <w:bottom w:w="50" w:type="dxa"/>
              <w:left w:w="80" w:type="dxa"/>
              <w:right w:w="80" w:type="dxa"/>
            </w:tcMar>
          </w:tcPr>
          <w:p>
            <w:r>
              <w:rPr>
                <w:sz w:val="17"/>
              </w:rPr>
              <w:t>Locales comerciales de venta de tela y retail</w:t>
            </w:r>
          </w:p>
        </w:tc>
        <w:tc>
          <w:tcPr>
            <w:tcW w:type="dxa" w:w="2592"/>
            <w:shd w:fill="FFFFFF"/>
            <w:tcMar>
              <w:top w:w="50" w:type="dxa"/>
              <w:bottom w:w="50" w:type="dxa"/>
              <w:left w:w="80" w:type="dxa"/>
              <w:right w:w="80" w:type="dxa"/>
            </w:tcMar>
          </w:tcPr>
          <w:p>
            <w:r>
              <w:rPr>
                <w:sz w:val="17"/>
              </w:rPr>
              <w:t>Asignación Estándar (Sin aprobación)</w:t>
            </w:r>
          </w:p>
        </w:tc>
      </w:tr>
      <w:tr>
        <w:tc>
          <w:tcPr>
            <w:tcW w:type="dxa" w:w="1152"/>
            <w:shd w:fill="F8FAFC"/>
            <w:tcMar>
              <w:top w:w="50" w:type="dxa"/>
              <w:bottom w:w="50" w:type="dxa"/>
              <w:left w:w="80" w:type="dxa"/>
              <w:right w:w="80" w:type="dxa"/>
            </w:tcMar>
          </w:tcPr>
          <w:p>
            <w:r>
              <w:rPr>
                <w:b/>
                <w:sz w:val="17"/>
              </w:rPr>
              <w:t>F3</w:t>
            </w:r>
          </w:p>
        </w:tc>
        <w:tc>
          <w:tcPr>
            <w:tcW w:type="dxa" w:w="2592"/>
            <w:shd w:fill="F8FAFC"/>
            <w:tcMar>
              <w:top w:w="50" w:type="dxa"/>
              <w:bottom w:w="50" w:type="dxa"/>
              <w:left w:w="80" w:type="dxa"/>
              <w:right w:w="80" w:type="dxa"/>
            </w:tcMar>
          </w:tcPr>
          <w:p>
            <w:r>
              <w:rPr>
                <w:sz w:val="17"/>
              </w:rPr>
              <w:t>Tienda Especial</w:t>
            </w:r>
          </w:p>
        </w:tc>
        <w:tc>
          <w:tcPr>
            <w:tcW w:type="dxa" w:w="3312"/>
            <w:shd w:fill="F8FAFC"/>
            <w:tcMar>
              <w:top w:w="50" w:type="dxa"/>
              <w:bottom w:w="50" w:type="dxa"/>
              <w:left w:w="80" w:type="dxa"/>
              <w:right w:w="80" w:type="dxa"/>
            </w:tcMar>
          </w:tcPr>
          <w:p>
            <w:r>
              <w:rPr>
                <w:sz w:val="17"/>
              </w:rPr>
              <w:t>Tiendas con acuerdos de volumen intermedio</w:t>
            </w:r>
          </w:p>
        </w:tc>
        <w:tc>
          <w:tcPr>
            <w:tcW w:type="dxa" w:w="2592"/>
            <w:shd w:fill="F8FAFC"/>
            <w:tcMar>
              <w:top w:w="50" w:type="dxa"/>
              <w:bottom w:w="50" w:type="dxa"/>
              <w:left w:w="80" w:type="dxa"/>
              <w:right w:w="80" w:type="dxa"/>
            </w:tcMar>
          </w:tcPr>
          <w:p>
            <w:r>
              <w:rPr>
                <w:b/>
                <w:color w:val="B91C1C"/>
                <w:sz w:val="17"/>
              </w:rPr>
              <w:t>REQUIERE AUTORIZACIÓN GERENCIAL (Alma)</w:t>
            </w:r>
          </w:p>
        </w:tc>
      </w:tr>
      <w:tr>
        <w:tc>
          <w:tcPr>
            <w:tcW w:type="dxa" w:w="1152"/>
            <w:shd w:fill="FFFFFF"/>
            <w:tcMar>
              <w:top w:w="50" w:type="dxa"/>
              <w:bottom w:w="50" w:type="dxa"/>
              <w:left w:w="80" w:type="dxa"/>
              <w:right w:w="80" w:type="dxa"/>
            </w:tcMar>
          </w:tcPr>
          <w:p>
            <w:r>
              <w:rPr>
                <w:b/>
                <w:sz w:val="17"/>
              </w:rPr>
              <w:t>F4</w:t>
            </w:r>
          </w:p>
        </w:tc>
        <w:tc>
          <w:tcPr>
            <w:tcW w:type="dxa" w:w="2592"/>
            <w:shd w:fill="FFFFFF"/>
            <w:tcMar>
              <w:top w:w="50" w:type="dxa"/>
              <w:bottom w:w="50" w:type="dxa"/>
              <w:left w:w="80" w:type="dxa"/>
              <w:right w:w="80" w:type="dxa"/>
            </w:tcMar>
          </w:tcPr>
          <w:p>
            <w:r>
              <w:rPr>
                <w:sz w:val="17"/>
              </w:rPr>
              <w:t>Fabricante</w:t>
            </w:r>
          </w:p>
        </w:tc>
        <w:tc>
          <w:tcPr>
            <w:tcW w:type="dxa" w:w="3312"/>
            <w:shd w:fill="FFFFFF"/>
            <w:tcMar>
              <w:top w:w="50" w:type="dxa"/>
              <w:bottom w:w="50" w:type="dxa"/>
              <w:left w:w="80" w:type="dxa"/>
              <w:right w:w="80" w:type="dxa"/>
            </w:tcMar>
          </w:tcPr>
          <w:p>
            <w:r>
              <w:rPr>
                <w:sz w:val="17"/>
              </w:rPr>
              <w:t>Fabricantes de muebles y tapicería estándar</w:t>
            </w:r>
          </w:p>
        </w:tc>
        <w:tc>
          <w:tcPr>
            <w:tcW w:type="dxa" w:w="2592"/>
            <w:shd w:fill="FFFFFF"/>
            <w:tcMar>
              <w:top w:w="50" w:type="dxa"/>
              <w:bottom w:w="50" w:type="dxa"/>
              <w:left w:w="80" w:type="dxa"/>
              <w:right w:w="80" w:type="dxa"/>
            </w:tcMar>
          </w:tcPr>
          <w:p>
            <w:r>
              <w:rPr>
                <w:sz w:val="17"/>
              </w:rPr>
              <w:t>Asignación Estándar (Sin aprobación)</w:t>
            </w:r>
          </w:p>
        </w:tc>
      </w:tr>
      <w:tr>
        <w:tc>
          <w:tcPr>
            <w:tcW w:type="dxa" w:w="1152"/>
            <w:shd w:fill="F8FAFC"/>
            <w:tcMar>
              <w:top w:w="50" w:type="dxa"/>
              <w:bottom w:w="50" w:type="dxa"/>
              <w:left w:w="80" w:type="dxa"/>
              <w:right w:w="80" w:type="dxa"/>
            </w:tcMar>
          </w:tcPr>
          <w:p>
            <w:r>
              <w:rPr>
                <w:b/>
                <w:sz w:val="17"/>
              </w:rPr>
              <w:t>F5</w:t>
            </w:r>
          </w:p>
        </w:tc>
        <w:tc>
          <w:tcPr>
            <w:tcW w:type="dxa" w:w="2592"/>
            <w:shd w:fill="F8FAFC"/>
            <w:tcMar>
              <w:top w:w="50" w:type="dxa"/>
              <w:bottom w:w="50" w:type="dxa"/>
              <w:left w:w="80" w:type="dxa"/>
              <w:right w:w="80" w:type="dxa"/>
            </w:tcMar>
          </w:tcPr>
          <w:p>
            <w:r>
              <w:rPr>
                <w:sz w:val="17"/>
              </w:rPr>
              <w:t>Fabricante Especial</w:t>
            </w:r>
          </w:p>
        </w:tc>
        <w:tc>
          <w:tcPr>
            <w:tcW w:type="dxa" w:w="3312"/>
            <w:shd w:fill="F8FAFC"/>
            <w:tcMar>
              <w:top w:w="50" w:type="dxa"/>
              <w:bottom w:w="50" w:type="dxa"/>
              <w:left w:w="80" w:type="dxa"/>
              <w:right w:w="80" w:type="dxa"/>
            </w:tcMar>
          </w:tcPr>
          <w:p>
            <w:r>
              <w:rPr>
                <w:sz w:val="17"/>
              </w:rPr>
              <w:t>Fabricantes de gran escala con volumen preferencial</w:t>
            </w:r>
          </w:p>
        </w:tc>
        <w:tc>
          <w:tcPr>
            <w:tcW w:type="dxa" w:w="2592"/>
            <w:shd w:fill="F8FAFC"/>
            <w:tcMar>
              <w:top w:w="50" w:type="dxa"/>
              <w:bottom w:w="50" w:type="dxa"/>
              <w:left w:w="80" w:type="dxa"/>
              <w:right w:w="80" w:type="dxa"/>
            </w:tcMar>
          </w:tcPr>
          <w:p>
            <w:r>
              <w:rPr>
                <w:b/>
                <w:color w:val="B91C1C"/>
                <w:sz w:val="17"/>
              </w:rPr>
              <w:t>REQUIERE AUTORIZACIÓN GERENCIAL (Alma)</w:t>
            </w:r>
          </w:p>
        </w:tc>
      </w:tr>
      <w:tr>
        <w:tc>
          <w:tcPr>
            <w:tcW w:type="dxa" w:w="1152"/>
            <w:shd w:fill="FFFFFF"/>
            <w:tcMar>
              <w:top w:w="50" w:type="dxa"/>
              <w:bottom w:w="50" w:type="dxa"/>
              <w:left w:w="80" w:type="dxa"/>
              <w:right w:w="80" w:type="dxa"/>
            </w:tcMar>
          </w:tcPr>
          <w:p>
            <w:r>
              <w:rPr>
                <w:b/>
                <w:sz w:val="17"/>
              </w:rPr>
              <w:t>F6</w:t>
            </w:r>
          </w:p>
        </w:tc>
        <w:tc>
          <w:tcPr>
            <w:tcW w:type="dxa" w:w="2592"/>
            <w:shd w:fill="FFFFFF"/>
            <w:tcMar>
              <w:top w:w="50" w:type="dxa"/>
              <w:bottom w:w="50" w:type="dxa"/>
              <w:left w:w="80" w:type="dxa"/>
              <w:right w:w="80" w:type="dxa"/>
            </w:tcMar>
          </w:tcPr>
          <w:p>
            <w:r>
              <w:rPr>
                <w:sz w:val="17"/>
              </w:rPr>
              <w:t>Distribuidor</w:t>
            </w:r>
          </w:p>
        </w:tc>
        <w:tc>
          <w:tcPr>
            <w:tcW w:type="dxa" w:w="3312"/>
            <w:shd w:fill="FFFFFF"/>
            <w:tcMar>
              <w:top w:w="50" w:type="dxa"/>
              <w:bottom w:w="50" w:type="dxa"/>
              <w:left w:w="80" w:type="dxa"/>
              <w:right w:w="80" w:type="dxa"/>
            </w:tcMar>
          </w:tcPr>
          <w:p>
            <w:r>
              <w:rPr>
                <w:sz w:val="17"/>
              </w:rPr>
              <w:t>Mayoristas de reventa regional</w:t>
            </w:r>
          </w:p>
        </w:tc>
        <w:tc>
          <w:tcPr>
            <w:tcW w:type="dxa" w:w="2592"/>
            <w:shd w:fill="FFFFFF"/>
            <w:tcMar>
              <w:top w:w="50" w:type="dxa"/>
              <w:bottom w:w="50" w:type="dxa"/>
              <w:left w:w="80" w:type="dxa"/>
              <w:right w:w="80" w:type="dxa"/>
            </w:tcMar>
          </w:tcPr>
          <w:p>
            <w:r>
              <w:rPr>
                <w:sz w:val="17"/>
              </w:rPr>
              <w:t>Asignación Estándar (Sin aprobación)</w:t>
            </w:r>
          </w:p>
        </w:tc>
      </w:tr>
      <w:tr>
        <w:tc>
          <w:tcPr>
            <w:tcW w:type="dxa" w:w="1152"/>
            <w:shd w:fill="F8FAFC"/>
            <w:tcMar>
              <w:top w:w="50" w:type="dxa"/>
              <w:bottom w:w="50" w:type="dxa"/>
              <w:left w:w="80" w:type="dxa"/>
              <w:right w:w="80" w:type="dxa"/>
            </w:tcMar>
          </w:tcPr>
          <w:p>
            <w:r>
              <w:rPr>
                <w:b/>
                <w:sz w:val="17"/>
              </w:rPr>
              <w:t>F7</w:t>
            </w:r>
          </w:p>
        </w:tc>
        <w:tc>
          <w:tcPr>
            <w:tcW w:type="dxa" w:w="2592"/>
            <w:shd w:fill="F8FAFC"/>
            <w:tcMar>
              <w:top w:w="50" w:type="dxa"/>
              <w:bottom w:w="50" w:type="dxa"/>
              <w:left w:w="80" w:type="dxa"/>
              <w:right w:w="80" w:type="dxa"/>
            </w:tcMar>
          </w:tcPr>
          <w:p>
            <w:r>
              <w:rPr>
                <w:sz w:val="17"/>
              </w:rPr>
              <w:t>Distribuidor Especial</w:t>
            </w:r>
          </w:p>
        </w:tc>
        <w:tc>
          <w:tcPr>
            <w:tcW w:type="dxa" w:w="3312"/>
            <w:shd w:fill="F8FAFC"/>
            <w:tcMar>
              <w:top w:w="50" w:type="dxa"/>
              <w:bottom w:w="50" w:type="dxa"/>
              <w:left w:w="80" w:type="dxa"/>
              <w:right w:w="80" w:type="dxa"/>
            </w:tcMar>
          </w:tcPr>
          <w:p>
            <w:r>
              <w:rPr>
                <w:sz w:val="17"/>
              </w:rPr>
              <w:t>Distribuidores estratégicos de alto volumen</w:t>
            </w:r>
          </w:p>
        </w:tc>
        <w:tc>
          <w:tcPr>
            <w:tcW w:type="dxa" w:w="2592"/>
            <w:shd w:fill="F8FAFC"/>
            <w:tcMar>
              <w:top w:w="50" w:type="dxa"/>
              <w:bottom w:w="50" w:type="dxa"/>
              <w:left w:w="80" w:type="dxa"/>
              <w:right w:w="80" w:type="dxa"/>
            </w:tcMar>
          </w:tcPr>
          <w:p>
            <w:r>
              <w:rPr>
                <w:b/>
                <w:color w:val="B91C1C"/>
                <w:sz w:val="17"/>
              </w:rPr>
              <w:t>REQUIERE AUTORIZACIÓN GERENCIAL (Alma)</w:t>
            </w:r>
          </w:p>
        </w:tc>
      </w:tr>
      <w:tr>
        <w:tc>
          <w:tcPr>
            <w:tcW w:type="dxa" w:w="1152"/>
            <w:shd w:fill="FFFFFF"/>
            <w:tcMar>
              <w:top w:w="50" w:type="dxa"/>
              <w:bottom w:w="50" w:type="dxa"/>
              <w:left w:w="80" w:type="dxa"/>
              <w:right w:w="80" w:type="dxa"/>
            </w:tcMar>
          </w:tcPr>
          <w:p>
            <w:r>
              <w:rPr>
                <w:b/>
                <w:sz w:val="17"/>
              </w:rPr>
              <w:t>F8</w:t>
            </w:r>
          </w:p>
        </w:tc>
        <w:tc>
          <w:tcPr>
            <w:tcW w:type="dxa" w:w="2592"/>
            <w:shd w:fill="FFFFFF"/>
            <w:tcMar>
              <w:top w:w="50" w:type="dxa"/>
              <w:bottom w:w="50" w:type="dxa"/>
              <w:left w:w="80" w:type="dxa"/>
              <w:right w:w="80" w:type="dxa"/>
            </w:tcMar>
          </w:tcPr>
          <w:p>
            <w:r>
              <w:rPr>
                <w:sz w:val="17"/>
              </w:rPr>
              <w:t>Cliente Premium</w:t>
            </w:r>
          </w:p>
        </w:tc>
        <w:tc>
          <w:tcPr>
            <w:tcW w:type="dxa" w:w="3312"/>
            <w:shd w:fill="FFFFFF"/>
            <w:tcMar>
              <w:top w:w="50" w:type="dxa"/>
              <w:bottom w:w="50" w:type="dxa"/>
              <w:left w:w="80" w:type="dxa"/>
              <w:right w:w="80" w:type="dxa"/>
            </w:tcMar>
          </w:tcPr>
          <w:p>
            <w:r>
              <w:rPr>
                <w:sz w:val="17"/>
              </w:rPr>
              <w:t>Cuentas clave institucionales de máxima fidelidad</w:t>
            </w:r>
          </w:p>
        </w:tc>
        <w:tc>
          <w:tcPr>
            <w:tcW w:type="dxa" w:w="2592"/>
            <w:shd w:fill="FFFFFF"/>
            <w:tcMar>
              <w:top w:w="50" w:type="dxa"/>
              <w:bottom w:w="50" w:type="dxa"/>
              <w:left w:w="80" w:type="dxa"/>
              <w:right w:w="80" w:type="dxa"/>
            </w:tcMar>
          </w:tcPr>
          <w:p>
            <w:r>
              <w:rPr>
                <w:sz w:val="17"/>
              </w:rPr>
              <w:t>Asignación Estándar (Perfilada al alta)</w:t>
            </w:r>
          </w:p>
        </w:tc>
      </w:tr>
      <w:tr>
        <w:tc>
          <w:tcPr>
            <w:tcW w:type="dxa" w:w="1152"/>
            <w:shd w:fill="F8FAFC"/>
            <w:tcMar>
              <w:top w:w="50" w:type="dxa"/>
              <w:bottom w:w="50" w:type="dxa"/>
              <w:left w:w="80" w:type="dxa"/>
              <w:right w:w="80" w:type="dxa"/>
            </w:tcMar>
          </w:tcPr>
          <w:p>
            <w:r>
              <w:rPr>
                <w:b/>
                <w:sz w:val="17"/>
              </w:rPr>
              <w:t>F9</w:t>
            </w:r>
          </w:p>
        </w:tc>
        <w:tc>
          <w:tcPr>
            <w:tcW w:type="dxa" w:w="2592"/>
            <w:shd w:fill="F8FAFC"/>
            <w:tcMar>
              <w:top w:w="50" w:type="dxa"/>
              <w:bottom w:w="50" w:type="dxa"/>
              <w:left w:w="80" w:type="dxa"/>
              <w:right w:w="80" w:type="dxa"/>
            </w:tcMar>
          </w:tcPr>
          <w:p>
            <w:r>
              <w:rPr>
                <w:sz w:val="17"/>
              </w:rPr>
              <w:t>Precio Dirección / Mayorista</w:t>
            </w:r>
          </w:p>
        </w:tc>
        <w:tc>
          <w:tcPr>
            <w:tcW w:type="dxa" w:w="3312"/>
            <w:shd w:fill="F8FAFC"/>
            <w:tcMar>
              <w:top w:w="50" w:type="dxa"/>
              <w:bottom w:w="50" w:type="dxa"/>
              <w:left w:w="80" w:type="dxa"/>
              <w:right w:w="80" w:type="dxa"/>
            </w:tcMar>
          </w:tcPr>
          <w:p>
            <w:r>
              <w:rPr>
                <w:sz w:val="17"/>
              </w:rPr>
              <w:t>Negociaciones directas de volumen excepcional</w:t>
            </w:r>
          </w:p>
        </w:tc>
        <w:tc>
          <w:tcPr>
            <w:tcW w:type="dxa" w:w="2592"/>
            <w:shd w:fill="F8FAFC"/>
            <w:tcMar>
              <w:top w:w="50" w:type="dxa"/>
              <w:bottom w:w="50" w:type="dxa"/>
              <w:left w:w="80" w:type="dxa"/>
              <w:right w:w="80" w:type="dxa"/>
            </w:tcMar>
          </w:tcPr>
          <w:p>
            <w:r>
              <w:rPr>
                <w:b/>
                <w:color w:val="B91C1C"/>
                <w:sz w:val="17"/>
              </w:rPr>
              <w:t>REQUIERE AUTORIZACIÓN DE DIRECCIÓN / ALMA</w:t>
            </w:r>
          </w:p>
        </w:tc>
      </w:tr>
      <w:tr>
        <w:tc>
          <w:tcPr>
            <w:tcW w:type="dxa" w:w="1152"/>
            <w:shd w:fill="FFFFFF"/>
            <w:tcMar>
              <w:top w:w="50" w:type="dxa"/>
              <w:bottom w:w="50" w:type="dxa"/>
              <w:left w:w="80" w:type="dxa"/>
              <w:right w:w="80" w:type="dxa"/>
            </w:tcMar>
          </w:tcPr>
          <w:p>
            <w:r>
              <w:rPr>
                <w:b/>
                <w:sz w:val="17"/>
              </w:rPr>
              <w:t>F10</w:t>
            </w:r>
          </w:p>
        </w:tc>
        <w:tc>
          <w:tcPr>
            <w:tcW w:type="dxa" w:w="2592"/>
            <w:shd w:fill="FFFFFF"/>
            <w:tcMar>
              <w:top w:w="50" w:type="dxa"/>
              <w:bottom w:w="50" w:type="dxa"/>
              <w:left w:w="80" w:type="dxa"/>
              <w:right w:w="80" w:type="dxa"/>
            </w:tcMar>
          </w:tcPr>
          <w:p>
            <w:r>
              <w:rPr>
                <w:sz w:val="17"/>
              </w:rPr>
              <w:t>Venta Web / Asesor Externo</w:t>
            </w:r>
          </w:p>
        </w:tc>
        <w:tc>
          <w:tcPr>
            <w:tcW w:type="dxa" w:w="3312"/>
            <w:shd w:fill="FFFFFF"/>
            <w:tcMar>
              <w:top w:w="50" w:type="dxa"/>
              <w:bottom w:w="50" w:type="dxa"/>
              <w:left w:w="80" w:type="dxa"/>
              <w:right w:w="80" w:type="dxa"/>
            </w:tcMar>
          </w:tcPr>
          <w:p>
            <w:r>
              <w:rPr>
                <w:sz w:val="17"/>
              </w:rPr>
              <w:t>Público general y asesores digitales externos</w:t>
            </w:r>
          </w:p>
        </w:tc>
        <w:tc>
          <w:tcPr>
            <w:tcW w:type="dxa" w:w="2592"/>
            <w:shd w:fill="FFFFFF"/>
            <w:tcMar>
              <w:top w:w="50" w:type="dxa"/>
              <w:bottom w:w="50" w:type="dxa"/>
              <w:left w:w="80" w:type="dxa"/>
              <w:right w:w="80" w:type="dxa"/>
            </w:tcMar>
          </w:tcPr>
          <w:p>
            <w:r>
              <w:rPr>
                <w:sz w:val="17"/>
              </w:rPr>
              <w:t>Asignación Estándar Web (Marketing)</w:t>
            </w:r>
          </w:p>
        </w:tc>
      </w:tr>
    </w:tbl>
    <w:p>
      <w:pPr>
        <w:spacing w:after="120"/>
      </w:pPr>
    </w:p>
    <w:p>
      <w:r>
        <w:t>3.2. Candado de Modificación de Lista en Cotización:</w:t>
        <w:br/>
        <w:t>• Cada cliente tiene su lista de precios oficial precargada en su ficha de catálogo.</w:t>
        <w:br/>
        <w:t>• Si un agente comercial acuerda verbalmente con el cliente aplicar una lista más baja o una lista especial (ej. F5 en lugar de F1) para una cotización específica, el sistema BLOQUEA el guardado directo.</w:t>
        <w:br/>
        <w:t>• La cotización entra en estado 'REQUIERE_AUTORIZACION', notificando a la Supervisora de ATC (Alma). Únicamente tras la aprobación gerencial (registrando usuario, fecha, hora y motivo) la cotización podrá avanzar al flujo de cobro y surtido.</w:t>
      </w:r>
    </w:p>
    <w:p>
      <w:pPr>
        <w:pStyle w:val="Heading1"/>
        <w:spacing w:before="280"/>
      </w:pPr>
      <w:r>
        <w:rPr>
          <w:color w:val="1E293B"/>
        </w:rPr>
        <w:t>4. Regla de Negocio 3: Privacidad y Confidencialidad de Márgenes</w:t>
      </w:r>
    </w:p>
    <w:p>
      <w:r>
        <w:t>4.1. Ocultamiento de Porcentajes de Comisión para Perfiles Operativos:</w:t>
        <w:br/>
        <w:t>• Durante la revisión del prototipo se identificó que aparecían etiquetas con porcentajes internos (ej. 'F2 — Estándar (2.25%)').</w:t>
        <w:br/>
        <w:t>• Queda formalmente estipulado que las chicas de Atención al Cliente y los agentes de ventas de calle NO DEBEN VER bajo ninguna circunstancia el desglose de comisiones ni los porcentajes de margen bruto de Formatex.</w:t>
        <w:br/>
        <w:t>• En la pantalla de cotización, el operador únicamente visualizará el precio final unitario por metro ($/m) resultante.</w:t>
        <w:br/>
        <w:t>• La visibilidad de márgenes, costos base y comisiones de agentes queda restringida exclusivamente a los roles 'ADMIN' y 'GERENCIA'.</w:t>
      </w:r>
    </w:p>
    <w:p>
      <w:pPr>
        <w:pStyle w:val="Heading1"/>
        <w:spacing w:before="280"/>
      </w:pPr>
      <w:r>
        <w:rPr>
          <w:color w:val="1E293B"/>
        </w:rPr>
        <w:t>5. Regla de Negocio 4: Matriz Centralizada de Precios Especiales</w:t>
      </w:r>
    </w:p>
    <w:p>
      <w:r>
        <w:t>5.1. Problemática Operativa Actual Identificada:</w:t>
        <w:br/>
        <w:t>• Dirección General pacta con frecuencia precios especiales para proyectos específicos (ejemplo: telas que entran a piso de exhibición de cadenas como Muebles Plasencia, cuya compra se canaliza mediante múltiples talleres tapiceros terceros).</w:t>
        <w:br/>
        <w:t>• En la actualidad, dichos precios se anotan en un archivo de Excel manual que las asesoras deben consultar de memoria. Cuando una asesora olvida consultar el Excel, cotiza a precio de lista regular, generando disputas con el cliente y la consecuente emisión de Notas de Crédito que impactan la contabilidad y cobranza.</w:t>
        <w:br/>
        <w:br/>
        <w:t>5.2. Solución Sistémica en el WMS 360°:</w:t>
        <w:br/>
        <w:t>• Se crea la entidad 'ClientSpecialPrice' en la base de datos centralizada de Formatex.</w:t>
        <w:br/>
        <w:t>• Cada precio pactado se vincula al Cliente y a la Tela (SKU), con su precio neto por metro ($/m), referencia del proyecto (ej. 'Plasencia') y vigencia temporal.</w:t>
        <w:br/>
        <w:t>• Auto-Detección y Cero Captura Manual: Al momento de seleccionar el cliente y agregar la tela en la cotización, el WMS consulta automáticamente la matriz. Si existe precio pactado vigente, lo inyecta en el renglón, bloquea la edición del precio para evitar errores de dedo y muestra un distintivo institucional de 'Precio Especial Pactado'.</w:t>
      </w:r>
    </w:p>
    <w:p>
      <w:pPr>
        <w:pStyle w:val="Heading1"/>
        <w:spacing w:before="280"/>
      </w:pPr>
      <w:r>
        <w:rPr>
          <w:color w:val="1E293B"/>
        </w:rPr>
        <w:t>6. Regla de Negocio 5: Políticas de Apartado y Retención de Inventario</w:t>
      </w:r>
    </w:p>
    <w:p>
      <w:r>
        <w:t>6.1. Adopción del Término 'Apartado':</w:t>
        <w:br/>
        <w:t>Se elimina en toda la interfaz de usuario el concepto técnico de 'Reserva Blanda' y se sustituye oficialmente por el término comercial 'Apartado', familiar para todo el personal de ventas y almacén.</w:t>
        <w:br/>
        <w:br/>
        <w:t>6.2. La Regla de la Doble Ventana de Tiempo (24h Comercial vs. 72h Almacén):</w:t>
        <w:br/>
        <w:t>• Ventana Comercial Externa (24 Horas): Hacia el cliente, tanto en la cotización como en las comunicaciones verbales, se estipula que el apartado de los rollos tiene una vigencia estricta de 24 horas para generar sentido de urgencia en el pago y acelerar el ciclo de venta.</w:t>
        <w:br/>
        <w:t>• Ventana Operativa Interna (72 Horas / 3 Días): En la realidad de negocio, los clientes corporativos difícilmente pagan en 24 horas debido a sus calendarios internos de tesorería (concentrados usualmente los días viernes). Por ello, el sistema internamente en almacén retiene y protege los rollos apartados durante 72 horas antes de liberarlos de nuevo al inventario general.</w:t>
        <w:br/>
        <w:t>• Se eliminan del sistema las opciones de 7 días (168h) y 14 días (336h) por considerarse lesivas para la rotación de bodega.</w:t>
      </w:r>
    </w:p>
    <w:p>
      <w:pPr>
        <w:pStyle w:val="Heading1"/>
        <w:spacing w:before="280"/>
      </w:pPr>
      <w:r>
        <w:rPr>
          <w:color w:val="1E293B"/>
        </w:rPr>
        <w:t>7. Regla de Negocio 6: Logística de Entrega y Tarea de Validación</w:t>
      </w:r>
    </w:p>
    <w:p>
      <w:r>
        <w:t>7.1. Selección de Destino al Cotizar:</w:t>
        <w:br/>
        <w:t>Al iniciar una cotización, ATC puede seleccionar el domicilio de entrega a partir de las sucursales precargadas del cliente, o bien dejarlo predeterminado a su domicilio fiscal.</w:t>
        <w:br/>
        <w:br/>
        <w:t>7.2. El Gatillo Operativo: Confirmación Obligatoria en Surtido:</w:t>
        <w:br/>
        <w:t>• Dado que entre la cotización, el pago y la preparación física pueden transcurrir varios días, el cliente con frecuencia modifica el destino final de los rollos o designa a un nuevo chofer/receptor.</w:t>
        <w:br/>
        <w:t>• Decisión de Diseño consensuada con Andrea y Alma: La confirmación final NO debe postergarse hasta el empaque (cuando los rollos ya están embalados y rotulados), sino que se dispara de forma preventiva al momento en que el pedido entra a 'EN_SURTIDO'.</w:t>
        <w:br/>
        <w:t>• El sistema genera una tarea prioritaria asignada a la asesora de ATC creadora del pedido (y visible en el panel de supervisión de Alma) para validar y asegurar: domicilio exacto de entrega, nombre completo del receptor en sitio, teléfono celular directo, horario de descarga permitido en el taller, fletera seleccionada (Castores, Tres Guerras, Chofer Formatex, etc.) y ratificación de seguro contratado.</w:t>
        <w:br/>
        <w:t>• Dicha información se plasma en la Hoja de Embarque y Pase de Salida para que el chofer cuente con todos los datos de contacto al llegar a destino.</w:t>
      </w:r>
    </w:p>
    <w:p>
      <w:pPr>
        <w:pStyle w:val="Heading1"/>
        <w:spacing w:before="280"/>
      </w:pPr>
      <w:r>
        <w:rPr>
          <w:color w:val="1E293B"/>
        </w:rPr>
        <w:t>8. Regla de Negocio 7: Motor de Backorder y Cola FIFO de Asignación</w:t>
      </w:r>
    </w:p>
    <w:p>
      <w:r>
        <w:t>8.1. Definición Operativa de Backorder:</w:t>
        <w:br/>
        <w:t>Aplica para aquellos pedidos donde Formatex no cuenta con existencia física inmediata en su bodega principal de Guadalajara, pero la tela se encuentra en tránsito marítimo (embarque en contenedor) o programada en la bodega de telares.</w:t>
        <w:br/>
        <w:br/>
        <w:t>8.2. Identificación del Embarque:</w:t>
        <w:br/>
        <w:t>Todo pedido en backorder debe registrar obligatoriamente: Número de Contenedor (ej. MSCU-829104-1), Fecha de Captura del Pedido y Fecha Estimada de Arribo (ETA) del contenedor a bodega.</w:t>
        <w:br/>
        <w:br/>
        <w:t>8.3. Los Tres Formatos Comerciales de Cotización y Cobro en Backorder:</w:t>
        <w:br/>
        <w:t xml:space="preserve">  1. Contado con Anticipo: El cliente realiza un pago adelantado para congelar su metraje en el contenedor. Al arribar la mercancía, se mide el metraje real de los rollos y se ajusta la diferencia (saldo a favor o pago complementario).</w:t>
        <w:br/>
        <w:t xml:space="preserve">  2. Contado al Arribo (Cierre Fiscal): El cliente queda formado en la cola de espera sin desembolso previo, con el acuerdo de que se le factura y liquida en el mismo mes calendario en que el contenedor arriba a Formatex, satisfaciendo sus requisitos de deducibilidad fiscal.</w:t>
        <w:br/>
        <w:t xml:space="preserve">  3. Crédito Comercial: El cliente reserva su turno en cola y, al llegar la tela, se surte directamente contra su línea de crédito autorizada.</w:t>
        <w:br/>
        <w:br/>
        <w:t>8.4. Reglas de Notificación Preventiva ATC (Semáforo de Arribo):</w:t>
        <w:br/>
        <w:t>• Alerta de 15 Días Previos al ETA (Semáforo Ámbar): El sistema alerta a Atención al Cliente para comunicarse telefónicamente o por WhatsApp con el cliente a fin de confirmar que la Orden de Compra sigue vigente y mantener reservado su lote de tela.</w:t>
        <w:br/>
        <w:t>• Alerta de 5 Días Previos al ETA (Semáforo Rojo): Se emite un aviso de arribo inminente para coordinar la liquidación del pedido, la emisión del CFDI y la preparación de las tarimas de corte o despacho en piso.</w:t>
        <w:br/>
        <w:br/>
        <w:t>8.5. Recorrido Automático en Cascada de la Cola FIFO:</w:t>
        <w:br/>
        <w:t>• Los pedidos en backorder se ordenan rigurosamente por fecha/hora de registro (First-In, First-Out: Turno #1, #2, #3...).</w:t>
        <w:br/>
        <w:t>• En caso de que un cliente decline su pedido durante la llamada de los 15 días o cancele su orden, el sistema cancela el pedido y ejecuta de inmediato el recorrido automático de la cola (todos los turnos posteriores retroceden una posición: n - 1).</w:t>
        <w:br/>
        <w:t>• La tela liberada se ofrece al siguiente cliente en turno del contenedor o se promueve a pedidos formados en contenedores con arribos posteriores.</w:t>
      </w:r>
    </w:p>
    <w:p>
      <w:pPr>
        <w:pStyle w:val="Heading1"/>
        <w:spacing w:before="280"/>
      </w:pPr>
      <w:r>
        <w:rPr>
          <w:color w:val="1E293B"/>
        </w:rPr>
        <w:t>9. Matriz de Compromisos y Próximos Pasos (Checklist)</w:t>
      </w:r>
    </w:p>
    <w:tbl>
      <w:tblPr>
        <w:tblW w:type="auto" w:w="0"/>
        <w:jc w:val="center"/>
        <w:tblLayout w:type="fixed"/>
        <w:tblLook w:firstColumn="1" w:firstRow="1" w:lastColumn="0" w:lastRow="0" w:noHBand="0" w:noVBand="1" w:val="04A0"/>
      </w:tblPr>
      <w:tblGrid>
        <w:gridCol w:w="3216"/>
        <w:gridCol w:w="3216"/>
        <w:gridCol w:w="3216"/>
      </w:tblGrid>
      <w:tr>
        <w:tc>
          <w:tcPr>
            <w:tcW w:type="dxa" w:w="3216"/>
            <w:shd w:fill="1E293B"/>
            <w:tcMar>
              <w:top w:w="80" w:type="dxa"/>
              <w:bottom w:w="80" w:type="dxa"/>
              <w:left w:w="90" w:type="dxa"/>
              <w:right w:w="90" w:type="dxa"/>
            </w:tcMar>
          </w:tcPr>
          <w:p>
            <w:r>
              <w:rPr>
                <w:b/>
                <w:color w:val="FFFFFF"/>
                <w:sz w:val="17"/>
              </w:rPr>
              <w:t>Responsable</w:t>
            </w:r>
          </w:p>
        </w:tc>
        <w:tc>
          <w:tcPr>
            <w:tcW w:type="dxa" w:w="3216"/>
            <w:shd w:fill="1E293B"/>
            <w:tcMar>
              <w:top w:w="80" w:type="dxa"/>
              <w:bottom w:w="80" w:type="dxa"/>
              <w:left w:w="90" w:type="dxa"/>
              <w:right w:w="90" w:type="dxa"/>
            </w:tcMar>
          </w:tcPr>
          <w:p>
            <w:r>
              <w:rPr>
                <w:b/>
                <w:color w:val="FFFFFF"/>
                <w:sz w:val="17"/>
              </w:rPr>
              <w:t>Entregable / Acción Acordada</w:t>
            </w:r>
          </w:p>
        </w:tc>
        <w:tc>
          <w:tcPr>
            <w:tcW w:type="dxa" w:w="3216"/>
            <w:shd w:fill="1E293B"/>
            <w:tcMar>
              <w:top w:w="80" w:type="dxa"/>
              <w:bottom w:w="80" w:type="dxa"/>
              <w:left w:w="90" w:type="dxa"/>
              <w:right w:w="90" w:type="dxa"/>
            </w:tcMar>
          </w:tcPr>
          <w:p>
            <w:r>
              <w:rPr>
                <w:b/>
                <w:color w:val="FFFFFF"/>
                <w:sz w:val="17"/>
              </w:rPr>
              <w:t>Fecha Compromiso / Estado</w:t>
            </w:r>
          </w:p>
        </w:tc>
      </w:tr>
      <w:tr>
        <w:tc>
          <w:tcPr>
            <w:tcW w:type="dxa" w:w="2880"/>
            <w:shd w:fill="F8FAFC"/>
            <w:tcMar>
              <w:top w:w="50" w:type="dxa"/>
              <w:bottom w:w="50" w:type="dxa"/>
              <w:left w:w="80" w:type="dxa"/>
              <w:right w:w="80" w:type="dxa"/>
            </w:tcMar>
          </w:tcPr>
          <w:p>
            <w:r>
              <w:rPr>
                <w:b/>
                <w:sz w:val="17"/>
              </w:rPr>
              <w:t>Andrea Ramírez / Alma</w:t>
            </w:r>
          </w:p>
        </w:tc>
        <w:tc>
          <w:tcPr>
            <w:tcW w:type="dxa" w:w="4752"/>
            <w:shd w:fill="F8FAFC"/>
            <w:tcMar>
              <w:top w:w="50" w:type="dxa"/>
              <w:bottom w:w="50" w:type="dxa"/>
              <w:left w:w="80" w:type="dxa"/>
              <w:right w:w="80" w:type="dxa"/>
            </w:tcMar>
          </w:tcPr>
          <w:p>
            <w:r>
              <w:rPr>
                <w:sz w:val="17"/>
              </w:rPr>
              <w:t>Compartir documento y catálogo de las 10 listas de precios oficiales vigentes</w:t>
            </w:r>
          </w:p>
        </w:tc>
        <w:tc>
          <w:tcPr>
            <w:tcW w:type="dxa" w:w="2016"/>
            <w:shd w:fill="F8FAFC"/>
            <w:tcMar>
              <w:top w:w="50" w:type="dxa"/>
              <w:bottom w:w="50" w:type="dxa"/>
              <w:left w:w="80" w:type="dxa"/>
              <w:right w:w="80" w:type="dxa"/>
            </w:tcMar>
          </w:tcPr>
          <w:p>
            <w:r>
              <w:rPr>
                <w:sz w:val="17"/>
              </w:rPr>
              <w:t>Semana 42 (Oct 2026) — Pendiente envío</w:t>
            </w:r>
          </w:p>
        </w:tc>
      </w:tr>
      <w:tr>
        <w:tc>
          <w:tcPr>
            <w:tcW w:type="dxa" w:w="2880"/>
            <w:shd w:fill="FFFFFF"/>
            <w:tcMar>
              <w:top w:w="50" w:type="dxa"/>
              <w:bottom w:w="50" w:type="dxa"/>
              <w:left w:w="80" w:type="dxa"/>
              <w:right w:w="80" w:type="dxa"/>
            </w:tcMar>
          </w:tcPr>
          <w:p>
            <w:r>
              <w:rPr>
                <w:b/>
                <w:sz w:val="17"/>
              </w:rPr>
              <w:t>Andrea Ramírez</w:t>
            </w:r>
          </w:p>
        </w:tc>
        <w:tc>
          <w:tcPr>
            <w:tcW w:type="dxa" w:w="4752"/>
            <w:shd w:fill="FFFFFF"/>
            <w:tcMar>
              <w:top w:w="50" w:type="dxa"/>
              <w:bottom w:w="50" w:type="dxa"/>
              <w:left w:w="80" w:type="dxa"/>
              <w:right w:w="80" w:type="dxa"/>
            </w:tcMar>
          </w:tcPr>
          <w:p>
            <w:r>
              <w:rPr>
                <w:sz w:val="17"/>
              </w:rPr>
              <w:t>Compartir archivo Excel de Precios Especiales autorizados por Dirección</w:t>
            </w:r>
          </w:p>
        </w:tc>
        <w:tc>
          <w:tcPr>
            <w:tcW w:type="dxa" w:w="2016"/>
            <w:shd w:fill="FFFFFF"/>
            <w:tcMar>
              <w:top w:w="50" w:type="dxa"/>
              <w:bottom w:w="50" w:type="dxa"/>
              <w:left w:w="80" w:type="dxa"/>
              <w:right w:w="80" w:type="dxa"/>
            </w:tcMar>
          </w:tcPr>
          <w:p>
            <w:r>
              <w:rPr>
                <w:sz w:val="17"/>
              </w:rPr>
              <w:t>Semana 42 (Oct 2026) — Pendiente envío</w:t>
            </w:r>
          </w:p>
        </w:tc>
      </w:tr>
      <w:tr>
        <w:tc>
          <w:tcPr>
            <w:tcW w:type="dxa" w:w="2880"/>
            <w:shd w:fill="F8FAFC"/>
            <w:tcMar>
              <w:top w:w="50" w:type="dxa"/>
              <w:bottom w:w="50" w:type="dxa"/>
              <w:left w:w="80" w:type="dxa"/>
              <w:right w:w="80" w:type="dxa"/>
            </w:tcMar>
          </w:tcPr>
          <w:p>
            <w:r>
              <w:rPr>
                <w:b/>
                <w:sz w:val="17"/>
              </w:rPr>
              <w:t>Andrea Ramírez</w:t>
            </w:r>
          </w:p>
        </w:tc>
        <w:tc>
          <w:tcPr>
            <w:tcW w:type="dxa" w:w="4752"/>
            <w:shd w:fill="F8FAFC"/>
            <w:tcMar>
              <w:top w:w="50" w:type="dxa"/>
              <w:bottom w:w="50" w:type="dxa"/>
              <w:left w:w="80" w:type="dxa"/>
              <w:right w:w="80" w:type="dxa"/>
            </w:tcMar>
          </w:tcPr>
          <w:p>
            <w:r>
              <w:rPr>
                <w:sz w:val="17"/>
              </w:rPr>
              <w:t>Enviar paquete documental de alta de clientes: CSF muestra, Carta de fleteras y seguro</w:t>
            </w:r>
          </w:p>
        </w:tc>
        <w:tc>
          <w:tcPr>
            <w:tcW w:type="dxa" w:w="2016"/>
            <w:shd w:fill="F8FAFC"/>
            <w:tcMar>
              <w:top w:w="50" w:type="dxa"/>
              <w:bottom w:w="50" w:type="dxa"/>
              <w:left w:w="80" w:type="dxa"/>
              <w:right w:w="80" w:type="dxa"/>
            </w:tcMar>
          </w:tcPr>
          <w:p>
            <w:r>
              <w:rPr>
                <w:sz w:val="17"/>
              </w:rPr>
              <w:t>Semana 42 (Oct 2026) — Pendiente envío</w:t>
            </w:r>
          </w:p>
        </w:tc>
      </w:tr>
      <w:tr>
        <w:tc>
          <w:tcPr>
            <w:tcW w:type="dxa" w:w="2880"/>
            <w:shd w:fill="FFFFFF"/>
            <w:tcMar>
              <w:top w:w="50" w:type="dxa"/>
              <w:bottom w:w="50" w:type="dxa"/>
              <w:left w:w="80" w:type="dxa"/>
              <w:right w:w="80" w:type="dxa"/>
            </w:tcMar>
          </w:tcPr>
          <w:p>
            <w:r>
              <w:rPr>
                <w:b/>
                <w:sz w:val="17"/>
              </w:rPr>
              <w:t>Movida TCI (Jonathan/Ricardo)</w:t>
            </w:r>
          </w:p>
        </w:tc>
        <w:tc>
          <w:tcPr>
            <w:tcW w:type="dxa" w:w="4752"/>
            <w:shd w:fill="FFFFFF"/>
            <w:tcMar>
              <w:top w:w="50" w:type="dxa"/>
              <w:bottom w:w="50" w:type="dxa"/>
              <w:left w:w="80" w:type="dxa"/>
              <w:right w:w="80" w:type="dxa"/>
            </w:tcMar>
          </w:tcPr>
          <w:p>
            <w:r>
              <w:rPr>
                <w:sz w:val="17"/>
              </w:rPr>
              <w:t>Presentación del documento de reglas de negocio y modelo de cotización integrado</w:t>
            </w:r>
          </w:p>
        </w:tc>
        <w:tc>
          <w:tcPr>
            <w:tcW w:type="dxa" w:w="2016"/>
            <w:shd w:fill="FFFFFF"/>
            <w:tcMar>
              <w:top w:w="50" w:type="dxa"/>
              <w:bottom w:w="50" w:type="dxa"/>
              <w:left w:w="80" w:type="dxa"/>
              <w:right w:w="80" w:type="dxa"/>
            </w:tcMar>
          </w:tcPr>
          <w:p>
            <w:r>
              <w:rPr>
                <w:sz w:val="17"/>
              </w:rPr>
              <w:t>Completado (14 Oct 2026)</w:t>
            </w:r>
          </w:p>
        </w:tc>
      </w:tr>
      <w:tr>
        <w:tc>
          <w:tcPr>
            <w:tcW w:type="dxa" w:w="2880"/>
            <w:shd w:fill="F8FAFC"/>
            <w:tcMar>
              <w:top w:w="50" w:type="dxa"/>
              <w:bottom w:w="50" w:type="dxa"/>
              <w:left w:w="80" w:type="dxa"/>
              <w:right w:w="80" w:type="dxa"/>
            </w:tcMar>
          </w:tcPr>
          <w:p>
            <w:r>
              <w:rPr>
                <w:b/>
                <w:sz w:val="17"/>
              </w:rPr>
              <w:t>Movida TCI &amp; Marketing</w:t>
            </w:r>
          </w:p>
        </w:tc>
        <w:tc>
          <w:tcPr>
            <w:tcW w:type="dxa" w:w="4752"/>
            <w:shd w:fill="F8FAFC"/>
            <w:tcMar>
              <w:top w:w="50" w:type="dxa"/>
              <w:bottom w:w="50" w:type="dxa"/>
              <w:left w:w="80" w:type="dxa"/>
              <w:right w:w="80" w:type="dxa"/>
            </w:tcMar>
          </w:tcPr>
          <w:p>
            <w:r>
              <w:rPr>
                <w:sz w:val="17"/>
              </w:rPr>
              <w:t>Agendar sesión especializada de levantamiento para el flujo de compras y pedidos Web</w:t>
            </w:r>
          </w:p>
        </w:tc>
        <w:tc>
          <w:tcPr>
            <w:tcW w:type="dxa" w:w="2016"/>
            <w:shd w:fill="F8FAFC"/>
            <w:tcMar>
              <w:top w:w="50" w:type="dxa"/>
              <w:bottom w:w="50" w:type="dxa"/>
              <w:left w:w="80" w:type="dxa"/>
              <w:right w:w="80" w:type="dxa"/>
            </w:tcMar>
          </w:tcPr>
          <w:p>
            <w:r>
              <w:rPr>
                <w:sz w:val="17"/>
              </w:rPr>
              <w:t>Por agendar con Gerente de Marketing</w:t>
            </w:r>
          </w:p>
        </w:tc>
      </w:tr>
    </w:tbl>
    <w:p>
      <w:pPr>
        <w:spacing w:after="280"/>
      </w:pPr>
    </w:p>
    <w:p>
      <w:pPr>
        <w:pStyle w:val="Heading1"/>
        <w:spacing w:before="320"/>
      </w:pPr>
      <w:r>
        <w:rPr>
          <w:color w:val="1E293B"/>
        </w:rPr>
        <w:t>10. Formalización y Firmas de Conformidad</w:t>
      </w:r>
    </w:p>
    <w:p>
      <w:r>
        <w:t>Al firmar el presente documento, las partes manifiestan su conformidad con los requerimientos, candados de seguridad y reglas operativas aquí descritas, reconociéndolas como el estándar oficial bajo el cual se valida el módulo de Atención al Cliente (ATC) del WMS 360+ Formatex:</w:t>
      </w:r>
    </w:p>
    <w:p>
      <w:pPr>
        <w:spacing w:after="400"/>
      </w:pPr>
    </w:p>
    <w:tbl>
      <w:tblPr>
        <w:tblW w:type="auto" w:w="0"/>
        <w:jc w:val="center"/>
        <w:tblLayout w:type="fixed"/>
        <w:tblLook w:firstColumn="1" w:firstRow="1" w:lastColumn="0" w:lastRow="0" w:noHBand="0" w:noVBand="1" w:val="04A0"/>
      </w:tblPr>
      <w:tblGrid>
        <w:gridCol w:w="4824"/>
        <w:gridCol w:w="4824"/>
      </w:tblGrid>
      <w:tr>
        <w:tc>
          <w:tcPr>
            <w:tcW w:type="dxa" w:w="4752"/>
            <w:tcMar>
              <w:top w:w="120" w:type="dxa"/>
              <w:bottom w:w="120" w:type="dxa"/>
              <w:left w:w="80" w:type="dxa"/>
              <w:right w:w="80" w:type="dxa"/>
            </w:tcMar>
          </w:tcPr>
          <w:p>
            <w:pPr>
              <w:jc w:val="center"/>
            </w:pPr>
            <w:r>
              <w:rPr>
                <w:color w:val="334155"/>
                <w:sz w:val="18"/>
              </w:rPr>
              <w:t>_________________________________________</w:t>
              <w:br/>
              <w:t>Alma</w:t>
              <w:br/>
              <w:t>Jefatura de Atención al Cliente</w:t>
              <w:br/>
              <w:t>Forma Textil S. de R.L. de C.V.</w:t>
              <w:br/>
              <w:t>Fecha: ____ / ____ / 2026</w:t>
            </w:r>
          </w:p>
        </w:tc>
        <w:tc>
          <w:tcPr>
            <w:tcW w:type="dxa" w:w="4752"/>
            <w:tcMar>
              <w:top w:w="120" w:type="dxa"/>
              <w:bottom w:w="120" w:type="dxa"/>
              <w:left w:w="80" w:type="dxa"/>
              <w:right w:w="80" w:type="dxa"/>
            </w:tcMar>
          </w:tcPr>
          <w:p>
            <w:pPr>
              <w:jc w:val="center"/>
            </w:pPr>
            <w:r>
              <w:rPr>
                <w:color w:val="334155"/>
                <w:sz w:val="18"/>
              </w:rPr>
              <w:t>_________________________________________</w:t>
              <w:br/>
              <w:t>Andrea Ramírez</w:t>
              <w:br/>
              <w:t>Atención al Cliente &amp; Operaciones</w:t>
              <w:br/>
              <w:t>Forma Textil S. de R.L. de C.V.</w:t>
              <w:br/>
              <w:t>Fecha: ____ / ____ / 2026</w:t>
            </w:r>
          </w:p>
        </w:tc>
      </w:tr>
      <w:tr>
        <w:tc>
          <w:tcPr>
            <w:tcW w:type="dxa" w:w="4752"/>
            <w:tcMar>
              <w:top w:w="120" w:type="dxa"/>
              <w:bottom w:w="120" w:type="dxa"/>
              <w:left w:w="80" w:type="dxa"/>
              <w:right w:w="80" w:type="dxa"/>
            </w:tcMar>
          </w:tcPr>
          <w:p>
            <w:pPr>
              <w:jc w:val="center"/>
            </w:pPr>
            <w:r>
              <w:rPr>
                <w:color w:val="334155"/>
                <w:sz w:val="18"/>
              </w:rPr>
              <w:t>_________________________________________</w:t>
              <w:br/>
              <w:t>Ricardo Zerpa</w:t>
              <w:br/>
              <w:t>Arquitectura de Producto &amp; Procesos</w:t>
              <w:br/>
              <w:t>Movida TCI LLC</w:t>
              <w:br/>
              <w:t>Fecha: ____ / ____ / 2026</w:t>
            </w:r>
          </w:p>
        </w:tc>
        <w:tc>
          <w:tcPr>
            <w:tcW w:type="dxa" w:w="4752"/>
            <w:tcMar>
              <w:top w:w="120" w:type="dxa"/>
              <w:bottom w:w="120" w:type="dxa"/>
              <w:left w:w="80" w:type="dxa"/>
              <w:right w:w="80" w:type="dxa"/>
            </w:tcMar>
          </w:tcPr>
          <w:p>
            <w:pPr>
              <w:jc w:val="center"/>
            </w:pPr>
            <w:r>
              <w:rPr>
                <w:color w:val="334155"/>
                <w:sz w:val="18"/>
              </w:rPr>
              <w:t>_________________________________________</w:t>
              <w:br/>
              <w:t>Jonathan Palacios</w:t>
              <w:br/>
              <w:t>Dirección Técnica &amp; Desarrollo WMS</w:t>
              <w:br/>
              <w:t>Movida TCI LLC</w:t>
              <w:br/>
              <w:t>Fecha: ____ / ____ / 2026</w:t>
            </w:r>
          </w:p>
        </w:tc>
      </w:tr>
    </w:tbl>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