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B365D"/>
          <w:sz w:val="34"/>
        </w:rPr>
        <w:t>Formatex WMS 360° — Especificación de Reglas de Negocio</w:t>
      </w:r>
    </w:p>
    <w:p>
      <w:pPr>
        <w:spacing w:after="120"/>
      </w:pPr>
      <w:r>
        <w:rPr>
          <w:rFonts w:ascii="Arial" w:hAnsi="Arial"/>
          <w:b/>
          <w:color w:val="0284C7"/>
          <w:sz w:val="24"/>
        </w:rPr>
        <w:t>Módulo de Compras Internacionales, Importaciones &amp; Coordinación Inter-Compañía</w:t>
        <w:br/>
        <w:t>(Telares y Tejidos S.A. de C.V. ↔ Forma Textil S. de R.L. de C.V.)</w:t>
      </w:r>
    </w:p>
    <w:tbl>
      <w:tblPr>
        <w:tblW w:type="auto" w:w="0"/>
        <w:jc w:val="center"/>
        <w:tblLook w:firstColumn="1" w:firstRow="1" w:lastColumn="0" w:lastRow="0" w:noHBand="0" w:noVBand="1" w:val="04A0"/>
      </w:tblPr>
      <w:tblGrid>
        <w:gridCol w:w="4680"/>
        <w:gridCol w:w="4680"/>
      </w:tblGrid>
      <w:tr>
        <w:tc>
          <w:tcPr>
            <w:tcW w:type="dxa" w:w="2880"/>
            <w:shd w:fill="F8FAFC"/>
            <w:tcMar>
              <w:top w:w="60" w:type="dxa"/>
              <w:bottom w:w="60" w:type="dxa"/>
              <w:left w:w="100" w:type="dxa"/>
              <w:right w:w="100" w:type="dxa"/>
            </w:tcMar>
          </w:tcPr>
          <w:p>
            <w:pPr>
              <w:spacing w:after="40"/>
            </w:pPr>
            <w:r>
              <w:rPr>
                <w:rFonts w:ascii="Arial" w:hAnsi="Arial"/>
                <w:b/>
                <w:color w:val="1B365D"/>
                <w:sz w:val="18"/>
              </w:rPr>
              <w:t>Fecha de Levantamiento:</w:t>
            </w:r>
          </w:p>
        </w:tc>
        <w:tc>
          <w:tcPr>
            <w:tcW w:type="dxa" w:w="6480"/>
            <w:shd w:fill="FFFFFF"/>
            <w:tcMar>
              <w:top w:w="60" w:type="dxa"/>
              <w:bottom w:w="60" w:type="dxa"/>
              <w:left w:w="100" w:type="dxa"/>
              <w:right w:w="100" w:type="dxa"/>
            </w:tcMar>
          </w:tcPr>
          <w:p>
            <w:pPr>
              <w:spacing w:after="40"/>
            </w:pPr>
            <w:r>
              <w:rPr>
                <w:rFonts w:ascii="Arial" w:hAnsi="Arial"/>
                <w:color w:val="334155"/>
                <w:sz w:val="18"/>
              </w:rPr>
              <w:t>Viernes, 16 de Octubre de 2026</w:t>
            </w:r>
          </w:p>
        </w:tc>
      </w:tr>
      <w:tr>
        <w:tc>
          <w:tcPr>
            <w:tcW w:type="dxa" w:w="2880"/>
            <w:shd w:fill="F8FAFC"/>
            <w:tcMar>
              <w:top w:w="60" w:type="dxa"/>
              <w:bottom w:w="60" w:type="dxa"/>
              <w:left w:w="100" w:type="dxa"/>
              <w:right w:w="100" w:type="dxa"/>
            </w:tcMar>
          </w:tcPr>
          <w:p>
            <w:pPr>
              <w:spacing w:after="40"/>
            </w:pPr>
            <w:r>
              <w:rPr>
                <w:rFonts w:ascii="Arial" w:hAnsi="Arial"/>
                <w:b/>
                <w:color w:val="1B365D"/>
                <w:sz w:val="18"/>
              </w:rPr>
              <w:t>Organización:</w:t>
            </w:r>
          </w:p>
        </w:tc>
        <w:tc>
          <w:tcPr>
            <w:tcW w:type="dxa" w:w="6480"/>
            <w:shd w:fill="FFFFFF"/>
            <w:tcMar>
              <w:top w:w="60" w:type="dxa"/>
              <w:bottom w:w="60" w:type="dxa"/>
              <w:left w:w="100" w:type="dxa"/>
              <w:right w:w="100" w:type="dxa"/>
            </w:tcMar>
          </w:tcPr>
          <w:p>
            <w:pPr>
              <w:spacing w:after="40"/>
            </w:pPr>
            <w:r>
              <w:rPr>
                <w:rFonts w:ascii="Arial" w:hAnsi="Arial"/>
                <w:color w:val="334155"/>
                <w:sz w:val="18"/>
              </w:rPr>
              <w:t>Forma Textil S. de R.L. de C.V. (Formatex) &amp; Telares y Tejidos (TNT)</w:t>
            </w:r>
          </w:p>
        </w:tc>
      </w:tr>
      <w:tr>
        <w:tc>
          <w:tcPr>
            <w:tcW w:type="dxa" w:w="2880"/>
            <w:shd w:fill="F8FAFC"/>
            <w:tcMar>
              <w:top w:w="60" w:type="dxa"/>
              <w:bottom w:w="60" w:type="dxa"/>
              <w:left w:w="100" w:type="dxa"/>
              <w:right w:w="100" w:type="dxa"/>
            </w:tcMar>
          </w:tcPr>
          <w:p>
            <w:pPr>
              <w:spacing w:after="40"/>
            </w:pPr>
            <w:r>
              <w:rPr>
                <w:rFonts w:ascii="Arial" w:hAnsi="Arial"/>
                <w:b/>
                <w:color w:val="1B365D"/>
                <w:sz w:val="18"/>
              </w:rPr>
              <w:t>Proveedor Tecnológico:</w:t>
            </w:r>
          </w:p>
        </w:tc>
        <w:tc>
          <w:tcPr>
            <w:tcW w:type="dxa" w:w="6480"/>
            <w:shd w:fill="FFFFFF"/>
            <w:tcMar>
              <w:top w:w="60" w:type="dxa"/>
              <w:bottom w:w="60" w:type="dxa"/>
              <w:left w:w="100" w:type="dxa"/>
              <w:right w:w="100" w:type="dxa"/>
            </w:tcMar>
          </w:tcPr>
          <w:p>
            <w:pPr>
              <w:spacing w:after="40"/>
            </w:pPr>
            <w:r>
              <w:rPr>
                <w:rFonts w:ascii="Arial" w:hAnsi="Arial"/>
                <w:color w:val="334155"/>
                <w:sz w:val="18"/>
              </w:rPr>
              <w:t>Movida TCI LLC — Transformación Digital &amp; Ingeniería WMS</w:t>
            </w:r>
          </w:p>
        </w:tc>
      </w:tr>
      <w:tr>
        <w:tc>
          <w:tcPr>
            <w:tcW w:type="dxa" w:w="2880"/>
            <w:shd w:fill="F8FAFC"/>
            <w:tcMar>
              <w:top w:w="60" w:type="dxa"/>
              <w:bottom w:w="60" w:type="dxa"/>
              <w:left w:w="100" w:type="dxa"/>
              <w:right w:w="100" w:type="dxa"/>
            </w:tcMar>
          </w:tcPr>
          <w:p>
            <w:pPr>
              <w:spacing w:after="40"/>
            </w:pPr>
            <w:r>
              <w:rPr>
                <w:rFonts w:ascii="Arial" w:hAnsi="Arial"/>
                <w:b/>
                <w:color w:val="1B365D"/>
                <w:sz w:val="18"/>
              </w:rPr>
              <w:t>Versión del Documento:</w:t>
            </w:r>
          </w:p>
        </w:tc>
        <w:tc>
          <w:tcPr>
            <w:tcW w:type="dxa" w:w="6480"/>
            <w:shd w:fill="FFFFFF"/>
            <w:tcMar>
              <w:top w:w="60" w:type="dxa"/>
              <w:bottom w:w="60" w:type="dxa"/>
              <w:left w:w="100" w:type="dxa"/>
              <w:right w:w="100" w:type="dxa"/>
            </w:tcMar>
          </w:tcPr>
          <w:p>
            <w:pPr>
              <w:spacing w:after="40"/>
            </w:pPr>
            <w:r>
              <w:rPr>
                <w:rFonts w:ascii="Arial" w:hAnsi="Arial"/>
                <w:color w:val="334155"/>
                <w:sz w:val="18"/>
              </w:rPr>
              <w:t>1.0 (Oficial para Revisión, Edición y Firma de Conformidad)</w:t>
            </w:r>
          </w:p>
        </w:tc>
      </w:tr>
      <w:tr>
        <w:tc>
          <w:tcPr>
            <w:tcW w:type="dxa" w:w="2880"/>
            <w:shd w:fill="F8FAFC"/>
            <w:tcMar>
              <w:top w:w="60" w:type="dxa"/>
              <w:bottom w:w="60" w:type="dxa"/>
              <w:left w:w="100" w:type="dxa"/>
              <w:right w:w="100" w:type="dxa"/>
            </w:tcMar>
          </w:tcPr>
          <w:p>
            <w:pPr>
              <w:spacing w:after="40"/>
            </w:pPr>
            <w:r>
              <w:rPr>
                <w:rFonts w:ascii="Arial" w:hAnsi="Arial"/>
                <w:b/>
                <w:color w:val="1B365D"/>
                <w:sz w:val="18"/>
              </w:rPr>
              <w:t>Participantes en la Sesión:</w:t>
            </w:r>
          </w:p>
        </w:tc>
        <w:tc>
          <w:tcPr>
            <w:tcW w:type="dxa" w:w="6480"/>
            <w:shd w:fill="FFFFFF"/>
            <w:tcMar>
              <w:top w:w="60" w:type="dxa"/>
              <w:bottom w:w="60" w:type="dxa"/>
              <w:left w:w="100" w:type="dxa"/>
              <w:right w:w="100" w:type="dxa"/>
            </w:tcMar>
          </w:tcPr>
          <w:p>
            <w:pPr>
              <w:spacing w:after="40"/>
            </w:pPr>
            <w:r>
              <w:rPr>
                <w:rFonts w:ascii="Arial" w:hAnsi="Arial"/>
                <w:color w:val="334155"/>
                <w:sz w:val="18"/>
              </w:rPr>
              <w:t>• Elba (Compras e Importaciones Formatex / TNT)</w:t>
              <w:br/>
              <w:t>• Mane (Especialista de Importaciones TNT)</w:t>
              <w:br/>
              <w:t>• Andrea Ramírez (Atención al Cliente &amp; Operaciones Formatex)</w:t>
              <w:br/>
              <w:t>• Jonathan Palacios (Dirección Técnica &amp; Desarrollo WMS Movida TCI)</w:t>
              <w:br/>
              <w:t>• Santiago Pérez (Consultoría de Procesos Movida TCI)</w:t>
              <w:br/>
              <w:t>• Ricardo Zerpa (Arquitectura de Producto Movida TCI)</w:t>
            </w:r>
          </w:p>
        </w:tc>
      </w:tr>
    </w:tbl>
    <w:p>
      <w:pPr>
        <w:spacing w:after="120"/>
      </w:pPr>
    </w:p>
    <w:p>
      <w:pPr>
        <w:keepNext/>
        <w:spacing w:before="280" w:after="80"/>
      </w:pPr>
      <w:r>
        <w:rPr>
          <w:rFonts w:ascii="Arial" w:hAnsi="Arial"/>
          <w:b/>
          <w:color w:val="1B365D"/>
          <w:sz w:val="26"/>
        </w:rPr>
        <w:t>1. Propósito y Marco de Aceptación Vinculante</w:t>
      </w:r>
    </w:p>
    <w:p>
      <w:pPr>
        <w:spacing w:before="0" w:after="80"/>
      </w:pPr>
      <w:r>
        <w:rPr>
          <w:rFonts w:ascii="Arial" w:hAnsi="Arial"/>
          <w:color w:val="334155"/>
          <w:sz w:val="19"/>
        </w:rPr>
        <w:t>El presente documento recopila y formaliza de manera transparente y exhaustiva todas las reglas de negocio, criterios de costeo, flujos de trabajo inter-empresa y políticas de control consensuados durante la entrevista operativa sostenida el 16 de octubre de 2026 entre el área de Compras e Importaciones de Telares y Tejidos / Formatex y el equipo de ingeniería de Movida TCI.</w:t>
      </w:r>
    </w:p>
    <w:p>
      <w:pPr>
        <w:spacing w:before="0" w:after="80"/>
      </w:pPr>
      <w:r>
        <w:rPr>
          <w:rFonts w:ascii="Arial" w:hAnsi="Arial"/>
          <w:color w:val="334155"/>
          <w:sz w:val="19"/>
        </w:rPr>
        <w:t>Este documento actúa como anexo técnico vinculante. Su finalidad es respaldar por escrito el alcance, las fórmulas y los criterios de aceptación para que ambas organizaciones operen bajo un marco único y homologado, evitando ambigüedades operativas y garantizando que el WMS 360° digitalice con total fidelidad la cadena de compras internacionales.</w:t>
      </w:r>
    </w:p>
    <w:p>
      <w:pPr>
        <w:keepNext/>
        <w:spacing w:before="280" w:after="80"/>
      </w:pPr>
      <w:r>
        <w:rPr>
          <w:rFonts w:ascii="Arial" w:hAnsi="Arial"/>
          <w:b/>
          <w:color w:val="1B365D"/>
          <w:sz w:val="26"/>
        </w:rPr>
        <w:t>2. Regla de Negocio 1: Arquitectura Inter-Compañía y Separación Operativa</w:t>
      </w:r>
    </w:p>
    <w:p>
      <w:pPr>
        <w:keepNext/>
        <w:spacing w:before="160" w:after="60"/>
      </w:pPr>
      <w:r>
        <w:rPr>
          <w:rFonts w:ascii="Arial" w:hAnsi="Arial"/>
          <w:b/>
          <w:color w:val="0284C7"/>
          <w:sz w:val="22"/>
        </w:rPr>
        <w:t>2.1. Funciones y Roles por Razón Social</w:t>
      </w:r>
    </w:p>
    <w:p>
      <w:pPr>
        <w:pStyle w:val="ListBullet"/>
        <w:spacing w:before="20" w:after="40"/>
      </w:pPr>
      <w:r>
        <w:rPr>
          <w:rFonts w:ascii="Arial" w:hAnsi="Arial"/>
          <w:b/>
          <w:color w:val="1B365D"/>
          <w:sz w:val="19"/>
        </w:rPr>
        <w:t xml:space="preserve">Telares y Tejidos (TNT): </w:t>
      </w:r>
      <w:r>
        <w:rPr>
          <w:rFonts w:ascii="Arial" w:hAnsi="Arial"/>
          <w:color w:val="334155"/>
          <w:sz w:val="19"/>
        </w:rPr>
        <w:t>Razón social compradora e importadora oficial. Adquiere telas a proveedores en el extranjero (China) y fabricantes nacionales. Contrata freight forwarders, fletes marítimos, seguros de transporte y liquidación de pedimentos aduanales en puerto (Manzanillo). Su bodega (Bodega Rensselaer) opera como almacén matriz de resguardo masivo de rollos.</w:t>
      </w:r>
    </w:p>
    <w:p>
      <w:pPr>
        <w:pStyle w:val="ListBullet"/>
        <w:spacing w:before="20" w:after="40"/>
      </w:pPr>
      <w:r>
        <w:rPr>
          <w:rFonts w:ascii="Arial" w:hAnsi="Arial"/>
          <w:b/>
          <w:color w:val="1B365D"/>
          <w:sz w:val="19"/>
        </w:rPr>
        <w:t xml:space="preserve">Forma Textil (Formatex): </w:t>
      </w:r>
      <w:r>
        <w:rPr>
          <w:rFonts w:ascii="Arial" w:hAnsi="Arial"/>
          <w:color w:val="334155"/>
          <w:sz w:val="19"/>
        </w:rPr>
        <w:t>Razón social comercializadora minorista/mayorista. Cuenta con espacio físico limitado en su bodega de distribución, imposibilitando recibir contenedores enteros de 700 a 900 rollos. Se abastece de Telares y Tejidos mediante traspasos continuos bajo demanda diaria.</w:t>
      </w:r>
    </w:p>
    <w:p>
      <w:pPr>
        <w:keepNext/>
        <w:spacing w:before="160" w:after="60"/>
      </w:pPr>
      <w:r>
        <w:rPr>
          <w:rFonts w:ascii="Arial" w:hAnsi="Arial"/>
          <w:b/>
          <w:color w:val="0284C7"/>
          <w:sz w:val="22"/>
        </w:rPr>
        <w:t>2.2. Alcance en WMS 360° (Módulo Administrativo Integrado)</w:t>
      </w:r>
    </w:p>
    <w:p>
      <w:pPr>
        <w:spacing w:before="0" w:after="80"/>
      </w:pPr>
      <w:r>
        <w:rPr>
          <w:rFonts w:ascii="Arial" w:hAnsi="Arial"/>
          <w:color w:val="334155"/>
          <w:sz w:val="19"/>
        </w:rPr>
        <w:t>El sistema WMS unificará la administración de compras e importaciones en una sola plataforma sin duplicar sistemas. Permitirá administrar proveedores internacionales, órdenes de compra en USD, tránsitos marítimos y costeo Landed en MXN de Telares y Tejidos, compartiendo nativamente los catálogos y la visibilidad de inventario hacia Formatex.</w:t>
      </w:r>
    </w:p>
    <w:p>
      <w:pPr>
        <w:keepNext/>
        <w:spacing w:before="280" w:after="80"/>
      </w:pPr>
      <w:r>
        <w:rPr>
          <w:rFonts w:ascii="Arial" w:hAnsi="Arial"/>
          <w:b/>
          <w:color w:val="1B365D"/>
          <w:sz w:val="26"/>
        </w:rPr>
        <w:t>3. Regla de Negocio 2: Ciclo de Compras Internacionales a China y Frecuencia de Órdenes</w:t>
      </w:r>
    </w:p>
    <w:p>
      <w:pPr>
        <w:keepNext/>
        <w:spacing w:before="160" w:after="60"/>
      </w:pPr>
      <w:r>
        <w:rPr>
          <w:rFonts w:ascii="Arial" w:hAnsi="Arial"/>
          <w:b/>
          <w:color w:val="0284C7"/>
          <w:sz w:val="22"/>
        </w:rPr>
        <w:t>3.1. Frecuencia y Detonación de Órdenes</w:t>
      </w:r>
    </w:p>
    <w:p>
      <w:pPr>
        <w:pStyle w:val="ListBullet"/>
        <w:spacing w:before="20" w:after="40"/>
      </w:pPr>
      <w:r>
        <w:rPr>
          <w:rFonts w:ascii="Arial" w:hAnsi="Arial"/>
          <w:b/>
          <w:color w:val="1B365D"/>
          <w:sz w:val="19"/>
        </w:rPr>
        <w:t xml:space="preserve">Frecuencia Oficial: </w:t>
      </w:r>
      <w:r>
        <w:rPr>
          <w:rFonts w:ascii="Arial" w:hAnsi="Arial"/>
          <w:color w:val="334155"/>
          <w:sz w:val="19"/>
        </w:rPr>
        <w:t>Se genera una (1) orden de compra semanal a fábricas en China.</w:t>
      </w:r>
    </w:p>
    <w:p>
      <w:pPr>
        <w:pStyle w:val="ListBullet"/>
        <w:spacing w:before="20" w:after="40"/>
      </w:pPr>
      <w:r>
        <w:rPr>
          <w:rFonts w:ascii="Arial" w:hAnsi="Arial"/>
          <w:b/>
          <w:color w:val="1B365D"/>
          <w:sz w:val="19"/>
        </w:rPr>
        <w:t xml:space="preserve">Detonante Administrativo: </w:t>
      </w:r>
      <w:r>
        <w:rPr>
          <w:rFonts w:ascii="Arial" w:hAnsi="Arial"/>
          <w:color w:val="334155"/>
          <w:sz w:val="19"/>
        </w:rPr>
        <w:t>La orden semanal se emite a partir del análisis y directiva de resurtido enviada por Dirección General (Ricardo Zerpa / Dirección), determinando metrajes y telas a producir.</w:t>
      </w:r>
    </w:p>
    <w:p>
      <w:pPr>
        <w:keepNext/>
        <w:spacing w:before="160" w:after="60"/>
      </w:pPr>
      <w:r>
        <w:rPr>
          <w:rFonts w:ascii="Arial" w:hAnsi="Arial"/>
          <w:b/>
          <w:color w:val="0284C7"/>
          <w:sz w:val="22"/>
        </w:rPr>
        <w:t>3.2. Ciclos de Fabricación y Tránsito</w:t>
      </w:r>
    </w:p>
    <w:p>
      <w:pPr>
        <w:pStyle w:val="ListBullet"/>
        <w:spacing w:before="20" w:after="40"/>
      </w:pPr>
      <w:r>
        <w:rPr>
          <w:rFonts w:ascii="Arial" w:hAnsi="Arial"/>
          <w:b/>
          <w:color w:val="1B365D"/>
          <w:sz w:val="19"/>
        </w:rPr>
        <w:t xml:space="preserve">Tiempos de Fabricación: </w:t>
      </w:r>
      <w:r>
        <w:rPr>
          <w:rFonts w:ascii="Arial" w:hAnsi="Arial"/>
          <w:color w:val="334155"/>
          <w:sz w:val="19"/>
        </w:rPr>
        <w:t>La producción en plantas textiles de China requiere de 4 a 8 semanas según el proveedor y tipo de tela.</w:t>
      </w:r>
    </w:p>
    <w:p>
      <w:pPr>
        <w:pStyle w:val="ListBullet"/>
        <w:spacing w:before="20" w:after="40"/>
      </w:pPr>
      <w:r>
        <w:rPr>
          <w:rFonts w:ascii="Arial" w:hAnsi="Arial"/>
          <w:b/>
          <w:color w:val="1B365D"/>
          <w:sz w:val="19"/>
        </w:rPr>
        <w:t xml:space="preserve">Logística Marítima: </w:t>
      </w:r>
      <w:r>
        <w:rPr>
          <w:rFonts w:ascii="Arial" w:hAnsi="Arial"/>
          <w:color w:val="334155"/>
          <w:sz w:val="19"/>
        </w:rPr>
        <w:t>Se coordina la recolección con el forwarder hacia buque carguero con destino típico al Puerto de Manzanillo, Colima.</w:t>
      </w:r>
    </w:p>
    <w:p>
      <w:pPr>
        <w:pStyle w:val="ListBullet"/>
        <w:spacing w:before="20" w:after="40"/>
      </w:pPr>
      <w:r>
        <w:rPr>
          <w:rFonts w:ascii="Arial" w:hAnsi="Arial"/>
          <w:b/>
          <w:color w:val="1B365D"/>
          <w:sz w:val="19"/>
        </w:rPr>
        <w:t xml:space="preserve">Capacidad de Embarque: </w:t>
      </w:r>
      <w:r>
        <w:rPr>
          <w:rFonts w:ascii="Arial" w:hAnsi="Arial"/>
          <w:color w:val="334155"/>
          <w:sz w:val="19"/>
        </w:rPr>
        <w:t>Cada contenedor marítimo alberga típicamente entre 600, 700 y hasta 900 rollos de tela.</w:t>
      </w:r>
    </w:p>
    <w:p>
      <w:pPr>
        <w:keepNext/>
        <w:spacing w:before="160" w:after="60"/>
      </w:pPr>
      <w:r>
        <w:rPr>
          <w:rFonts w:ascii="Arial" w:hAnsi="Arial"/>
          <w:b/>
          <w:color w:val="0284C7"/>
          <w:sz w:val="22"/>
        </w:rPr>
        <w:t>3.3. Ciclo de Vida de la Orden de Compra Internacional</w:t>
      </w:r>
    </w:p>
    <w:p>
      <w:pPr>
        <w:spacing w:before="0" w:after="80"/>
      </w:pPr>
      <w:r>
        <w:rPr>
          <w:rFonts w:ascii="Arial" w:hAnsi="Arial"/>
          <w:color w:val="334155"/>
          <w:sz w:val="19"/>
        </w:rPr>
        <w:t>El WMS reemplaza las hojas de cálculo manuales con un flujo de estados estandarizado:</w:t>
      </w:r>
    </w:p>
    <w:p>
      <w:pPr>
        <w:pStyle w:val="ListBullet"/>
        <w:spacing w:before="20" w:after="40"/>
      </w:pPr>
      <w:r>
        <w:rPr>
          <w:rFonts w:ascii="Arial" w:hAnsi="Arial"/>
          <w:b/>
          <w:color w:val="1B365D"/>
          <w:sz w:val="19"/>
        </w:rPr>
        <w:t xml:space="preserve">1. BORRADOR: </w:t>
      </w:r>
      <w:r>
        <w:rPr>
          <w:rFonts w:ascii="Arial" w:hAnsi="Arial"/>
          <w:color w:val="334155"/>
          <w:sz w:val="19"/>
        </w:rPr>
        <w:t>Orden en confección basada en la directiva de resurtido.</w:t>
      </w:r>
    </w:p>
    <w:p>
      <w:pPr>
        <w:pStyle w:val="ListBullet"/>
        <w:spacing w:before="20" w:after="40"/>
      </w:pPr>
      <w:r>
        <w:rPr>
          <w:rFonts w:ascii="Arial" w:hAnsi="Arial"/>
          <w:b/>
          <w:color w:val="1B365D"/>
          <w:sz w:val="19"/>
        </w:rPr>
        <w:t xml:space="preserve">2. EMITIDA_PROVEEDOR: </w:t>
      </w:r>
      <w:r>
        <w:rPr>
          <w:rFonts w:ascii="Arial" w:hAnsi="Arial"/>
          <w:color w:val="334155"/>
          <w:sz w:val="19"/>
        </w:rPr>
        <w:t>Transmitida formalmente a la fábrica en China con costos pactados en USD.</w:t>
      </w:r>
    </w:p>
    <w:p>
      <w:pPr>
        <w:pStyle w:val="ListBullet"/>
        <w:spacing w:before="20" w:after="40"/>
      </w:pPr>
      <w:r>
        <w:rPr>
          <w:rFonts w:ascii="Arial" w:hAnsi="Arial"/>
          <w:b/>
          <w:color w:val="1B365D"/>
          <w:sz w:val="19"/>
        </w:rPr>
        <w:t xml:space="preserve">3. EN_PRODUCCION: </w:t>
      </w:r>
      <w:r>
        <w:rPr>
          <w:rFonts w:ascii="Arial" w:hAnsi="Arial"/>
          <w:color w:val="334155"/>
          <w:sz w:val="19"/>
        </w:rPr>
        <w:t>En hilado, teñido y acabado en planta textil (4 a 8 semanas).</w:t>
      </w:r>
    </w:p>
    <w:p>
      <w:pPr>
        <w:pStyle w:val="ListBullet"/>
        <w:spacing w:before="20" w:after="40"/>
      </w:pPr>
      <w:r>
        <w:rPr>
          <w:rFonts w:ascii="Arial" w:hAnsi="Arial"/>
          <w:b/>
          <w:color w:val="1B365D"/>
          <w:sz w:val="19"/>
        </w:rPr>
        <w:t xml:space="preserve">4. ZARPADO_EN_TRANSITO: </w:t>
      </w:r>
      <w:r>
        <w:rPr>
          <w:rFonts w:ascii="Arial" w:hAnsi="Arial"/>
          <w:color w:val="334155"/>
          <w:sz w:val="19"/>
        </w:rPr>
        <w:t>A bordo de buque marítimo, con número oficial de contenedor y fecha estimada de arribo (ETA).</w:t>
      </w:r>
    </w:p>
    <w:p>
      <w:pPr>
        <w:pStyle w:val="ListBullet"/>
        <w:spacing w:before="20" w:after="40"/>
      </w:pPr>
      <w:r>
        <w:rPr>
          <w:rFonts w:ascii="Arial" w:hAnsi="Arial"/>
          <w:b/>
          <w:color w:val="1B365D"/>
          <w:sz w:val="19"/>
        </w:rPr>
        <w:t xml:space="preserve">5. EN_PUERTO_ADUANA: </w:t>
      </w:r>
      <w:r>
        <w:rPr>
          <w:rFonts w:ascii="Arial" w:hAnsi="Arial"/>
          <w:color w:val="334155"/>
          <w:sz w:val="19"/>
        </w:rPr>
        <w:t>En puerto mexicano para maniobras, revisión previa y desaduanamiento fiscal.</w:t>
      </w:r>
    </w:p>
    <w:p>
      <w:pPr>
        <w:pStyle w:val="ListBullet"/>
        <w:spacing w:before="20" w:after="40"/>
      </w:pPr>
      <w:r>
        <w:rPr>
          <w:rFonts w:ascii="Arial" w:hAnsi="Arial"/>
          <w:b/>
          <w:color w:val="1B365D"/>
          <w:sz w:val="19"/>
        </w:rPr>
        <w:t xml:space="preserve">6. RECEPCION_BODEGA_TNT: </w:t>
      </w:r>
      <w:r>
        <w:rPr>
          <w:rFonts w:ascii="Arial" w:hAnsi="Arial"/>
          <w:color w:val="334155"/>
          <w:sz w:val="19"/>
        </w:rPr>
        <w:t>Descargado en Bodega Rensselaer para costeo definitivo e ingreso al stock.</w:t>
      </w:r>
    </w:p>
    <w:p>
      <w:pPr>
        <w:keepNext/>
        <w:spacing w:before="280" w:after="80"/>
      </w:pPr>
      <w:r>
        <w:rPr>
          <w:rFonts w:ascii="Arial" w:hAnsi="Arial"/>
          <w:b/>
          <w:color w:val="1B365D"/>
          <w:sz w:val="26"/>
        </w:rPr>
        <w:t>4. Regla de Negocio 3: Homologación del Catálogo (Nombre Chino vs. Nombre Comercial)</w:t>
      </w:r>
    </w:p>
    <w:p>
      <w:pPr>
        <w:keepNext/>
        <w:spacing w:before="160" w:after="60"/>
      </w:pPr>
      <w:r>
        <w:rPr>
          <w:rFonts w:ascii="Arial" w:hAnsi="Arial"/>
          <w:b/>
          <w:color w:val="0284C7"/>
          <w:sz w:val="22"/>
        </w:rPr>
        <w:t>4.1. Diagnóstico del Proceso Actual</w:t>
      </w:r>
    </w:p>
    <w:p>
      <w:pPr>
        <w:spacing w:before="0" w:after="80"/>
      </w:pPr>
      <w:r>
        <w:rPr>
          <w:rFonts w:ascii="Arial" w:hAnsi="Arial"/>
          <w:color w:val="334155"/>
          <w:sz w:val="19"/>
        </w:rPr>
        <w:t>Los proveedores en China identifican los productos con códigos y denominaciones técnicas de fábrica (ej. XY-9082 Polyester Twill). En México, Formatex comercializa la tela bajo un Nombre Comercial oficial (ej. Lino Provenza Crudo). Actualmente este cruce se efectúa de memoria o en archivos de Excel dispersos.</w:t>
      </w:r>
    </w:p>
    <w:p>
      <w:pPr>
        <w:keepNext/>
        <w:spacing w:before="160" w:after="60"/>
      </w:pPr>
      <w:r>
        <w:rPr>
          <w:rFonts w:ascii="Arial" w:hAnsi="Arial"/>
          <w:b/>
          <w:color w:val="0284C7"/>
          <w:sz w:val="22"/>
        </w:rPr>
        <w:t>4.2. Ficha Técnica Unificada del Producto (Sku)</w:t>
      </w:r>
    </w:p>
    <w:p>
      <w:pPr>
        <w:spacing w:before="0" w:after="80"/>
      </w:pPr>
      <w:r>
        <w:rPr>
          <w:rFonts w:ascii="Arial" w:hAnsi="Arial"/>
          <w:color w:val="334155"/>
          <w:sz w:val="19"/>
        </w:rPr>
        <w:t>En el catálogo del WMS, cada SKU textil integrará de forma obligatoria los atributos de equivalencia:</w:t>
      </w:r>
    </w:p>
    <w:p>
      <w:pPr>
        <w:pStyle w:val="ListBullet"/>
        <w:spacing w:before="20" w:after="40"/>
      </w:pPr>
      <w:r>
        <w:rPr>
          <w:rFonts w:ascii="Arial" w:hAnsi="Arial"/>
          <w:b/>
          <w:color w:val="1B365D"/>
          <w:sz w:val="19"/>
        </w:rPr>
        <w:t xml:space="preserve">codigoChina / nombreChino: </w:t>
      </w:r>
      <w:r>
        <w:rPr>
          <w:rFonts w:ascii="Arial" w:hAnsi="Arial"/>
          <w:color w:val="334155"/>
          <w:sz w:val="19"/>
        </w:rPr>
        <w:t>Código y descripción técnica original del fabricante en China.</w:t>
      </w:r>
    </w:p>
    <w:p>
      <w:pPr>
        <w:pStyle w:val="ListBullet"/>
        <w:spacing w:before="20" w:after="40"/>
      </w:pPr>
      <w:r>
        <w:rPr>
          <w:rFonts w:ascii="Arial" w:hAnsi="Arial"/>
          <w:b/>
          <w:color w:val="1B365D"/>
          <w:sz w:val="19"/>
        </w:rPr>
        <w:t xml:space="preserve">nombreComercial: </w:t>
      </w:r>
      <w:r>
        <w:rPr>
          <w:rFonts w:ascii="Arial" w:hAnsi="Arial"/>
          <w:color w:val="334155"/>
          <w:sz w:val="19"/>
        </w:rPr>
        <w:t>Nombre comercial y comercializable en México para cotización y facturación.</w:t>
      </w:r>
    </w:p>
    <w:p>
      <w:pPr>
        <w:pStyle w:val="ListBullet"/>
        <w:spacing w:before="20" w:after="40"/>
      </w:pPr>
      <w:r>
        <w:rPr>
          <w:rFonts w:ascii="Arial" w:hAnsi="Arial"/>
          <w:b/>
          <w:color w:val="1B365D"/>
          <w:sz w:val="19"/>
        </w:rPr>
        <w:t xml:space="preserve">Especificaciones Técnicas: </w:t>
      </w:r>
      <w:r>
        <w:rPr>
          <w:rFonts w:ascii="Arial" w:hAnsi="Arial"/>
          <w:color w:val="334155"/>
          <w:sz w:val="19"/>
        </w:rPr>
        <w:t>Composición textil, ancho útil en metros, gramaje (g/m²) y proveedor de origen.</w:t>
      </w:r>
    </w:p>
    <w:p>
      <w:pPr>
        <w:pStyle w:val="ListBullet"/>
        <w:spacing w:before="20" w:after="40"/>
      </w:pPr>
      <w:r>
        <w:rPr>
          <w:rFonts w:ascii="Arial" w:hAnsi="Arial"/>
          <w:b/>
          <w:color w:val="1B365D"/>
          <w:sz w:val="19"/>
        </w:rPr>
        <w:t xml:space="preserve">Catálogo Compartido: </w:t>
      </w:r>
      <w:r>
        <w:rPr>
          <w:rFonts w:ascii="Arial" w:hAnsi="Arial"/>
          <w:color w:val="334155"/>
          <w:sz w:val="19"/>
        </w:rPr>
        <w:t>El catálogo es único e idéntico para Telares y Formatex. Lo único que difiere son las existencias por almacén y los costos inter-empresa.</w:t>
      </w:r>
    </w:p>
    <w:p>
      <w:pPr>
        <w:keepNext/>
        <w:spacing w:before="280" w:after="80"/>
      </w:pPr>
      <w:r>
        <w:rPr>
          <w:rFonts w:ascii="Arial" w:hAnsi="Arial"/>
          <w:b/>
          <w:color w:val="1B365D"/>
          <w:sz w:val="26"/>
        </w:rPr>
        <w:t>5. Regla de Negocio 4: Doble Costeo, Divisas y Trazabilidad Histórica por Pedimento</w:t>
      </w:r>
    </w:p>
    <w:p>
      <w:pPr>
        <w:keepNext/>
        <w:spacing w:before="160" w:after="60"/>
      </w:pPr>
      <w:r>
        <w:rPr>
          <w:rFonts w:ascii="Arial" w:hAnsi="Arial"/>
          <w:b/>
          <w:color w:val="0284C7"/>
          <w:sz w:val="22"/>
        </w:rPr>
        <w:t>5.1. Doble Dimensión de Costo Obligatoria</w:t>
      </w:r>
    </w:p>
    <w:p>
      <w:pPr>
        <w:pStyle w:val="ListBullet"/>
        <w:spacing w:before="20" w:after="40"/>
      </w:pPr>
      <w:r>
        <w:rPr>
          <w:rFonts w:ascii="Arial" w:hAnsi="Arial"/>
          <w:b/>
          <w:color w:val="1B365D"/>
          <w:sz w:val="19"/>
        </w:rPr>
        <w:t xml:space="preserve">Costo en Origen (costoOrigenUSD): </w:t>
      </w:r>
      <w:r>
        <w:rPr>
          <w:rFonts w:ascii="Arial" w:hAnsi="Arial"/>
          <w:color w:val="334155"/>
          <w:sz w:val="19"/>
        </w:rPr>
        <w:t>Precio unitario pactado con el proveedor en Dólares Americanos ($/m USD).</w:t>
      </w:r>
    </w:p>
    <w:p>
      <w:pPr>
        <w:pStyle w:val="ListBullet"/>
        <w:spacing w:before="20" w:after="40"/>
      </w:pPr>
      <w:r>
        <w:rPr>
          <w:rFonts w:ascii="Arial" w:hAnsi="Arial"/>
          <w:b/>
          <w:color w:val="1B365D"/>
          <w:sz w:val="19"/>
        </w:rPr>
        <w:t xml:space="preserve">Costo Puesto en México (costoPuestoMexicoMXN / Landed Cost): </w:t>
      </w:r>
      <w:r>
        <w:rPr>
          <w:rFonts w:ascii="Arial" w:hAnsi="Arial"/>
          <w:color w:val="334155"/>
          <w:sz w:val="19"/>
        </w:rPr>
        <w:t>Costo final en Pesos Mexicanos ($/m MXN) integrando flete marítimo, seguro internacional, maniobras portuarias, almacenajes e impuestos aduanales (aranceles/DTA).</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180" w:type="dxa"/>
              <w:right w:w="180" w:type="dxa"/>
            </w:tcMar>
            <w:tcBorders>
              <w:left w:val="single" w:sz="24" w:space="0" w:color="0284C7"/>
              <w:top w:val="none"/>
              <w:right w:val="none"/>
              <w:bottom w:val="none"/>
            </w:tcBorders>
          </w:tcPr>
          <w:p>
            <w:pPr>
              <w:spacing w:after="80"/>
            </w:pPr>
            <w:r>
              <w:rPr>
                <w:rFonts w:ascii="Arial" w:hAnsi="Arial"/>
                <w:b/>
                <w:color w:val="0E7490"/>
                <w:sz w:val="20"/>
              </w:rPr>
              <w:t>📌 REGLA CRÍTICA: ANCLAJE HISTÓRICO AL TIPO DE CAMBIO DEL PEDIMENTO</w:t>
              <w:br/>
            </w:r>
            <w:r>
              <w:rPr>
                <w:rFonts w:ascii="Arial" w:hAnsi="Arial"/>
                <w:color w:val="334155"/>
                <w:sz w:val="19"/>
              </w:rPr>
              <w:t>Queda estrictamente prohibido recalcular costos históricos de compras anteriores utilizando el tipo de cambio del día de la consulta o tasas flotantes del DOF actual. Todo costeo en moneda nacional queda anclado de forma inmutable al Tipo de Cambio Oficial del Pedimento Aduanal liquidado en la fecha de despacho ante el SAT. El WMS registrará obligatoriamente: Folio oficial de Pedimento (15 dígitos), Fecha de Pago del Pedimento, Tipo de Cambio del Pedimento, Aduana de Despacho y Agente Aduanal.</w:t>
            </w:r>
          </w:p>
        </w:tc>
      </w:tr>
    </w:tbl>
    <w:p>
      <w:pPr>
        <w:spacing w:after="80"/>
      </w:pPr>
    </w:p>
    <w:p>
      <w:pPr>
        <w:keepNext/>
        <w:spacing w:before="280" w:after="80"/>
      </w:pPr>
      <w:r>
        <w:rPr>
          <w:rFonts w:ascii="Arial" w:hAnsi="Arial"/>
          <w:b/>
          <w:color w:val="1B365D"/>
          <w:sz w:val="26"/>
        </w:rPr>
        <w:t>6. Regla de Negocio 5: Reposición Inter-Bodegas (Telares y Tejidos → Formatex)</w:t>
      </w:r>
    </w:p>
    <w:p>
      <w:pPr>
        <w:keepNext/>
        <w:spacing w:before="160" w:after="60"/>
      </w:pPr>
      <w:r>
        <w:rPr>
          <w:rFonts w:ascii="Arial" w:hAnsi="Arial"/>
          <w:b/>
          <w:color w:val="0284C7"/>
          <w:sz w:val="22"/>
        </w:rPr>
        <w:t>6.1. Frecuencia y Modalidades de Pedido</w:t>
      </w:r>
    </w:p>
    <w:p>
      <w:pPr>
        <w:pStyle w:val="ListBullet"/>
        <w:spacing w:before="20" w:after="40"/>
      </w:pPr>
      <w:r>
        <w:rPr>
          <w:rFonts w:ascii="Arial" w:hAnsi="Arial"/>
          <w:b/>
          <w:color w:val="1B365D"/>
          <w:sz w:val="19"/>
        </w:rPr>
        <w:t xml:space="preserve">Frecuencia Regular: </w:t>
      </w:r>
      <w:r>
        <w:rPr>
          <w:rFonts w:ascii="Arial" w:hAnsi="Arial"/>
          <w:color w:val="334155"/>
          <w:sz w:val="19"/>
        </w:rPr>
        <w:t>Se efectúan de cinco (5) a seis (6) pedidos semanales de Formatex hacia Telares.</w:t>
      </w:r>
    </w:p>
    <w:p>
      <w:pPr>
        <w:pStyle w:val="ListBullet"/>
        <w:spacing w:before="20" w:after="40"/>
      </w:pPr>
      <w:r>
        <w:rPr>
          <w:rFonts w:ascii="Arial" w:hAnsi="Arial"/>
          <w:b/>
          <w:color w:val="1B365D"/>
          <w:sz w:val="19"/>
        </w:rPr>
        <w:t xml:space="preserve">Consolidado Matutino Diario: </w:t>
      </w:r>
      <w:r>
        <w:rPr>
          <w:rFonts w:ascii="Arial" w:hAnsi="Arial"/>
          <w:color w:val="334155"/>
          <w:sz w:val="19"/>
        </w:rPr>
        <w:t>Al inicio de cada jornada se genera una orden concentrada que agrupa los rollos requeridos por los clientes cuyas compras se formalizaron el día anterior. La transferencia física se realiza y recibe el mismo día.</w:t>
      </w:r>
    </w:p>
    <w:p>
      <w:pPr>
        <w:pStyle w:val="ListBullet"/>
        <w:spacing w:before="20" w:after="40"/>
      </w:pPr>
      <w:r>
        <w:rPr>
          <w:rFonts w:ascii="Arial" w:hAnsi="Arial"/>
          <w:b/>
          <w:color w:val="1B365D"/>
          <w:sz w:val="19"/>
        </w:rPr>
        <w:t xml:space="preserve">Traspasos Exprés Vespertinos: </w:t>
      </w:r>
      <w:r>
        <w:rPr>
          <w:rFonts w:ascii="Arial" w:hAnsi="Arial"/>
          <w:color w:val="334155"/>
          <w:sz w:val="19"/>
        </w:rPr>
        <w:t>Para pedidos críticos de la tarde, el sistema admite tramitar órdenes urgentes de reposición desde un (1) rollo individual.</w:t>
      </w:r>
    </w:p>
    <w:p>
      <w:pPr>
        <w:keepNext/>
        <w:spacing w:before="160" w:after="60"/>
      </w:pPr>
      <w:r>
        <w:rPr>
          <w:rFonts w:ascii="Arial" w:hAnsi="Arial"/>
          <w:b/>
          <w:color w:val="0284C7"/>
          <w:sz w:val="22"/>
        </w:rPr>
        <w:t>6.2. Coordinación Operativa de Almacén</w:t>
      </w:r>
    </w:p>
    <w:p>
      <w:pPr>
        <w:spacing w:before="0" w:after="80"/>
      </w:pPr>
      <w:r>
        <w:rPr>
          <w:rFonts w:ascii="Arial" w:hAnsi="Arial"/>
          <w:color w:val="334155"/>
          <w:sz w:val="19"/>
        </w:rPr>
        <w:t>La coordinación física de carga, traslado y descarga entre Bodega Rensselaer y Formatex es gestionada operativamente por Israel (Almacén). El WMS registrará el pase de salida de Telares y la recepción en Formatex para conciliación inmediata de stock.</w:t>
      </w:r>
    </w:p>
    <w:p>
      <w:pPr>
        <w:keepNext/>
        <w:spacing w:before="280" w:after="80"/>
      </w:pPr>
      <w:r>
        <w:rPr>
          <w:rFonts w:ascii="Arial" w:hAnsi="Arial"/>
          <w:b/>
          <w:color w:val="1B365D"/>
          <w:sz w:val="26"/>
        </w:rPr>
        <w:t>7. Regla de Negocio 6: Facturación Inter-Compañía y Regla de Protección de Margen</w:t>
      </w:r>
    </w:p>
    <w:p>
      <w:pPr>
        <w:keepNext/>
        <w:spacing w:before="160" w:after="60"/>
      </w:pPr>
      <w:r>
        <w:rPr>
          <w:rFonts w:ascii="Arial" w:hAnsi="Arial"/>
          <w:b/>
          <w:color w:val="0284C7"/>
          <w:sz w:val="22"/>
        </w:rPr>
        <w:t>7.1. Margen Inter-Empresa (Telares a Formatex)</w:t>
      </w:r>
    </w:p>
    <w:p>
      <w:pPr>
        <w:spacing w:before="0" w:after="80"/>
      </w:pPr>
      <w:r>
        <w:rPr>
          <w:rFonts w:ascii="Arial" w:hAnsi="Arial"/>
          <w:color w:val="334155"/>
          <w:sz w:val="19"/>
        </w:rPr>
        <w:t>Telares y Tejidos factura la mercancía transferida a Formatex sumando un margen pactado de entre el 7% y el 12% sobre el costo de importación puesto en México.</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180" w:type="dxa"/>
              <w:right w:w="180" w:type="dxa"/>
            </w:tcMar>
            <w:tcBorders>
              <w:left w:val="single" w:sz="24" w:space="0" w:color="D97706"/>
              <w:top w:val="none"/>
              <w:right w:val="none"/>
              <w:bottom w:val="none"/>
            </w:tcBorders>
          </w:tcPr>
          <w:p>
            <w:pPr>
              <w:spacing w:after="80"/>
            </w:pPr>
            <w:r>
              <w:rPr>
                <w:rFonts w:ascii="Arial" w:hAnsi="Arial"/>
                <w:b/>
                <w:color w:val="0E7490"/>
                <w:sz w:val="20"/>
              </w:rPr>
              <w:t>📌 REGLA DE PROTECCIÓN DE UTILIDAD: COSTO DEL ÚLTIMO EMBARQUE MÁS ALTO</w:t>
              <w:br/>
            </w:r>
            <w:r>
              <w:rPr>
                <w:rFonts w:ascii="Arial" w:hAnsi="Arial"/>
                <w:color w:val="334155"/>
                <w:sz w:val="19"/>
              </w:rPr>
              <w:t>Cuando en las bodegas de Telares coexistan rollos de una misma tela ingresados en diferentes embarques o fechas con costos dispares de flete o divisas, el sistema tomará como base de facturación el costo del último embarque más alto recibido. Esta regla blinda a la empresa contra mermas en el margen ante encarecimientos logísticos sobrevenidos. El WMS emitirá un reporte preliminar de utilidad previo al timbrado fiscal del CFDI inter-empresa.</w:t>
            </w:r>
          </w:p>
        </w:tc>
      </w:tr>
    </w:tbl>
    <w:p>
      <w:pPr>
        <w:spacing w:after="80"/>
      </w:pPr>
    </w:p>
    <w:p>
      <w:pPr>
        <w:keepNext/>
        <w:spacing w:before="280" w:after="80"/>
      </w:pPr>
      <w:r>
        <w:rPr>
          <w:rFonts w:ascii="Arial" w:hAnsi="Arial"/>
          <w:b/>
          <w:color w:val="1B365D"/>
          <w:sz w:val="26"/>
        </w:rPr>
        <w:t>8. Regla de Negocio 7: Integración con Atención al Cliente (ATC) y Disponibilidad Neta</w:t>
      </w:r>
    </w:p>
    <w:p>
      <w:pPr>
        <w:keepNext/>
        <w:spacing w:before="160" w:after="60"/>
      </w:pPr>
      <w:r>
        <w:rPr>
          <w:rFonts w:ascii="Arial" w:hAnsi="Arial"/>
          <w:b/>
          <w:color w:val="0284C7"/>
          <w:sz w:val="22"/>
        </w:rPr>
        <w:t>8.1. Desglose Transparente de Disponibilidad</w:t>
      </w:r>
    </w:p>
    <w:p>
      <w:pPr>
        <w:spacing w:before="0" w:after="80"/>
      </w:pPr>
      <w:r>
        <w:rPr>
          <w:rFonts w:ascii="Arial" w:hAnsi="Arial"/>
          <w:color w:val="334155"/>
          <w:sz w:val="19"/>
        </w:rPr>
        <w:t>Las asesoras de ATC visualizarán en sus consultas tres niveles de disponibilidad:</w:t>
      </w:r>
    </w:p>
    <w:p>
      <w:pPr>
        <w:pStyle w:val="ListBullet"/>
        <w:spacing w:before="20" w:after="40"/>
      </w:pPr>
      <w:r>
        <w:rPr>
          <w:rFonts w:ascii="Arial" w:hAnsi="Arial"/>
          <w:b/>
          <w:color w:val="1B365D"/>
          <w:sz w:val="19"/>
        </w:rPr>
        <w:t xml:space="preserve">Stock Disponible Formatex: </w:t>
      </w:r>
      <w:r>
        <w:rPr>
          <w:rFonts w:ascii="Arial" w:hAnsi="Arial"/>
          <w:color w:val="334155"/>
          <w:sz w:val="19"/>
        </w:rPr>
        <w:t>Rollos físicos en bodega Formatex para despacho inmediato.</w:t>
      </w:r>
    </w:p>
    <w:p>
      <w:pPr>
        <w:pStyle w:val="ListBullet"/>
        <w:spacing w:before="20" w:after="40"/>
      </w:pPr>
      <w:r>
        <w:rPr>
          <w:rFonts w:ascii="Arial" w:hAnsi="Arial"/>
          <w:b/>
          <w:color w:val="1B365D"/>
          <w:sz w:val="19"/>
        </w:rPr>
        <w:t xml:space="preserve">Stock Disponible Telares (Rensselaer): </w:t>
      </w:r>
      <w:r>
        <w:rPr>
          <w:rFonts w:ascii="Arial" w:hAnsi="Arial"/>
          <w:color w:val="334155"/>
          <w:sz w:val="19"/>
        </w:rPr>
        <w:t>Rollos en bodega matriz para entrega en 24 horas vía traspaso diario.</w:t>
      </w:r>
    </w:p>
    <w:p>
      <w:pPr>
        <w:pStyle w:val="ListBullet"/>
        <w:spacing w:before="20" w:after="40"/>
      </w:pPr>
      <w:r>
        <w:rPr>
          <w:rFonts w:ascii="Arial" w:hAnsi="Arial"/>
          <w:b/>
          <w:color w:val="1B365D"/>
          <w:sz w:val="19"/>
        </w:rPr>
        <w:t xml:space="preserve">Stock en Tránsito Marítimo: </w:t>
      </w:r>
      <w:r>
        <w:rPr>
          <w:rFonts w:ascii="Arial" w:hAnsi="Arial"/>
          <w:color w:val="334155"/>
          <w:sz w:val="19"/>
        </w:rPr>
        <w:t>Rollos en buque con número de contenedor y fecha estimada de arribo (ETA).</w:t>
      </w:r>
    </w:p>
    <w:p>
      <w:pPr>
        <w:keepNext/>
        <w:spacing w:before="160" w:after="60"/>
      </w:pPr>
      <w:r>
        <w:rPr>
          <w:rFonts w:ascii="Arial" w:hAnsi="Arial"/>
          <w:b/>
          <w:color w:val="0284C7"/>
          <w:sz w:val="22"/>
        </w:rPr>
        <w:t>8.2. Regla de Disponibilidad Neta</w:t>
      </w:r>
    </w:p>
    <w:p>
      <w:pPr>
        <w:spacing w:before="0" w:after="80"/>
      </w:pPr>
      <w:r>
        <w:rPr>
          <w:rFonts w:ascii="Arial" w:hAnsi="Arial"/>
          <w:color w:val="334155"/>
          <w:sz w:val="19"/>
        </w:rPr>
        <w:t>La cantidad ofrecible al cliente es calculada automáticamente por el sistema:</w:t>
      </w:r>
    </w:p>
    <w:p>
      <w:pPr>
        <w:spacing w:before="0" w:after="80"/>
      </w:pPr>
      <w:r>
        <w:rPr>
          <w:rFonts w:ascii="Arial" w:hAnsi="Arial"/>
          <w:color w:val="334155"/>
          <w:sz w:val="19"/>
        </w:rPr>
        <w:t>Disponibilidad Neta = (Stock Físico TNT + Stock Físico Formatex + Tránsito) − (Apartados Activos 72h + Backorders FIFO)</w:t>
      </w:r>
    </w:p>
    <w:p>
      <w:pPr>
        <w:spacing w:before="0" w:after="80"/>
      </w:pPr>
      <w:r>
        <w:rPr>
          <w:rFonts w:ascii="Arial" w:hAnsi="Arial"/>
          <w:color w:val="334155"/>
          <w:sz w:val="19"/>
        </w:rPr>
        <w:t>Queda prohibido ofrecer rollos que se encuentren comprometidos en apartados comerciales firmes o en la cola FIFO de otros clientes.</w:t>
      </w:r>
    </w:p>
    <w:p>
      <w:pPr>
        <w:keepNext/>
        <w:spacing w:before="280" w:after="80"/>
      </w:pPr>
      <w:r>
        <w:rPr>
          <w:rFonts w:ascii="Arial" w:hAnsi="Arial"/>
          <w:b/>
          <w:color w:val="1B365D"/>
          <w:sz w:val="26"/>
        </w:rPr>
        <w:t>9. Regla de Negocio 8: Trazabilidad Integral en Recepción (Lote - Proveedor - Embarque)</w:t>
      </w:r>
    </w:p>
    <w:p>
      <w:pPr>
        <w:spacing w:before="0" w:after="80"/>
      </w:pPr>
      <w:r>
        <w:rPr>
          <w:rFonts w:ascii="Arial" w:hAnsi="Arial"/>
          <w:color w:val="334155"/>
          <w:sz w:val="19"/>
        </w:rPr>
        <w:t>Al registrar el ingreso de rollos textiles en el WMS, es mandatorio capturar:</w:t>
      </w:r>
    </w:p>
    <w:p>
      <w:pPr>
        <w:pStyle w:val="ListBullet"/>
        <w:spacing w:before="20" w:after="40"/>
      </w:pPr>
      <w:r>
        <w:rPr>
          <w:rFonts w:ascii="Arial" w:hAnsi="Arial"/>
          <w:b/>
          <w:color w:val="1B365D"/>
          <w:sz w:val="19"/>
        </w:rPr>
        <w:t xml:space="preserve">Lote de Fabricación: </w:t>
      </w:r>
      <w:r>
        <w:rPr>
          <w:rFonts w:ascii="Arial" w:hAnsi="Arial"/>
          <w:color w:val="334155"/>
          <w:sz w:val="19"/>
        </w:rPr>
        <w:t>Código del lote textil emitido por la fábrica de origen.</w:t>
      </w:r>
    </w:p>
    <w:p>
      <w:pPr>
        <w:pStyle w:val="ListBullet"/>
        <w:spacing w:before="20" w:after="40"/>
      </w:pPr>
      <w:r>
        <w:rPr>
          <w:rFonts w:ascii="Arial" w:hAnsi="Arial"/>
          <w:b/>
          <w:color w:val="1B365D"/>
          <w:sz w:val="19"/>
        </w:rPr>
        <w:t xml:space="preserve">Proveedor de Origen: </w:t>
      </w:r>
      <w:r>
        <w:rPr>
          <w:rFonts w:ascii="Arial" w:hAnsi="Arial"/>
          <w:color w:val="334155"/>
          <w:sz w:val="19"/>
        </w:rPr>
        <w:t>Fabricante extranjero o nacional registrado en catálogo.</w:t>
      </w:r>
    </w:p>
    <w:p>
      <w:pPr>
        <w:pStyle w:val="ListBullet"/>
        <w:spacing w:before="20" w:after="40"/>
      </w:pPr>
      <w:r>
        <w:rPr>
          <w:rFonts w:ascii="Arial" w:hAnsi="Arial"/>
          <w:b/>
          <w:color w:val="1B365D"/>
          <w:sz w:val="19"/>
        </w:rPr>
        <w:t xml:space="preserve">Contenedor / Pedimento: </w:t>
      </w:r>
      <w:r>
        <w:rPr>
          <w:rFonts w:ascii="Arial" w:hAnsi="Arial"/>
          <w:color w:val="334155"/>
          <w:sz w:val="19"/>
        </w:rPr>
        <w:t>Vinculación al contenedor marítimo o pedimento aduanal correspondiente.</w:t>
      </w:r>
    </w:p>
    <w:p>
      <w:pPr>
        <w:pStyle w:val="ListBullet"/>
        <w:spacing w:before="20" w:after="40"/>
      </w:pPr>
      <w:r>
        <w:rPr>
          <w:rFonts w:ascii="Arial" w:hAnsi="Arial"/>
          <w:b/>
          <w:color w:val="1B365D"/>
          <w:sz w:val="19"/>
        </w:rPr>
        <w:t xml:space="preserve">Graduación de Calidad: </w:t>
      </w:r>
      <w:r>
        <w:rPr>
          <w:rFonts w:ascii="Arial" w:hAnsi="Arial"/>
          <w:color w:val="334155"/>
          <w:sz w:val="19"/>
        </w:rPr>
        <w:t>Clasificación de rollo: Conforme (1a calidad), Segunda, Saldo o Muestrario.</w:t>
      </w:r>
    </w:p>
    <w:p>
      <w:pPr>
        <w:keepNext/>
        <w:spacing w:before="280" w:after="80"/>
      </w:pPr>
      <w:r>
        <w:rPr>
          <w:rFonts w:ascii="Arial" w:hAnsi="Arial"/>
          <w:b/>
          <w:color w:val="1B365D"/>
          <w:sz w:val="26"/>
        </w:rPr>
        <w:t>10. Matriz de Compromisos y Entregables (Checklist)</w:t>
      </w:r>
    </w:p>
    <w:tbl>
      <w:tblPr>
        <w:tblW w:type="auto" w:w="0"/>
        <w:jc w:val="center"/>
        <w:tblLook w:firstColumn="1" w:firstRow="1" w:lastColumn="0" w:lastRow="0" w:noHBand="0" w:noVBand="1" w:val="04A0"/>
      </w:tblPr>
      <w:tblGrid>
        <w:gridCol w:w="3120"/>
        <w:gridCol w:w="3120"/>
        <w:gridCol w:w="3120"/>
      </w:tblGrid>
      <w:tr>
        <w:tc>
          <w:tcPr>
            <w:tcW w:type="dxa" w:w="3120"/>
            <w:shd w:fill="1B365D"/>
            <w:tcMar>
              <w:top w:w="80" w:type="dxa"/>
              <w:bottom w:w="80" w:type="dxa"/>
              <w:left w:w="100" w:type="dxa"/>
              <w:right w:w="100" w:type="dxa"/>
            </w:tcMar>
          </w:tcPr>
          <w:p>
            <w:r>
              <w:rPr>
                <w:rFonts w:ascii="Arial" w:hAnsi="Arial"/>
                <w:b/>
                <w:color w:val="FFFFFF"/>
                <w:sz w:val="18"/>
              </w:rPr>
              <w:t>Responsable</w:t>
            </w:r>
          </w:p>
        </w:tc>
        <w:tc>
          <w:tcPr>
            <w:tcW w:type="dxa" w:w="3120"/>
            <w:shd w:fill="1B365D"/>
            <w:tcMar>
              <w:top w:w="80" w:type="dxa"/>
              <w:bottom w:w="80" w:type="dxa"/>
              <w:left w:w="100" w:type="dxa"/>
              <w:right w:w="100" w:type="dxa"/>
            </w:tcMar>
          </w:tcPr>
          <w:p>
            <w:r>
              <w:rPr>
                <w:rFonts w:ascii="Arial" w:hAnsi="Arial"/>
                <w:b/>
                <w:color w:val="FFFFFF"/>
                <w:sz w:val="18"/>
              </w:rPr>
              <w:t>Entregable / Acción Acordada</w:t>
            </w:r>
          </w:p>
        </w:tc>
        <w:tc>
          <w:tcPr>
            <w:tcW w:type="dxa" w:w="3120"/>
            <w:shd w:fill="1B365D"/>
            <w:tcMar>
              <w:top w:w="80" w:type="dxa"/>
              <w:bottom w:w="80" w:type="dxa"/>
              <w:left w:w="100" w:type="dxa"/>
              <w:right w:w="100" w:type="dxa"/>
            </w:tcMar>
          </w:tcPr>
          <w:p>
            <w:r>
              <w:rPr>
                <w:rFonts w:ascii="Arial" w:hAnsi="Arial"/>
                <w:b/>
                <w:color w:val="FFFFFF"/>
                <w:sz w:val="18"/>
              </w:rPr>
              <w:t>Estatus</w:t>
            </w:r>
          </w:p>
        </w:tc>
      </w:tr>
      <w:tr>
        <w:tc>
          <w:tcPr>
            <w:tcW w:type="dxa" w:w="3120"/>
            <w:shd w:fill="FFFFFF"/>
            <w:tcMar>
              <w:top w:w="60" w:type="dxa"/>
              <w:bottom w:w="60" w:type="dxa"/>
              <w:left w:w="80" w:type="dxa"/>
              <w:right w:w="80" w:type="dxa"/>
            </w:tcMar>
          </w:tcPr>
          <w:p>
            <w:r>
              <w:rPr>
                <w:rFonts w:ascii="Arial" w:hAnsi="Arial"/>
                <w:b/>
                <w:color w:val="1B365D"/>
                <w:sz w:val="17"/>
              </w:rPr>
              <w:t>Elba / Mane</w:t>
            </w:r>
          </w:p>
        </w:tc>
        <w:tc>
          <w:tcPr>
            <w:tcW w:type="dxa" w:w="3120"/>
            <w:shd w:fill="FFFFFF"/>
            <w:tcMar>
              <w:top w:w="60" w:type="dxa"/>
              <w:bottom w:w="60" w:type="dxa"/>
              <w:left w:w="80" w:type="dxa"/>
              <w:right w:w="80" w:type="dxa"/>
            </w:tcMar>
          </w:tcPr>
          <w:p>
            <w:r>
              <w:rPr>
                <w:rFonts w:ascii="Arial" w:hAnsi="Arial"/>
                <w:color w:val="334155"/>
                <w:sz w:val="17"/>
              </w:rPr>
              <w:t>Compartir ejemplos de cálculo de costos (FOB, gastos incrementables y costo Landed en México)</w:t>
            </w:r>
          </w:p>
        </w:tc>
        <w:tc>
          <w:tcPr>
            <w:tcW w:type="dxa" w:w="3120"/>
            <w:shd w:fill="FFFFFF"/>
            <w:tcMar>
              <w:top w:w="60" w:type="dxa"/>
              <w:bottom w:w="60" w:type="dxa"/>
              <w:left w:w="80" w:type="dxa"/>
              <w:right w:w="80" w:type="dxa"/>
            </w:tcMar>
          </w:tcPr>
          <w:p>
            <w:r>
              <w:rPr>
                <w:rFonts w:ascii="Arial" w:hAnsi="Arial"/>
                <w:color w:val="334155"/>
                <w:sz w:val="17"/>
              </w:rPr>
              <w:t>Pendiente envío</w:t>
            </w:r>
          </w:p>
        </w:tc>
      </w:tr>
      <w:tr>
        <w:tc>
          <w:tcPr>
            <w:tcW w:type="dxa" w:w="3120"/>
            <w:shd w:fill="F8FAFC"/>
            <w:tcMar>
              <w:top w:w="60" w:type="dxa"/>
              <w:bottom w:w="60" w:type="dxa"/>
              <w:left w:w="80" w:type="dxa"/>
              <w:right w:w="80" w:type="dxa"/>
            </w:tcMar>
          </w:tcPr>
          <w:p>
            <w:r>
              <w:rPr>
                <w:rFonts w:ascii="Arial" w:hAnsi="Arial"/>
                <w:b/>
                <w:color w:val="1B365D"/>
                <w:sz w:val="17"/>
              </w:rPr>
              <w:t>Elba / Mane</w:t>
            </w:r>
          </w:p>
        </w:tc>
        <w:tc>
          <w:tcPr>
            <w:tcW w:type="dxa" w:w="3120"/>
            <w:shd w:fill="F8FAFC"/>
            <w:tcMar>
              <w:top w:w="60" w:type="dxa"/>
              <w:bottom w:w="60" w:type="dxa"/>
              <w:left w:w="80" w:type="dxa"/>
              <w:right w:w="80" w:type="dxa"/>
            </w:tcMar>
          </w:tcPr>
          <w:p>
            <w:r>
              <w:rPr>
                <w:rFonts w:ascii="Arial" w:hAnsi="Arial"/>
                <w:color w:val="334155"/>
                <w:sz w:val="17"/>
              </w:rPr>
              <w:t>Compartir formato oficial de Órdenes de Compra a China y órdenes de pedido Formatex ↔ Telares</w:t>
            </w:r>
          </w:p>
        </w:tc>
        <w:tc>
          <w:tcPr>
            <w:tcW w:type="dxa" w:w="3120"/>
            <w:shd w:fill="F8FAFC"/>
            <w:tcMar>
              <w:top w:w="60" w:type="dxa"/>
              <w:bottom w:w="60" w:type="dxa"/>
              <w:left w:w="80" w:type="dxa"/>
              <w:right w:w="80" w:type="dxa"/>
            </w:tcMar>
          </w:tcPr>
          <w:p>
            <w:r>
              <w:rPr>
                <w:rFonts w:ascii="Arial" w:hAnsi="Arial"/>
                <w:color w:val="334155"/>
                <w:sz w:val="17"/>
              </w:rPr>
              <w:t>Pendiente envío</w:t>
            </w:r>
          </w:p>
        </w:tc>
      </w:tr>
      <w:tr>
        <w:tc>
          <w:tcPr>
            <w:tcW w:type="dxa" w:w="3120"/>
            <w:shd w:fill="FFFFFF"/>
            <w:tcMar>
              <w:top w:w="60" w:type="dxa"/>
              <w:bottom w:w="60" w:type="dxa"/>
              <w:left w:w="80" w:type="dxa"/>
              <w:right w:w="80" w:type="dxa"/>
            </w:tcMar>
          </w:tcPr>
          <w:p>
            <w:r>
              <w:rPr>
                <w:rFonts w:ascii="Arial" w:hAnsi="Arial"/>
                <w:b/>
                <w:color w:val="1B365D"/>
                <w:sz w:val="17"/>
              </w:rPr>
              <w:t>Elba / Mane</w:t>
            </w:r>
          </w:p>
        </w:tc>
        <w:tc>
          <w:tcPr>
            <w:tcW w:type="dxa" w:w="3120"/>
            <w:shd w:fill="FFFFFF"/>
            <w:tcMar>
              <w:top w:w="60" w:type="dxa"/>
              <w:bottom w:w="60" w:type="dxa"/>
              <w:left w:w="80" w:type="dxa"/>
              <w:right w:w="80" w:type="dxa"/>
            </w:tcMar>
          </w:tcPr>
          <w:p>
            <w:r>
              <w:rPr>
                <w:rFonts w:ascii="Arial" w:hAnsi="Arial"/>
                <w:color w:val="334155"/>
                <w:sz w:val="17"/>
              </w:rPr>
              <w:t>Compartir catálogo actual con relación de códigos/nombres de China vs. nombres comerciales</w:t>
            </w:r>
          </w:p>
        </w:tc>
        <w:tc>
          <w:tcPr>
            <w:tcW w:type="dxa" w:w="3120"/>
            <w:shd w:fill="FFFFFF"/>
            <w:tcMar>
              <w:top w:w="60" w:type="dxa"/>
              <w:bottom w:w="60" w:type="dxa"/>
              <w:left w:w="80" w:type="dxa"/>
              <w:right w:w="80" w:type="dxa"/>
            </w:tcMar>
          </w:tcPr>
          <w:p>
            <w:r>
              <w:rPr>
                <w:rFonts w:ascii="Arial" w:hAnsi="Arial"/>
                <w:color w:val="334155"/>
                <w:sz w:val="17"/>
              </w:rPr>
              <w:t>Pendiente envío</w:t>
            </w:r>
          </w:p>
        </w:tc>
      </w:tr>
      <w:tr>
        <w:tc>
          <w:tcPr>
            <w:tcW w:type="dxa" w:w="3120"/>
            <w:shd w:fill="F8FAFC"/>
            <w:tcMar>
              <w:top w:w="60" w:type="dxa"/>
              <w:bottom w:w="60" w:type="dxa"/>
              <w:left w:w="80" w:type="dxa"/>
              <w:right w:w="80" w:type="dxa"/>
            </w:tcMar>
          </w:tcPr>
          <w:p>
            <w:r>
              <w:rPr>
                <w:rFonts w:ascii="Arial" w:hAnsi="Arial"/>
                <w:b/>
                <w:color w:val="1B365D"/>
                <w:sz w:val="17"/>
              </w:rPr>
              <w:t>Elba / Mane</w:t>
            </w:r>
          </w:p>
        </w:tc>
        <w:tc>
          <w:tcPr>
            <w:tcW w:type="dxa" w:w="3120"/>
            <w:shd w:fill="F8FAFC"/>
            <w:tcMar>
              <w:top w:w="60" w:type="dxa"/>
              <w:bottom w:w="60" w:type="dxa"/>
              <w:left w:w="80" w:type="dxa"/>
              <w:right w:w="80" w:type="dxa"/>
            </w:tcMar>
          </w:tcPr>
          <w:p>
            <w:r>
              <w:rPr>
                <w:rFonts w:ascii="Arial" w:hAnsi="Arial"/>
                <w:color w:val="334155"/>
                <w:sz w:val="17"/>
              </w:rPr>
              <w:t>Compartir capturas de pantalla de la estructura actual en CONTPAQi Comercial (módulo compras y costos)</w:t>
            </w:r>
          </w:p>
        </w:tc>
        <w:tc>
          <w:tcPr>
            <w:tcW w:type="dxa" w:w="3120"/>
            <w:shd w:fill="F8FAFC"/>
            <w:tcMar>
              <w:top w:w="60" w:type="dxa"/>
              <w:bottom w:w="60" w:type="dxa"/>
              <w:left w:w="80" w:type="dxa"/>
              <w:right w:w="80" w:type="dxa"/>
            </w:tcMar>
          </w:tcPr>
          <w:p>
            <w:r>
              <w:rPr>
                <w:rFonts w:ascii="Arial" w:hAnsi="Arial"/>
                <w:color w:val="334155"/>
                <w:sz w:val="17"/>
              </w:rPr>
              <w:t>Pendiente envío</w:t>
            </w:r>
          </w:p>
        </w:tc>
      </w:tr>
      <w:tr>
        <w:tc>
          <w:tcPr>
            <w:tcW w:type="dxa" w:w="3120"/>
            <w:shd w:fill="FFFFFF"/>
            <w:tcMar>
              <w:top w:w="60" w:type="dxa"/>
              <w:bottom w:w="60" w:type="dxa"/>
              <w:left w:w="80" w:type="dxa"/>
              <w:right w:w="80" w:type="dxa"/>
            </w:tcMar>
          </w:tcPr>
          <w:p>
            <w:r>
              <w:rPr>
                <w:rFonts w:ascii="Arial" w:hAnsi="Arial"/>
                <w:b/>
                <w:color w:val="1B365D"/>
                <w:sz w:val="17"/>
              </w:rPr>
              <w:t>Movida TCI</w:t>
            </w:r>
          </w:p>
        </w:tc>
        <w:tc>
          <w:tcPr>
            <w:tcW w:type="dxa" w:w="3120"/>
            <w:shd w:fill="FFFFFF"/>
            <w:tcMar>
              <w:top w:w="60" w:type="dxa"/>
              <w:bottom w:w="60" w:type="dxa"/>
              <w:left w:w="80" w:type="dxa"/>
              <w:right w:w="80" w:type="dxa"/>
            </w:tcMar>
          </w:tcPr>
          <w:p>
            <w:r>
              <w:rPr>
                <w:rFonts w:ascii="Arial" w:hAnsi="Arial"/>
                <w:color w:val="334155"/>
                <w:sz w:val="17"/>
              </w:rPr>
              <w:t>Entrega de documento oficial de especificación y reglas de negocio para revisión y firma</w:t>
            </w:r>
          </w:p>
        </w:tc>
        <w:tc>
          <w:tcPr>
            <w:tcW w:type="dxa" w:w="3120"/>
            <w:shd w:fill="FFFFFF"/>
            <w:tcMar>
              <w:top w:w="60" w:type="dxa"/>
              <w:bottom w:w="60" w:type="dxa"/>
              <w:left w:w="80" w:type="dxa"/>
              <w:right w:w="80" w:type="dxa"/>
            </w:tcMar>
          </w:tcPr>
          <w:p>
            <w:r>
              <w:rPr>
                <w:rFonts w:ascii="Arial" w:hAnsi="Arial"/>
                <w:b/>
                <w:color w:val="10B981"/>
                <w:sz w:val="17"/>
              </w:rPr>
              <w:t>COMPLETADO</w:t>
            </w:r>
          </w:p>
        </w:tc>
      </w:tr>
      <w:tr>
        <w:tc>
          <w:tcPr>
            <w:tcW w:type="dxa" w:w="3120"/>
            <w:shd w:fill="F8FAFC"/>
            <w:tcMar>
              <w:top w:w="60" w:type="dxa"/>
              <w:bottom w:w="60" w:type="dxa"/>
              <w:left w:w="80" w:type="dxa"/>
              <w:right w:w="80" w:type="dxa"/>
            </w:tcMar>
          </w:tcPr>
          <w:p>
            <w:r>
              <w:rPr>
                <w:rFonts w:ascii="Arial" w:hAnsi="Arial"/>
                <w:b/>
                <w:color w:val="1B365D"/>
                <w:sz w:val="17"/>
              </w:rPr>
              <w:t>Movida TCI &amp; Israel</w:t>
            </w:r>
          </w:p>
        </w:tc>
        <w:tc>
          <w:tcPr>
            <w:tcW w:type="dxa" w:w="3120"/>
            <w:shd w:fill="F8FAFC"/>
            <w:tcMar>
              <w:top w:w="60" w:type="dxa"/>
              <w:bottom w:w="60" w:type="dxa"/>
              <w:left w:w="80" w:type="dxa"/>
              <w:right w:w="80" w:type="dxa"/>
            </w:tcMar>
          </w:tcPr>
          <w:p>
            <w:r>
              <w:rPr>
                <w:rFonts w:ascii="Arial" w:hAnsi="Arial"/>
                <w:color w:val="334155"/>
                <w:sz w:val="17"/>
              </w:rPr>
              <w:t>Agendar sesión técnica con Israel (Almacén) para afinar el flujo de transferencia física inter-bodegas</w:t>
            </w:r>
          </w:p>
        </w:tc>
        <w:tc>
          <w:tcPr>
            <w:tcW w:type="dxa" w:w="3120"/>
            <w:shd w:fill="F8FAFC"/>
            <w:tcMar>
              <w:top w:w="60" w:type="dxa"/>
              <w:bottom w:w="60" w:type="dxa"/>
              <w:left w:w="80" w:type="dxa"/>
              <w:right w:w="80" w:type="dxa"/>
            </w:tcMar>
          </w:tcPr>
          <w:p>
            <w:r>
              <w:rPr>
                <w:rFonts w:ascii="Arial" w:hAnsi="Arial"/>
                <w:color w:val="334155"/>
                <w:sz w:val="17"/>
              </w:rPr>
              <w:t>Por agendar</w:t>
            </w:r>
          </w:p>
        </w:tc>
      </w:tr>
      <w:tr>
        <w:tc>
          <w:tcPr>
            <w:tcW w:type="dxa" w:w="3120"/>
            <w:shd w:fill="FFFFFF"/>
            <w:tcMar>
              <w:top w:w="60" w:type="dxa"/>
              <w:bottom w:w="60" w:type="dxa"/>
              <w:left w:w="80" w:type="dxa"/>
              <w:right w:w="80" w:type="dxa"/>
            </w:tcMar>
          </w:tcPr>
          <w:p>
            <w:r>
              <w:rPr>
                <w:rFonts w:ascii="Arial" w:hAnsi="Arial"/>
                <w:b/>
                <w:color w:val="1B365D"/>
                <w:sz w:val="17"/>
              </w:rPr>
              <w:t>Equipo Conjunto</w:t>
            </w:r>
          </w:p>
        </w:tc>
        <w:tc>
          <w:tcPr>
            <w:tcW w:type="dxa" w:w="3120"/>
            <w:shd w:fill="FFFFFF"/>
            <w:tcMar>
              <w:top w:w="60" w:type="dxa"/>
              <w:bottom w:w="60" w:type="dxa"/>
              <w:left w:w="80" w:type="dxa"/>
              <w:right w:w="80" w:type="dxa"/>
            </w:tcMar>
          </w:tcPr>
          <w:p>
            <w:r>
              <w:rPr>
                <w:rFonts w:ascii="Arial" w:hAnsi="Arial"/>
                <w:color w:val="334155"/>
                <w:sz w:val="17"/>
              </w:rPr>
              <w:t>Agendar Sesión 2 para revisión a profundidad del Archivo Máster de Formatex</w:t>
            </w:r>
          </w:p>
        </w:tc>
        <w:tc>
          <w:tcPr>
            <w:tcW w:type="dxa" w:w="3120"/>
            <w:shd w:fill="FFFFFF"/>
            <w:tcMar>
              <w:top w:w="60" w:type="dxa"/>
              <w:bottom w:w="60" w:type="dxa"/>
              <w:left w:w="80" w:type="dxa"/>
              <w:right w:w="80" w:type="dxa"/>
            </w:tcMar>
          </w:tcPr>
          <w:p>
            <w:r>
              <w:rPr>
                <w:rFonts w:ascii="Arial" w:hAnsi="Arial"/>
                <w:color w:val="334155"/>
                <w:sz w:val="17"/>
              </w:rPr>
              <w:t>Por agendar</w:t>
            </w:r>
          </w:p>
        </w:tc>
      </w:tr>
    </w:tbl>
    <w:p>
      <w:pPr>
        <w:keepNext/>
        <w:spacing w:before="280" w:after="80"/>
      </w:pPr>
      <w:r>
        <w:rPr>
          <w:rFonts w:ascii="Arial" w:hAnsi="Arial"/>
          <w:b/>
          <w:color w:val="1B365D"/>
          <w:sz w:val="26"/>
        </w:rPr>
        <w:t>11. Formalización y Firmas de Conformidad</w:t>
      </w:r>
    </w:p>
    <w:p>
      <w:pPr>
        <w:spacing w:before="0" w:after="80"/>
      </w:pPr>
      <w:r>
        <w:rPr>
          <w:rFonts w:ascii="Arial" w:hAnsi="Arial"/>
          <w:color w:val="334155"/>
          <w:sz w:val="19"/>
        </w:rPr>
        <w:t>Al firmar el presente documento, las partes manifiestan su plena conformidad con los requerimientos, criterios de costeo, reglas inter-compañía y flujos operativos aquí descritos, reconociéndolos como el marco oficial de desarrollo y control de cambios para el módulo de Compras e Importaciones del WMS 360+ Formatex:</w:t>
      </w:r>
    </w:p>
    <w:p>
      <w:pPr>
        <w:spacing w:after="240"/>
      </w:pPr>
    </w:p>
    <w:tbl>
      <w:tblPr>
        <w:tblW w:type="auto" w:w="0"/>
        <w:jc w:val="center"/>
        <w:tblLook w:firstColumn="1" w:firstRow="1" w:lastColumn="0" w:lastRow="0" w:noHBand="0" w:noVBand="1" w:val="04A0"/>
      </w:tblPr>
      <w:tblGrid>
        <w:gridCol w:w="4680"/>
        <w:gridCol w:w="4680"/>
      </w:tblGrid>
      <w:tr>
        <w:tc>
          <w:tcPr>
            <w:tcW w:type="dxa" w:w="4608"/>
            <w:tcMar>
              <w:top w:w="40" w:type="dxa"/>
              <w:bottom w:w="40" w:type="dxa"/>
              <w:left w:w="60" w:type="dxa"/>
              <w:right w:w="60" w:type="dxa"/>
            </w:tcMar>
          </w:tcPr>
          <w:p>
            <w:pPr>
              <w:spacing w:after="80"/>
              <w:jc w:val="center"/>
            </w:pPr>
            <w:r>
              <w:rPr>
                <w:rFonts w:ascii="Arial" w:hAnsi="Arial"/>
                <w:color w:val="334155"/>
                <w:sz w:val="17"/>
              </w:rPr>
              <w:t>_________________________________________</w:t>
              <w:br/>
              <w:t>Elba</w:t>
              <w:br/>
              <w:t>Compras e Importaciones</w:t>
              <w:br/>
              <w:t>Telares y Tejidos / Formatex</w:t>
              <w:br/>
              <w:t>Fecha: _____ / _____ / 2026</w:t>
            </w:r>
          </w:p>
        </w:tc>
        <w:tc>
          <w:tcPr>
            <w:tcW w:type="dxa" w:w="4608"/>
            <w:tcMar>
              <w:top w:w="40" w:type="dxa"/>
              <w:bottom w:w="40" w:type="dxa"/>
              <w:left w:w="60" w:type="dxa"/>
              <w:right w:w="60" w:type="dxa"/>
            </w:tcMar>
          </w:tcPr>
          <w:p>
            <w:pPr>
              <w:spacing w:after="80"/>
              <w:jc w:val="center"/>
            </w:pPr>
            <w:r>
              <w:rPr>
                <w:rFonts w:ascii="Arial" w:hAnsi="Arial"/>
                <w:color w:val="334155"/>
                <w:sz w:val="17"/>
              </w:rPr>
              <w:t>_________________________________________</w:t>
              <w:br/>
              <w:t>Mane</w:t>
              <w:br/>
              <w:t>Especialista en Importaciones</w:t>
              <w:br/>
              <w:t>Telares y Tejidos S.A. de C.V.</w:t>
              <w:br/>
              <w:t>Fecha: _____ / _____ / 2026</w:t>
            </w:r>
          </w:p>
        </w:tc>
      </w:tr>
      <w:tr>
        <w:tc>
          <w:tcPr>
            <w:tcW w:type="dxa" w:w="4608"/>
            <w:tcMar>
              <w:top w:w="40" w:type="dxa"/>
              <w:bottom w:w="40" w:type="dxa"/>
              <w:left w:w="60" w:type="dxa"/>
              <w:right w:w="60" w:type="dxa"/>
            </w:tcMar>
          </w:tcPr>
          <w:p>
            <w:pPr>
              <w:spacing w:after="80"/>
              <w:jc w:val="center"/>
            </w:pPr>
            <w:r>
              <w:rPr>
                <w:rFonts w:ascii="Arial" w:hAnsi="Arial"/>
                <w:color w:val="334155"/>
                <w:sz w:val="17"/>
              </w:rPr>
            </w:r>
          </w:p>
        </w:tc>
        <w:tc>
          <w:tcPr>
            <w:tcW w:type="dxa" w:w="4608"/>
            <w:tcMar>
              <w:top w:w="40" w:type="dxa"/>
              <w:bottom w:w="40" w:type="dxa"/>
              <w:left w:w="60" w:type="dxa"/>
              <w:right w:w="60" w:type="dxa"/>
            </w:tcMar>
          </w:tcPr>
          <w:p>
            <w:pPr>
              <w:spacing w:after="80"/>
              <w:jc w:val="center"/>
            </w:pPr>
            <w:r>
              <w:rPr>
                <w:rFonts w:ascii="Arial" w:hAnsi="Arial"/>
                <w:color w:val="334155"/>
                <w:sz w:val="17"/>
              </w:rPr>
            </w:r>
          </w:p>
        </w:tc>
      </w:tr>
      <w:tr>
        <w:tc>
          <w:tcPr>
            <w:tcW w:type="dxa" w:w="4608"/>
            <w:tcMar>
              <w:top w:w="40" w:type="dxa"/>
              <w:bottom w:w="40" w:type="dxa"/>
              <w:left w:w="60" w:type="dxa"/>
              <w:right w:w="60" w:type="dxa"/>
            </w:tcMar>
          </w:tcPr>
          <w:p>
            <w:pPr>
              <w:spacing w:after="80"/>
              <w:jc w:val="center"/>
            </w:pPr>
            <w:r>
              <w:rPr>
                <w:rFonts w:ascii="Arial" w:hAnsi="Arial"/>
                <w:color w:val="334155"/>
                <w:sz w:val="17"/>
              </w:rPr>
              <w:t>_________________________________________</w:t>
              <w:br/>
              <w:t>Andrea Ramírez</w:t>
              <w:br/>
              <w:t>Atención al Cliente &amp; Operaciones</w:t>
              <w:br/>
              <w:t>Forma Textil S. de R.L. de C.V.</w:t>
              <w:br/>
              <w:t>Fecha: _____ / _____ / 2026</w:t>
            </w:r>
          </w:p>
        </w:tc>
        <w:tc>
          <w:tcPr>
            <w:tcW w:type="dxa" w:w="4608"/>
            <w:tcMar>
              <w:top w:w="40" w:type="dxa"/>
              <w:bottom w:w="40" w:type="dxa"/>
              <w:left w:w="60" w:type="dxa"/>
              <w:right w:w="60" w:type="dxa"/>
            </w:tcMar>
          </w:tcPr>
          <w:p>
            <w:pPr>
              <w:spacing w:after="80"/>
              <w:jc w:val="center"/>
            </w:pPr>
            <w:r>
              <w:rPr>
                <w:rFonts w:ascii="Arial" w:hAnsi="Arial"/>
                <w:color w:val="334155"/>
                <w:sz w:val="17"/>
              </w:rPr>
              <w:t>_________________________________________</w:t>
              <w:br/>
              <w:t>Ricardo Zerpa</w:t>
              <w:br/>
              <w:t>Arquitectura de Producto &amp; Procesos</w:t>
              <w:br/>
              <w:t>Movida TCI LLC</w:t>
              <w:br/>
              <w:t>Fecha: _____ / _____ / 2026</w:t>
            </w:r>
          </w:p>
        </w:tc>
      </w:tr>
      <w:tr>
        <w:tc>
          <w:tcPr>
            <w:tcW w:type="dxa" w:w="4608"/>
            <w:tcMar>
              <w:top w:w="40" w:type="dxa"/>
              <w:bottom w:w="40" w:type="dxa"/>
              <w:left w:w="60" w:type="dxa"/>
              <w:right w:w="60" w:type="dxa"/>
            </w:tcMar>
          </w:tcPr>
          <w:p>
            <w:pPr>
              <w:spacing w:after="80"/>
              <w:jc w:val="center"/>
            </w:pPr>
            <w:r>
              <w:rPr>
                <w:rFonts w:ascii="Arial" w:hAnsi="Arial"/>
                <w:color w:val="334155"/>
                <w:sz w:val="17"/>
              </w:rPr>
            </w:r>
          </w:p>
        </w:tc>
        <w:tc>
          <w:tcPr>
            <w:tcW w:type="dxa" w:w="4608"/>
            <w:tcMar>
              <w:top w:w="40" w:type="dxa"/>
              <w:bottom w:w="40" w:type="dxa"/>
              <w:left w:w="60" w:type="dxa"/>
              <w:right w:w="60" w:type="dxa"/>
            </w:tcMar>
          </w:tcPr>
          <w:p>
            <w:pPr>
              <w:spacing w:after="80"/>
              <w:jc w:val="center"/>
            </w:pPr>
            <w:r>
              <w:rPr>
                <w:rFonts w:ascii="Arial" w:hAnsi="Arial"/>
                <w:color w:val="334155"/>
                <w:sz w:val="17"/>
              </w:rPr>
            </w:r>
          </w:p>
        </w:tc>
      </w:tr>
      <w:tr>
        <w:tc>
          <w:tcPr>
            <w:tcW w:type="dxa" w:w="4608"/>
            <w:tcMar>
              <w:top w:w="40" w:type="dxa"/>
              <w:bottom w:w="40" w:type="dxa"/>
              <w:left w:w="60" w:type="dxa"/>
              <w:right w:w="60" w:type="dxa"/>
            </w:tcMar>
          </w:tcPr>
          <w:p>
            <w:pPr>
              <w:spacing w:after="80"/>
              <w:jc w:val="center"/>
            </w:pPr>
            <w:r>
              <w:rPr>
                <w:rFonts w:ascii="Arial" w:hAnsi="Arial"/>
                <w:color w:val="334155"/>
                <w:sz w:val="17"/>
              </w:rPr>
              <w:t>_________________________________________</w:t>
              <w:br/>
              <w:t>Jonathan Palacios</w:t>
              <w:br/>
              <w:t>Dirección Técnica &amp; Desarrollo WMS</w:t>
              <w:br/>
              <w:t>Movida TCI LLC</w:t>
              <w:br/>
              <w:t>Fecha: _____ / _____ / 2026</w:t>
            </w:r>
          </w:p>
        </w:tc>
        <w:tc>
          <w:tcPr>
            <w:tcW w:type="dxa" w:w="4608"/>
            <w:tcMar>
              <w:top w:w="40" w:type="dxa"/>
              <w:bottom w:w="40" w:type="dxa"/>
              <w:left w:w="60" w:type="dxa"/>
              <w:right w:w="60" w:type="dxa"/>
            </w:tcMar>
          </w:tcPr>
          <w:p>
            <w:pPr>
              <w:spacing w:after="80"/>
              <w:jc w:val="center"/>
            </w:pPr>
            <w:r>
              <w:rPr>
                <w:rFonts w:ascii="Arial" w:hAnsi="Arial"/>
                <w:color w:val="334155"/>
                <w:sz w:val="17"/>
              </w:rPr>
            </w:r>
          </w:p>
        </w:tc>
      </w:tr>
      <w:tr>
        <w:tc>
          <w:tcPr>
            <w:tcW w:type="dxa" w:w="4680"/>
          </w:tcPr>
          <w:p/>
        </w:tc>
        <w:tc>
          <w:tcPr>
            <w:tcW w:type="dxa" w:w="4680"/>
          </w:tcPr>
          <w:p/>
        </w:tc>
      </w:tr>
    </w:tbl>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