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730A3"/>
          <w:sz w:val="18"/>
        </w:rPr>
        <w:t>FORMATEX WMS 360° · DOCUMENTO MAESTRO DE OPERACIONES &amp; STORYTELLING</w:t>
      </w:r>
    </w:p>
    <w:p>
      <w:pPr>
        <w:spacing w:before="80" w:after="40"/>
      </w:pPr>
      <w:r>
        <w:rPr>
          <w:b/>
          <w:color w:val="0F172A"/>
          <w:sz w:val="44"/>
        </w:rPr>
        <w:t>El Funcionamiento de Formatex</w:t>
      </w:r>
    </w:p>
    <w:p>
      <w:pPr>
        <w:spacing w:after="240"/>
      </w:pPr>
      <w:r>
        <w:rPr>
          <w:i/>
          <w:color w:val="64748B"/>
          <w:sz w:val="24"/>
        </w:rPr>
        <w:t>Del Hilo en Asia a la Sala en México: La Odisea Textil Paso a Paso</w:t>
      </w:r>
    </w:p>
    <w:tbl>
      <w:tblPr>
        <w:tblW w:type="auto" w:w="0"/>
        <w:jc w:val="center"/>
        <w:tblLayout w:type="fixed"/>
        <w:tblLook w:firstColumn="1" w:firstRow="1" w:lastColumn="0" w:lastRow="0" w:noHBand="0" w:noVBand="1" w:val="04A0"/>
      </w:tblPr>
      <w:tblGrid>
        <w:gridCol w:w="3168"/>
        <w:gridCol w:w="6192"/>
      </w:tblGrid>
      <w:tr>
        <w:tc>
          <w:tcPr>
            <w:tcW w:type="dxa" w:w="4824"/>
            <w:shd w:fill="f8fafc"/>
            <w:tcMar>
              <w:top w:w="60" w:type="dxa"/>
              <w:bottom w:w="60" w:type="dxa"/>
              <w:left w:w="100" w:type="dxa"/>
              <w:right w:w="100" w:type="dxa"/>
            </w:tcMar>
          </w:tcPr>
          <w:p>
            <w:r>
              <w:rPr>
                <w:b/>
                <w:color w:val="0F172A"/>
                <w:sz w:val="19"/>
              </w:rPr>
              <w:t>Organización:</w:t>
            </w:r>
          </w:p>
        </w:tc>
        <w:tc>
          <w:tcPr>
            <w:tcW w:type="dxa" w:w="4824"/>
            <w:shd w:fill="f8fafc"/>
            <w:tcMar>
              <w:top w:w="60" w:type="dxa"/>
              <w:bottom w:w="60" w:type="dxa"/>
              <w:left w:w="100" w:type="dxa"/>
              <w:right w:w="100" w:type="dxa"/>
            </w:tcMar>
          </w:tcPr>
          <w:p>
            <w:r>
              <w:rPr>
                <w:color w:val="334155"/>
                <w:sz w:val="19"/>
              </w:rPr>
              <w:t>Forma Textil S. de R.L. de C.V. &amp; Telares y Tejidos S.A. de C.V.</w:t>
            </w:r>
          </w:p>
        </w:tc>
      </w:tr>
      <w:tr>
        <w:tc>
          <w:tcPr>
            <w:tcW w:type="dxa" w:w="4824"/>
            <w:shd w:fill="f8fafc"/>
            <w:tcMar>
              <w:top w:w="60" w:type="dxa"/>
              <w:bottom w:w="60" w:type="dxa"/>
              <w:left w:w="100" w:type="dxa"/>
              <w:right w:w="100" w:type="dxa"/>
            </w:tcMar>
          </w:tcPr>
          <w:p>
            <w:r>
              <w:rPr>
                <w:b/>
                <w:color w:val="0F172A"/>
                <w:sz w:val="19"/>
              </w:rPr>
              <w:t>Socio Tecnológico:</w:t>
            </w:r>
          </w:p>
        </w:tc>
        <w:tc>
          <w:tcPr>
            <w:tcW w:type="dxa" w:w="4824"/>
            <w:shd w:fill="f8fafc"/>
            <w:tcMar>
              <w:top w:w="60" w:type="dxa"/>
              <w:bottom w:w="60" w:type="dxa"/>
              <w:left w:w="100" w:type="dxa"/>
              <w:right w:w="100" w:type="dxa"/>
            </w:tcMar>
          </w:tcPr>
          <w:p>
            <w:r>
              <w:rPr>
                <w:color w:val="334155"/>
                <w:sz w:val="19"/>
              </w:rPr>
              <w:t>Movida TCI LLC</w:t>
            </w:r>
          </w:p>
        </w:tc>
      </w:tr>
      <w:tr>
        <w:tc>
          <w:tcPr>
            <w:tcW w:type="dxa" w:w="4824"/>
            <w:shd w:fill="f8fafc"/>
            <w:tcMar>
              <w:top w:w="60" w:type="dxa"/>
              <w:bottom w:w="60" w:type="dxa"/>
              <w:left w:w="100" w:type="dxa"/>
              <w:right w:w="100" w:type="dxa"/>
            </w:tcMar>
          </w:tcPr>
          <w:p>
            <w:r>
              <w:rPr>
                <w:b/>
                <w:color w:val="0F172A"/>
                <w:sz w:val="19"/>
              </w:rPr>
              <w:t>Propósito del Documento:</w:t>
            </w:r>
          </w:p>
        </w:tc>
        <w:tc>
          <w:tcPr>
            <w:tcW w:type="dxa" w:w="4824"/>
            <w:shd w:fill="f8fafc"/>
            <w:tcMar>
              <w:top w:w="60" w:type="dxa"/>
              <w:bottom w:w="60" w:type="dxa"/>
              <w:left w:w="100" w:type="dxa"/>
              <w:right w:w="100" w:type="dxa"/>
            </w:tcMar>
          </w:tcPr>
          <w:p>
            <w:r>
              <w:rPr>
                <w:color w:val="334155"/>
                <w:sz w:val="19"/>
              </w:rPr>
              <w:t>Manual integral pedagógico, glosario no técnico y reglas matemáticas de negocio</w:t>
            </w:r>
          </w:p>
        </w:tc>
      </w:tr>
      <w:tr>
        <w:tc>
          <w:tcPr>
            <w:tcW w:type="dxa" w:w="4824"/>
            <w:shd w:fill="f8fafc"/>
            <w:tcMar>
              <w:top w:w="60" w:type="dxa"/>
              <w:bottom w:w="60" w:type="dxa"/>
              <w:left w:w="100" w:type="dxa"/>
              <w:right w:w="100" w:type="dxa"/>
            </w:tcMar>
          </w:tcPr>
          <w:p>
            <w:r>
              <w:rPr>
                <w:b/>
                <w:color w:val="0F172A"/>
                <w:sz w:val="19"/>
              </w:rPr>
              <w:t>Versión y Fecha:</w:t>
            </w:r>
          </w:p>
        </w:tc>
        <w:tc>
          <w:tcPr>
            <w:tcW w:type="dxa" w:w="4824"/>
            <w:shd w:fill="f8fafc"/>
            <w:tcMar>
              <w:top w:w="60" w:type="dxa"/>
              <w:bottom w:w="60" w:type="dxa"/>
              <w:left w:w="100" w:type="dxa"/>
              <w:right w:w="100" w:type="dxa"/>
            </w:tcMar>
          </w:tcPr>
          <w:p>
            <w:r>
              <w:rPr>
                <w:color w:val="334155"/>
                <w:sz w:val="19"/>
              </w:rPr>
              <w:t>Versión 1.0 Oficial · Octubre de 2026</w:t>
            </w:r>
          </w:p>
        </w:tc>
      </w:tr>
    </w:tbl>
    <w:p>
      <w:pPr>
        <w:spacing w:after="160"/>
      </w:pPr>
    </w:p>
    <w:p>
      <w:pPr>
        <w:spacing w:before="280" w:after="80"/>
      </w:pPr>
      <w:r>
        <w:rPr>
          <w:b/>
          <w:color w:val="3730A3"/>
          <w:sz w:val="28"/>
        </w:rPr>
        <w:t>Prólogo: ¿Por qué existe este documento y cómo leerlo?</w:t>
      </w:r>
    </w:p>
    <w:p>
      <w:r>
        <w:t xml:space="preserve">Este documento no es un manual técnico aburrido ni una lista fría de requisitos informáticos. Es la </w:t>
      </w:r>
      <w:r>
        <w:rPr>
          <w:b/>
        </w:rPr>
        <w:t>historia viva de cómo funciona Formatex</w:t>
      </w:r>
      <w:r>
        <w:t>, contada de principio a fin, para que cualquier persona que se integre a la empresa o al equipo de desarrollo entienda el negocio textil sin rodeos.</w:t>
        <w:br/>
        <w:br/>
        <w:t>Aquí no se asume que el lector es un experto en aduanas, ni un gurú de almacenes, ni un actuario financiero. Cada término extraño (como FOB, Pedimento, Handling Unit, Landed Cost o Backorder) se explica con palabras sencillas y ejemplos cotidianos.</w:t>
        <w:br/>
        <w:br/>
        <w:t>A lo largo de este viaje, acompañaremos a un rollo de tela —desde que es hilado y teñido en las factorías textiles de China, hasta que viaja 35 días a bordo de un buque carguero cruzando el Océano Pacífico, desembarca en el Puerto de Manzanillo, se divide entre dos empresas hermanas en Guadalajara y termina tapizando los sillones de un fabricante en Arandas o un desarrollo residencial en Zapopan—.</w:t>
      </w:r>
    </w:p>
    <w:tbl>
      <w:tblPr>
        <w:tblW w:type="auto" w:w="0"/>
        <w:jc w:val="center"/>
        <w:tblLayout w:type="fixed"/>
        <w:tblLook w:firstColumn="1" w:firstRow="1" w:lastColumn="0" w:lastRow="0" w:noHBand="0" w:noVBand="1" w:val="04A0"/>
      </w:tblPr>
      <w:tblGrid>
        <w:gridCol w:w="9360"/>
      </w:tblGrid>
      <w:tr>
        <w:tc>
          <w:tcPr>
            <w:tcW w:type="dxa" w:w="9648"/>
            <w:shd w:fill="eff6ff"/>
            <w:tcMar>
              <w:top w:w="140" w:type="dxa"/>
              <w:bottom w:w="140" w:type="dxa"/>
              <w:left w:w="180" w:type="dxa"/>
              <w:right w:w="180" w:type="dxa"/>
            </w:tcMar>
            <w:tcBorders>
              <w:left w:val="single" w:sz="24" w:space="0" w:color="2563eb"/>
              <w:top w:val="none"/>
              <w:right w:val="none"/>
              <w:bottom w:val="none"/>
            </w:tcBorders>
          </w:tcPr>
          <w:p>
            <w:pPr>
              <w:spacing w:before="0" w:after="40"/>
            </w:pPr>
            <w:r>
              <w:rPr>
                <w:b/>
                <w:color w:val="0F172A"/>
                <w:sz w:val="21"/>
              </w:rPr>
              <w:t>💡 La Misión de Formatex WMS 360°</w:t>
              <w:br/>
            </w:r>
            <w:r>
              <w:rPr>
                <w:color w:val="334155"/>
                <w:sz w:val="19"/>
              </w:rPr>
              <w:t>El software opera como un puente digital entre la lentitud de la cadena de suministro internacional (Asia requiere 12 semanas entre confección y navegación) y la inmediatez del cliente mexicano (que exige entrega en 24 a 48 horas). El WMS sincroniza stock físico, tránsito marítimo y logística de ruta en un único tablero compartido.</w:t>
            </w:r>
          </w:p>
        </w:tc>
      </w:tr>
    </w:tbl>
    <w:p>
      <w:pPr>
        <w:spacing w:before="0" w:after="120"/>
      </w:pPr>
    </w:p>
    <w:p>
      <w:pPr>
        <w:spacing w:before="280" w:after="80"/>
      </w:pPr>
      <w:r>
        <w:rPr>
          <w:b/>
          <w:color w:val="3730A3"/>
          <w:sz w:val="28"/>
        </w:rPr>
        <w:t>Capítulo 1: El Lenguaje Secreto de Formatex (Glosario Pedagógico)</w:t>
      </w:r>
    </w:p>
    <w:p>
      <w:pPr>
        <w:spacing w:before="160" w:after="40"/>
      </w:pPr>
      <w:r>
        <w:rPr>
          <w:b/>
          <w:color w:val="0F172A"/>
          <w:sz w:val="23"/>
        </w:rPr>
        <w:t>1.1. Términos de Comercio Exterior e Importaciones</w:t>
      </w:r>
    </w:p>
    <w:p>
      <w:pPr>
        <w:spacing w:after="60"/>
      </w:pPr>
      <w:r>
        <w:rPr>
          <w:b/>
          <w:color w:val="0F172A"/>
        </w:rPr>
        <w:t xml:space="preserve">• FOB (Free On Board / Franco a Bordo): </w:t>
      </w:r>
      <w:r>
        <w:t>Precio que se paga a la fábrica en China. Significa que el fabricante entrega la tela arriba del barco en el puerto de origen (ej. Shanghai o Ningbo). A partir de ahí, flete marítimo, seguros e impuestos corren por nuestra cuenta.</w:t>
      </w:r>
    </w:p>
    <w:p>
      <w:pPr>
        <w:spacing w:after="60"/>
      </w:pPr>
      <w:r>
        <w:rPr>
          <w:b/>
          <w:color w:val="0F172A"/>
        </w:rPr>
        <w:t xml:space="preserve">• BL (Bill of Lading / Conocimiento de Embarque): </w:t>
      </w:r>
      <w:r>
        <w:t>Pasaporte y título legal de propiedad de la mercancía expedido por la naviera (MSC, Maersk, Cosco). Quien posee el BL original es el dueño ante la ley marítima y aduanal.</w:t>
      </w:r>
    </w:p>
    <w:p>
      <w:pPr>
        <w:spacing w:after="60"/>
      </w:pPr>
      <w:r>
        <w:rPr>
          <w:b/>
          <w:color w:val="0F172A"/>
        </w:rPr>
        <w:t xml:space="preserve">• ETA (Estimated Time of Arrival): </w:t>
      </w:r>
      <w:r>
        <w:t>Fecha estimada de arribo del barco al muelle de Manzanillo, Colima.</w:t>
      </w:r>
    </w:p>
    <w:p>
      <w:pPr>
        <w:spacing w:after="60"/>
      </w:pPr>
      <w:r>
        <w:rPr>
          <w:b/>
          <w:color w:val="0F172A"/>
        </w:rPr>
        <w:t xml:space="preserve">• Pedimento Aduanal: </w:t>
      </w:r>
      <w:r>
        <w:t>Acta de nacimiento fiscal de la mercancía ante el SAT. Folio oficial de 15 dígitos que demuestra el pago de impuestos y la legal estancia de la tela en México.</w:t>
      </w:r>
    </w:p>
    <w:p>
      <w:pPr>
        <w:spacing w:after="60"/>
      </w:pPr>
      <w:r>
        <w:rPr>
          <w:b/>
          <w:color w:val="0F172A"/>
        </w:rPr>
        <w:t xml:space="preserve">• Tipo de Cambio Oficial del Pedimento (¡Regla de Oro!): </w:t>
      </w:r>
      <w:r>
        <w:t>Al liquidar la aduana, el SAT fija un tipo de cambio específico. En Formatex queda prohibido costear inventario viejo con el dólar actual; cada rollo queda anclado de por vida al tipo de cambio de su pedimento.</w:t>
      </w:r>
    </w:p>
    <w:p>
      <w:pPr>
        <w:spacing w:after="60"/>
      </w:pPr>
      <w:r>
        <w:rPr>
          <w:b/>
          <w:color w:val="0F172A"/>
        </w:rPr>
        <w:t xml:space="preserve">• Landed Cost (Costo Puesto en México): </w:t>
      </w:r>
      <w:r>
        <w:t>Costo final real por metro ya puesto en Guadalajara, sumando al precio FOB de China: flete marítimo, seguro, grúas en puerto, almacenaje fiscal, arancel de importación y honorarios aduanales.</w:t>
      </w:r>
    </w:p>
    <w:p>
      <w:pPr>
        <w:spacing w:before="160" w:after="40"/>
      </w:pPr>
      <w:r>
        <w:rPr>
          <w:b/>
          <w:color w:val="0F172A"/>
          <w:sz w:val="23"/>
        </w:rPr>
        <w:t>1.2. Términos del Nexo Intercompañía (Telares vs. Formatex)</w:t>
      </w:r>
    </w:p>
    <w:p>
      <w:pPr>
        <w:spacing w:after="60"/>
      </w:pPr>
      <w:r>
        <w:rPr>
          <w:b/>
          <w:color w:val="0F172A"/>
        </w:rPr>
        <w:t xml:space="preserve">• Telares y Tejidos (TNT): </w:t>
      </w:r>
      <w:r>
        <w:t>Persona moral con padrón de importadores ante el SAT. Compra a China y resguarda contenedores masivos en la Bodega Rensselaer (Río Tototlán).</w:t>
      </w:r>
    </w:p>
    <w:p>
      <w:pPr>
        <w:spacing w:after="60"/>
      </w:pPr>
      <w:r>
        <w:rPr>
          <w:b/>
          <w:color w:val="0F172A"/>
        </w:rPr>
        <w:t xml:space="preserve">• Forma Textil (Formatex): </w:t>
      </w:r>
      <w:r>
        <w:t>Comercializadora que atiende a tapiceros, diseñadores y tiendas. Su Bodega La Barca tiene espacio limitado, por lo que solicita producto fraccionado a Telares a diario.</w:t>
      </w:r>
    </w:p>
    <w:p>
      <w:pPr>
        <w:spacing w:after="60"/>
      </w:pPr>
      <w:r>
        <w:rPr>
          <w:b/>
          <w:color w:val="0F172A"/>
        </w:rPr>
        <w:t xml:space="preserve">• 'Se pagan y se dan el vuelto': </w:t>
      </w:r>
      <w:r>
        <w:t>Mismo dueño pero razones sociales independientes. Telares le factura a Formatex con un margen comercial pactado del 7% al 12%.</w:t>
      </w:r>
    </w:p>
    <w:p>
      <w:pPr>
        <w:spacing w:after="60"/>
      </w:pPr>
      <w:r>
        <w:rPr>
          <w:b/>
          <w:color w:val="0F172A"/>
        </w:rPr>
        <w:t xml:space="preserve">• Regla del Costo Más Alto: </w:t>
      </w:r>
      <w:r>
        <w:t>Si conviven rollos viejos (flete barato) y nuevos (flete caro), al transferir a Formatex se toma como base el costo del embarque más reciente y alto para proteger la rentabilidad.</w:t>
      </w:r>
    </w:p>
    <w:p>
      <w:pPr>
        <w:spacing w:after="60"/>
      </w:pPr>
      <w:r>
        <w:rPr>
          <w:b/>
          <w:color w:val="0F172A"/>
        </w:rPr>
        <w:t xml:space="preserve">• Traspasos Digitales: </w:t>
      </w:r>
      <w:r>
        <w:t>Sustitución de notas informales de WhatsApp por órdenes digitales de transferencia con firma y auditoría en el WMS.</w:t>
      </w:r>
    </w:p>
    <w:p>
      <w:pPr>
        <w:spacing w:before="160" w:after="40"/>
      </w:pPr>
      <w:r>
        <w:rPr>
          <w:b/>
          <w:color w:val="0F172A"/>
          <w:sz w:val="23"/>
        </w:rPr>
        <w:t>1.3. Términos de Atención al Cliente (ATC) y Ventas</w:t>
      </w:r>
    </w:p>
    <w:p>
      <w:pPr>
        <w:spacing w:after="60"/>
      </w:pPr>
      <w:r>
        <w:rPr>
          <w:b/>
          <w:color w:val="0F172A"/>
        </w:rPr>
        <w:t xml:space="preserve">• Rollo Completo (≥ 50m) vs. Corte (&lt; 50m): </w:t>
      </w:r>
      <w:r>
        <w:t>Un rollo cerrado se vende a precio estándar. Un corte implica tender, medir, cortar a tijera y empaquetar el sobrante, por lo que se cobra una tarifa superior que absorbe mano de obra y merma.</w:t>
      </w:r>
    </w:p>
    <w:p>
      <w:pPr>
        <w:spacing w:after="60"/>
      </w:pPr>
      <w:r>
        <w:rPr>
          <w:b/>
          <w:color w:val="0F172A"/>
        </w:rPr>
        <w:t xml:space="preserve">• Listas F0 a F10: </w:t>
      </w:r>
      <w:r>
        <w:t>11 listas oficiales de precios. Las listas F3, F5, F7 y F9 cuentan con candados gerenciales obligatorios.</w:t>
      </w:r>
    </w:p>
    <w:p>
      <w:pPr>
        <w:spacing w:after="60"/>
      </w:pPr>
      <w:r>
        <w:rPr>
          <w:b/>
          <w:color w:val="0F172A"/>
        </w:rPr>
        <w:t xml:space="preserve">• Convenios Directivos (ClientSpecialPrice): </w:t>
      </w:r>
      <w:r>
        <w:t>Precios fijos negociados en persona por Dirección General que sobreescriben cualquier lista oficial para cuentas clave.</w:t>
      </w:r>
    </w:p>
    <w:p>
      <w:pPr>
        <w:spacing w:after="60"/>
      </w:pPr>
      <w:r>
        <w:rPr>
          <w:b/>
          <w:color w:val="0F172A"/>
        </w:rPr>
        <w:t xml:space="preserve">• Candado Infranqueable de Precios 🔒: </w:t>
      </w:r>
      <w:r>
        <w:t>La celda de precio en el WMS está bloqueada para captura manual. El sistema determina el precio exacto matemáticamente.</w:t>
      </w:r>
    </w:p>
    <w:p>
      <w:pPr>
        <w:spacing w:after="60"/>
      </w:pPr>
      <w:r>
        <w:rPr>
          <w:b/>
          <w:color w:val="0F172A"/>
        </w:rPr>
        <w:t xml:space="preserve">• Apartado Blando (24h) vs. Firme (72h): </w:t>
      </w:r>
      <w:r>
        <w:t>Blando reserva producto mientras el cliente confirma (expira en 24h automáticas). Firme cuenta con anticipo/pago y tiene hasta 72h para despacho.</w:t>
      </w:r>
    </w:p>
    <w:p>
      <w:pPr>
        <w:spacing w:after="60"/>
      </w:pPr>
      <w:r>
        <w:rPr>
          <w:b/>
          <w:color w:val="0F172A"/>
        </w:rPr>
        <w:t xml:space="preserve">• Backorder FIFO ('BARCORDE'): </w:t>
      </w:r>
      <w:r>
        <w:t>Motor de apartado sobre barcos en altamar. Asigna turno por fecha y hora exactas de solicitud.</w:t>
      </w:r>
    </w:p>
    <w:p>
      <w:pPr>
        <w:spacing w:after="60"/>
      </w:pPr>
      <w:r>
        <w:rPr>
          <w:b/>
          <w:color w:val="0F172A"/>
        </w:rPr>
        <w:t xml:space="preserve">• Retención 'Bodega en Espera de Ruta': </w:t>
      </w:r>
      <w:r>
        <w:t>Candado que impide subir mercancía a la camioneta si el cliente no recibe en ese día (ej. Ruta Ocotlán exclusiva Mar/Jue).</w:t>
      </w:r>
    </w:p>
    <w:p>
      <w:pPr>
        <w:spacing w:before="280" w:after="80"/>
      </w:pPr>
      <w:r>
        <w:rPr>
          <w:b/>
          <w:color w:val="3730A3"/>
          <w:sz w:val="28"/>
        </w:rPr>
        <w:t>Capítulo 2: El Cerebro Matemático (Fórmulas Oficiales)</w:t>
      </w:r>
    </w:p>
    <w:p>
      <w:r>
        <w:rPr>
          <w:b/>
        </w:rPr>
        <w:t>1. Fórmula de Resurtido Maestro (Supply Planning):</w:t>
        <w:br/>
      </w:r>
      <w:r>
        <w:t>Demanda Planificada = Ventas Últimos 4 Meses × 4.5</w:t>
        <w:br/>
        <w:t>Sugerido a Comprar = Demanda Planificada - (Stock Físico + Tránsito en Mar)</w:t>
        <w:br/>
        <w:t>El factor 4.5 cubre los 3 meses y medio que tarda el ciclo entre hilatura en Asia, barco y despacho aduanal.</w:t>
      </w:r>
    </w:p>
    <w:p>
      <w:r>
        <w:rPr>
          <w:b/>
        </w:rPr>
        <w:t>2. Fórmula de Landed Cost en México (Costo TT):</w:t>
        <w:br/>
      </w:r>
      <w:r>
        <w:t>Costo Mercancía MXN = Precio FOB USD × Tipo de Cambio Oficial del Pedimento</w:t>
        <w:br/>
        <w:t>Costo TT (Puesto en México) = Costo Mercancía MXN × 1.23</w:t>
        <w:br/>
        <w:t>El multiplicador 1.23 consolida aranceles (IGI ~10-15%), flete marítimo, seguros, maniobras portuarias y agente aduanal.</w:t>
      </w:r>
    </w:p>
    <w:p>
      <w:r>
        <w:rPr>
          <w:b/>
        </w:rPr>
        <w:t>3. Fórmula de Transferencia Intercompañía (Costo FM):</w:t>
        <w:br/>
      </w:r>
      <w:r>
        <w:t>Costo FM = Costo TT / 0.88</w:t>
        <w:br/>
        <w:t>Garantiza matemáticamente el margen de intermediación comercial del 12% pactado entre Telares y Formatex.</w:t>
      </w:r>
    </w:p>
    <w:p>
      <w:r>
        <w:rPr>
          <w:b/>
        </w:rPr>
        <w:t>4. Fórmula de Disponibilidad Neta:</w:t>
        <w:br/>
      </w:r>
      <w:r>
        <w:t>Disponibilidad Neta = (Stock La Barca + Stock Rensselaer + Tránsito Marítimo) - (Apartados 72h + Backorders Barco)</w:t>
      </w:r>
    </w:p>
    <w:p>
      <w:pPr>
        <w:spacing w:before="280" w:after="80"/>
      </w:pPr>
      <w:r>
        <w:rPr>
          <w:b/>
          <w:color w:val="3730A3"/>
          <w:sz w:val="28"/>
        </w:rPr>
        <w:t>Capítulo 3: La Odisea del Rollo Paso a Paso (Caso Real: 700 Metros)</w:t>
      </w:r>
    </w:p>
    <w:p>
      <w:pPr>
        <w:spacing w:before="80" w:after="40"/>
      </w:pPr>
      <w:r>
        <w:rPr>
          <w:b/>
          <w:color w:val="0F172A"/>
          <w:sz w:val="22"/>
        </w:rPr>
        <w:t>Acto I: En el Pacífico (Elba y Mane)</w:t>
      </w:r>
    </w:p>
    <w:p>
      <w:pPr>
        <w:spacing w:after="120"/>
      </w:pPr>
      <w:r>
        <w:t>El algoritmo de resurtido sugiere comprar ENIGMA IRON (LENIGIRO). Elba emite la orden a China a $2.80 USD FOB. Cuatro semanas después la tela zarpó de Ningbo en el contenedor MSCU-829104-1 con ETA a Manzanillo en 12 días. Mane registra el contenedor en el WMS.</w:t>
      </w:r>
    </w:p>
    <w:p>
      <w:pPr>
        <w:spacing w:before="80" w:after="40"/>
      </w:pPr>
      <w:r>
        <w:rPr>
          <w:b/>
          <w:color w:val="0F172A"/>
          <w:sz w:val="22"/>
        </w:rPr>
        <w:t>Acto II: La Llamada del Cliente (Luis Javier y Andrea Ramírez)</w:t>
      </w:r>
    </w:p>
    <w:p>
      <w:pPr>
        <w:spacing w:after="120"/>
      </w:pPr>
      <w:r>
        <w:t>7 Days Muebles llama a Luis Javier pidiendo 700 metros. Andrea Ramírez captura el pedido en el WMS. El sistema reconoce que es cliente XF y volumen ≥ 50m, asignando la lista F5 con el precio bloqueado con candado 🔒.</w:t>
      </w:r>
    </w:p>
    <w:p>
      <w:pPr>
        <w:spacing w:before="80" w:after="40"/>
      </w:pPr>
      <w:r>
        <w:rPr>
          <w:b/>
          <w:color w:val="0F172A"/>
          <w:sz w:val="22"/>
        </w:rPr>
        <w:t>Acto III: La Danza de la Disponibilidad</w:t>
      </w:r>
    </w:p>
    <w:p>
      <w:pPr>
        <w:spacing w:after="120"/>
      </w:pPr>
      <w:r>
        <w:t>El WMS divide la necesidad: 300m físicos en Nave Formatex (apartados), 100m en Bodega Telares (emite Orden de Traspaso Digital) y 300m sobre el contenedor en el mar (asigna Turno #1 en cola FIFO de Backorder).</w:t>
      </w:r>
    </w:p>
    <w:p>
      <w:pPr>
        <w:spacing w:before="80" w:after="40"/>
      </w:pPr>
      <w:r>
        <w:rPr>
          <w:b/>
          <w:color w:val="0F172A"/>
          <w:sz w:val="22"/>
        </w:rPr>
        <w:t>Acto IV: La Handheld Zebra en Rampa (Israel)</w:t>
      </w:r>
    </w:p>
    <w:p>
      <w:pPr>
        <w:spacing w:after="120"/>
      </w:pPr>
      <w:r>
        <w:t>El contenedor llega de Manzanillo. Israel escanea con la Zebra TC22 en recepción ciega. Al escanear el rollo 1, la Zebra suena: '¡APARTADO FIFO: 7 DAYS MUEBLES!'. La etiqueta HU con código QR se imprime y se dirige a rampa.</w:t>
      </w:r>
    </w:p>
    <w:p>
      <w:pPr>
        <w:spacing w:before="80" w:after="40"/>
      </w:pPr>
      <w:r>
        <w:rPr>
          <w:b/>
          <w:color w:val="0F172A"/>
          <w:sz w:val="22"/>
        </w:rPr>
        <w:t>Acto V: El Candado Logístico de Ruta (Flota Propia)</w:t>
      </w:r>
    </w:p>
    <w:p>
      <w:pPr>
        <w:spacing w:after="120"/>
      </w:pPr>
      <w:r>
        <w:t>El pedido se empaca un Lunes a las 3:30 PM. Como 7 Days Muebles (Arandas) solo recibe Martes y Jueves, el WMS aplica la retención 'Bodega en Espera de Ruta'. El martes a las 7:00 AM sale en la camioneta de ruta Ocotlán/Altos.</w:t>
      </w:r>
    </w:p>
    <w:p>
      <w:pPr>
        <w:spacing w:before="80" w:after="40"/>
      </w:pPr>
      <w:r>
        <w:rPr>
          <w:b/>
          <w:color w:val="0F172A"/>
          <w:sz w:val="22"/>
        </w:rPr>
        <w:t>Acto VI: Cierre Fiscal y CONTPAQi</w:t>
      </w:r>
    </w:p>
    <w:p>
      <w:pPr>
        <w:spacing w:after="120"/>
      </w:pPr>
      <w:r>
        <w:t>El chofer recaba firma digital en la Zebra. Se timbra el CFDI 4.0 al cliente y se exporta la póliza de compra y traspaso a CONTPAQi Comercial automáticamente.</w:t>
      </w:r>
    </w:p>
    <w:p>
      <w:pPr>
        <w:spacing w:before="280" w:after="80"/>
      </w:pPr>
      <w:r>
        <w:rPr>
          <w:b/>
          <w:color w:val="3730A3"/>
          <w:sz w:val="28"/>
        </w:rPr>
        <w:t>Capítulo 4: Mapa de Roles y Accesos en la Plataforma</w:t>
      </w:r>
    </w:p>
    <w:tbl>
      <w:tblPr>
        <w:tblW w:type="auto" w:w="0"/>
        <w:jc w:val="center"/>
        <w:tblLayout w:type="fixed"/>
        <w:tblLook w:firstColumn="1" w:firstRow="1" w:lastColumn="0" w:lastRow="0" w:noHBand="0" w:noVBand="1" w:val="04A0"/>
      </w:tblPr>
      <w:tblGrid>
        <w:gridCol w:w="2592"/>
        <w:gridCol w:w="2592"/>
        <w:gridCol w:w="4176"/>
      </w:tblGrid>
      <w:tr>
        <w:tc>
          <w:tcPr>
            <w:tcW w:type="dxa" w:w="3216"/>
            <w:shd w:fill="1e293b"/>
            <w:tcMar>
              <w:top w:w="80" w:type="dxa"/>
              <w:bottom w:w="80" w:type="dxa"/>
              <w:left w:w="100" w:type="dxa"/>
              <w:right w:w="100" w:type="dxa"/>
            </w:tcMar>
          </w:tcPr>
          <w:p>
            <w:r>
              <w:rPr>
                <w:b/>
                <w:color w:val="FFFFFF"/>
                <w:sz w:val="19"/>
              </w:rPr>
              <w:t>Rol de Sistema</w:t>
            </w:r>
          </w:p>
        </w:tc>
        <w:tc>
          <w:tcPr>
            <w:tcW w:type="dxa" w:w="3216"/>
            <w:shd w:fill="1e293b"/>
            <w:tcMar>
              <w:top w:w="80" w:type="dxa"/>
              <w:bottom w:w="80" w:type="dxa"/>
              <w:left w:w="100" w:type="dxa"/>
              <w:right w:w="100" w:type="dxa"/>
            </w:tcMar>
          </w:tcPr>
          <w:p>
            <w:r>
              <w:rPr>
                <w:b/>
                <w:color w:val="FFFFFF"/>
                <w:sz w:val="19"/>
              </w:rPr>
              <w:t>Usuarios Asignados</w:t>
            </w:r>
          </w:p>
        </w:tc>
        <w:tc>
          <w:tcPr>
            <w:tcW w:type="dxa" w:w="3216"/>
            <w:shd w:fill="1e293b"/>
            <w:tcMar>
              <w:top w:w="80" w:type="dxa"/>
              <w:bottom w:w="80" w:type="dxa"/>
              <w:left w:w="100" w:type="dxa"/>
              <w:right w:w="100" w:type="dxa"/>
            </w:tcMar>
          </w:tcPr>
          <w:p>
            <w:r>
              <w:rPr>
                <w:b/>
                <w:color w:val="FFFFFF"/>
                <w:sz w:val="19"/>
              </w:rPr>
              <w:t>Alcance y Responsabilidades</w:t>
            </w:r>
          </w:p>
        </w:tc>
      </w:tr>
      <w:tr>
        <w:tc>
          <w:tcPr>
            <w:tcW w:type="dxa" w:w="3216"/>
            <w:shd w:fill="f8fafc"/>
            <w:tcMar>
              <w:top w:w="60" w:type="dxa"/>
              <w:bottom w:w="60" w:type="dxa"/>
              <w:left w:w="100" w:type="dxa"/>
              <w:right w:w="100" w:type="dxa"/>
            </w:tcMar>
          </w:tcPr>
          <w:p>
            <w:r>
              <w:rPr>
                <w:b/>
                <w:color w:val="0F172A"/>
                <w:sz w:val="18"/>
              </w:rPr>
              <w:t>ADMIN / GERENCIA</w:t>
            </w:r>
          </w:p>
        </w:tc>
        <w:tc>
          <w:tcPr>
            <w:tcW w:type="dxa" w:w="3216"/>
            <w:shd w:fill="f8fafc"/>
            <w:tcMar>
              <w:top w:w="60" w:type="dxa"/>
              <w:bottom w:w="60" w:type="dxa"/>
              <w:left w:w="100" w:type="dxa"/>
              <w:right w:w="100" w:type="dxa"/>
            </w:tcMar>
          </w:tcPr>
          <w:p>
            <w:r>
              <w:rPr>
                <w:color w:val="334155"/>
                <w:sz w:val="18"/>
              </w:rPr>
              <w:t>Ricardo Zerpa / Dirección</w:t>
            </w:r>
          </w:p>
        </w:tc>
        <w:tc>
          <w:tcPr>
            <w:tcW w:type="dxa" w:w="3216"/>
            <w:shd w:fill="f8fafc"/>
            <w:tcMar>
              <w:top w:w="60" w:type="dxa"/>
              <w:bottom w:w="60" w:type="dxa"/>
              <w:left w:w="100" w:type="dxa"/>
              <w:right w:w="100" w:type="dxa"/>
            </w:tcMar>
          </w:tcPr>
          <w:p>
            <w:r>
              <w:rPr>
                <w:color w:val="334155"/>
                <w:sz w:val="18"/>
              </w:rPr>
              <w:t>Control total de la plataforma, márgenes y configuración</w:t>
            </w:r>
          </w:p>
        </w:tc>
      </w:tr>
      <w:tr>
        <w:tc>
          <w:tcPr>
            <w:tcW w:type="dxa" w:w="3216"/>
            <w:shd w:fill="ffffff"/>
            <w:tcMar>
              <w:top w:w="60" w:type="dxa"/>
              <w:bottom w:w="60" w:type="dxa"/>
              <w:left w:w="100" w:type="dxa"/>
              <w:right w:w="100" w:type="dxa"/>
            </w:tcMar>
          </w:tcPr>
          <w:p>
            <w:r>
              <w:rPr>
                <w:b/>
                <w:color w:val="0F172A"/>
                <w:sz w:val="18"/>
              </w:rPr>
              <w:t>DIRECTOR_COMPRAS</w:t>
            </w:r>
          </w:p>
        </w:tc>
        <w:tc>
          <w:tcPr>
            <w:tcW w:type="dxa" w:w="3216"/>
            <w:shd w:fill="ffffff"/>
            <w:tcMar>
              <w:top w:w="60" w:type="dxa"/>
              <w:bottom w:w="60" w:type="dxa"/>
              <w:left w:w="100" w:type="dxa"/>
              <w:right w:w="100" w:type="dxa"/>
            </w:tcMar>
          </w:tcPr>
          <w:p>
            <w:r>
              <w:rPr>
                <w:color w:val="334155"/>
                <w:sz w:val="18"/>
              </w:rPr>
              <w:t>Elba Vázquez, Mane Gómez</w:t>
            </w:r>
          </w:p>
        </w:tc>
        <w:tc>
          <w:tcPr>
            <w:tcW w:type="dxa" w:w="3216"/>
            <w:shd w:fill="ffffff"/>
            <w:tcMar>
              <w:top w:w="60" w:type="dxa"/>
              <w:bottom w:w="60" w:type="dxa"/>
              <w:left w:w="100" w:type="dxa"/>
              <w:right w:w="100" w:type="dxa"/>
            </w:tcMar>
          </w:tcPr>
          <w:p>
            <w:r>
              <w:rPr>
                <w:color w:val="334155"/>
                <w:sz w:val="18"/>
              </w:rPr>
              <w:t>Órdenes de compra a China, tránsito marítimo, costeo Landed y plan de resurtido</w:t>
            </w:r>
          </w:p>
        </w:tc>
      </w:tr>
      <w:tr>
        <w:tc>
          <w:tcPr>
            <w:tcW w:type="dxa" w:w="3216"/>
            <w:shd w:fill="f8fafc"/>
            <w:tcMar>
              <w:top w:w="60" w:type="dxa"/>
              <w:bottom w:w="60" w:type="dxa"/>
              <w:left w:w="100" w:type="dxa"/>
              <w:right w:w="100" w:type="dxa"/>
            </w:tcMar>
          </w:tcPr>
          <w:p>
            <w:r>
              <w:rPr>
                <w:b/>
                <w:color w:val="0F172A"/>
                <w:sz w:val="18"/>
              </w:rPr>
              <w:t>SUPERVISOR_ATC</w:t>
            </w:r>
          </w:p>
        </w:tc>
        <w:tc>
          <w:tcPr>
            <w:tcW w:type="dxa" w:w="3216"/>
            <w:shd w:fill="f8fafc"/>
            <w:tcMar>
              <w:top w:w="60" w:type="dxa"/>
              <w:bottom w:w="60" w:type="dxa"/>
              <w:left w:w="100" w:type="dxa"/>
              <w:right w:w="100" w:type="dxa"/>
            </w:tcMar>
          </w:tcPr>
          <w:p>
            <w:r>
              <w:rPr>
                <w:color w:val="334155"/>
                <w:sz w:val="18"/>
              </w:rPr>
              <w:t>Alma</w:t>
            </w:r>
          </w:p>
        </w:tc>
        <w:tc>
          <w:tcPr>
            <w:tcW w:type="dxa" w:w="3216"/>
            <w:shd w:fill="f8fafc"/>
            <w:tcMar>
              <w:top w:w="60" w:type="dxa"/>
              <w:bottom w:w="60" w:type="dxa"/>
              <w:left w:w="100" w:type="dxa"/>
              <w:right w:w="100" w:type="dxa"/>
            </w:tcMar>
          </w:tcPr>
          <w:p>
            <w:r>
              <w:rPr>
                <w:color w:val="334155"/>
                <w:sz w:val="18"/>
              </w:rPr>
              <w:t>Gestión de pedidos, cartera de clientes y autorización de listas F3, F5, F7, F9</w:t>
            </w:r>
          </w:p>
        </w:tc>
      </w:tr>
      <w:tr>
        <w:tc>
          <w:tcPr>
            <w:tcW w:type="dxa" w:w="3216"/>
            <w:shd w:fill="ffffff"/>
            <w:tcMar>
              <w:top w:w="60" w:type="dxa"/>
              <w:bottom w:w="60" w:type="dxa"/>
              <w:left w:w="100" w:type="dxa"/>
              <w:right w:w="100" w:type="dxa"/>
            </w:tcMar>
          </w:tcPr>
          <w:p>
            <w:r>
              <w:rPr>
                <w:b/>
                <w:color w:val="0F172A"/>
                <w:sz w:val="18"/>
              </w:rPr>
              <w:t>ATC_OPERATIVO</w:t>
            </w:r>
          </w:p>
        </w:tc>
        <w:tc>
          <w:tcPr>
            <w:tcW w:type="dxa" w:w="3216"/>
            <w:shd w:fill="ffffff"/>
            <w:tcMar>
              <w:top w:w="60" w:type="dxa"/>
              <w:bottom w:w="60" w:type="dxa"/>
              <w:left w:w="100" w:type="dxa"/>
              <w:right w:w="100" w:type="dxa"/>
            </w:tcMar>
          </w:tcPr>
          <w:p>
            <w:r>
              <w:rPr>
                <w:color w:val="334155"/>
                <w:sz w:val="18"/>
              </w:rPr>
              <w:t>Andrea Ramírez, Asesores de Ventas</w:t>
            </w:r>
          </w:p>
        </w:tc>
        <w:tc>
          <w:tcPr>
            <w:tcW w:type="dxa" w:w="3216"/>
            <w:shd w:fill="ffffff"/>
            <w:tcMar>
              <w:top w:w="60" w:type="dxa"/>
              <w:bottom w:w="60" w:type="dxa"/>
              <w:left w:w="100" w:type="dxa"/>
              <w:right w:w="100" w:type="dxa"/>
            </w:tcMar>
          </w:tcPr>
          <w:p>
            <w:r>
              <w:rPr>
                <w:color w:val="334155"/>
                <w:sz w:val="18"/>
              </w:rPr>
              <w:t>Captura de pedidos con precio bloqueado 🔒 y consulta de disponibilidad</w:t>
            </w:r>
          </w:p>
        </w:tc>
      </w:tr>
      <w:tr>
        <w:tc>
          <w:tcPr>
            <w:tcW w:type="dxa" w:w="3216"/>
            <w:shd w:fill="f8fafc"/>
            <w:tcMar>
              <w:top w:w="60" w:type="dxa"/>
              <w:bottom w:w="60" w:type="dxa"/>
              <w:left w:w="100" w:type="dxa"/>
              <w:right w:w="100" w:type="dxa"/>
            </w:tcMar>
          </w:tcPr>
          <w:p>
            <w:r>
              <w:rPr>
                <w:b/>
                <w:color w:val="0F172A"/>
                <w:sz w:val="18"/>
              </w:rPr>
              <w:t>ALMACEN / ZEBRA</w:t>
            </w:r>
          </w:p>
        </w:tc>
        <w:tc>
          <w:tcPr>
            <w:tcW w:type="dxa" w:w="3216"/>
            <w:shd w:fill="f8fafc"/>
            <w:tcMar>
              <w:top w:w="60" w:type="dxa"/>
              <w:bottom w:w="60" w:type="dxa"/>
              <w:left w:w="100" w:type="dxa"/>
              <w:right w:w="100" w:type="dxa"/>
            </w:tcMar>
          </w:tcPr>
          <w:p>
            <w:r>
              <w:rPr>
                <w:color w:val="334155"/>
                <w:sz w:val="18"/>
              </w:rPr>
              <w:t>Israel, Operadores de Almacén</w:t>
            </w:r>
          </w:p>
        </w:tc>
        <w:tc>
          <w:tcPr>
            <w:tcW w:type="dxa" w:w="3216"/>
            <w:shd w:fill="f8fafc"/>
            <w:tcMar>
              <w:top w:w="60" w:type="dxa"/>
              <w:bottom w:w="60" w:type="dxa"/>
              <w:left w:w="100" w:type="dxa"/>
              <w:right w:w="100" w:type="dxa"/>
            </w:tcMar>
          </w:tcPr>
          <w:p>
            <w:r>
              <w:rPr>
                <w:color w:val="334155"/>
                <w:sz w:val="18"/>
              </w:rPr>
              <w:t>Recepción en rampa, escaneo Zebra TC22, picking y empaque</w:t>
            </w:r>
          </w:p>
        </w:tc>
      </w:tr>
      <w:tr>
        <w:tc>
          <w:tcPr>
            <w:tcW w:type="dxa" w:w="3216"/>
            <w:shd w:fill="ffffff"/>
            <w:tcMar>
              <w:top w:w="60" w:type="dxa"/>
              <w:bottom w:w="60" w:type="dxa"/>
              <w:left w:w="100" w:type="dxa"/>
              <w:right w:w="100" w:type="dxa"/>
            </w:tcMar>
          </w:tcPr>
          <w:p>
            <w:r>
              <w:rPr>
                <w:b/>
                <w:color w:val="0F172A"/>
                <w:sz w:val="18"/>
              </w:rPr>
              <w:t>COBRANZA</w:t>
            </w:r>
          </w:p>
        </w:tc>
        <w:tc>
          <w:tcPr>
            <w:tcW w:type="dxa" w:w="3216"/>
            <w:shd w:fill="ffffff"/>
            <w:tcMar>
              <w:top w:w="60" w:type="dxa"/>
              <w:bottom w:w="60" w:type="dxa"/>
              <w:left w:w="100" w:type="dxa"/>
              <w:right w:w="100" w:type="dxa"/>
            </w:tcMar>
          </w:tcPr>
          <w:p>
            <w:r>
              <w:rPr>
                <w:color w:val="334155"/>
                <w:sz w:val="18"/>
              </w:rPr>
              <w:t>Facturación y Finanzas</w:t>
            </w:r>
          </w:p>
        </w:tc>
        <w:tc>
          <w:tcPr>
            <w:tcW w:type="dxa" w:w="3216"/>
            <w:shd w:fill="ffffff"/>
            <w:tcMar>
              <w:top w:w="60" w:type="dxa"/>
              <w:bottom w:w="60" w:type="dxa"/>
              <w:left w:w="100" w:type="dxa"/>
              <w:right w:w="100" w:type="dxa"/>
            </w:tcMar>
          </w:tcPr>
          <w:p>
            <w:r>
              <w:rPr>
                <w:color w:val="334155"/>
                <w:sz w:val="18"/>
              </w:rPr>
              <w:t>Validación de pagos, timbrado CFDI 4.0 y exportación a CONTPAQi</w:t>
            </w:r>
          </w:p>
        </w:tc>
      </w:tr>
    </w:tbl>
    <w:p>
      <w:pPr>
        <w:spacing w:after="2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