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funcional de Formatex</w:t>
      </w:r>
    </w:p>
    <w:p>
      <w:pPr>
        <w:pStyle w:val="Subtitle"/>
      </w:pPr>
      <w:r>
        <w:t>Contraste entre entrevistas y código para orientar las correcciones de Antigravity</w:t>
      </w:r>
    </w:p>
    <w:p>
      <w:r>
        <w:t>27 de octubre de 2026</w:t>
      </w:r>
    </w:p>
    <w:p>
      <w:pPr>
        <w:pStyle w:val="Heading1"/>
      </w:pPr>
      <w:r>
        <w:t>Conclusión y orden de atención</w:t>
      </w:r>
    </w:p>
    <w:p>
      <w:r>
        <w:t>Los módulos principales existen, pero la integridad entre procesos y la aplicación de reglas en el servidor todavía requieren correcciones. La presencia de una pantalla o de un campo no acredita por sí sola que el requisito operativo se cumpla de extremo a extremo.</w:t>
      </w:r>
    </w:p>
    <w:p>
      <w:r>
        <w:t>Conviene resolver primero los fallos de inventario, permisos y exactitud monetaria; después, completar los flujos faltantes. Las decisiones de negocio no confirmadas deben aprobarse con Formatex antes de convertirlas en reglas rígidas.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896"/>
        <w:gridCol w:w="4435"/>
      </w:tblGrid>
      <w:tr>
        <w:trPr>
          <w:tblHeader w:val="true"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333333"/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333333"/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Trabajo recomendado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333333"/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Criterio de cierre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Integridad de inventario y autorizaciones del servidor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Pruebas de rechazo, concurrencia y consistencia sin efectos laterales.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3F3F3"/>
          </w:tcPr>
          <w:p>
            <w:pPr>
              <w:spacing w:after="20" w:line="247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3F3F3"/>
          </w:tcPr>
          <w:p>
            <w:pPr>
              <w:spacing w:after="20" w:line="247" w:lineRule="auto"/>
            </w:pPr>
            <w:r>
              <w:rPr>
                <w:sz w:val="18"/>
              </w:rPr>
              <w:t>Importes, cobros, crédito y comisiones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3F3F3"/>
          </w:tcPr>
          <w:p>
            <w:pPr>
              <w:spacing w:after="20" w:line="247" w:lineRule="auto"/>
            </w:pPr>
            <w:r>
              <w:rPr>
                <w:sz w:val="18"/>
              </w:rPr>
              <w:t>Cálculo reproducible, trazable y consistente entre módulos.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Flujos omitidos y decisiones del cliente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47" w:lineRule="auto"/>
            </w:pPr>
            <w:r>
              <w:rPr>
                <w:sz w:val="18"/>
              </w:rPr>
              <w:t>Regla aprobada, implementación y evidencia de aceptación.</w:t>
            </w:r>
          </w:p>
        </w:tc>
      </w:tr>
    </w:tbl>
    <w:p>
      <w:r/>
    </w:p>
    <w:p>
      <w:r>
        <w:t>Este informe resume los hallazgos prioritarios. La matriz editable contiene cada requisito revisado, incluidos los cubiertos, parciales, omitidos, contradictorios y pendientes de definición, además de sus pruebas propuestas.</w:t>
      </w:r>
    </w:p>
    <w:p>
      <w:r>
        <w:rPr>
          <w:b/>
        </w:rPr>
        <w:t xml:space="preserve">Límite de la conclusión </w:t>
      </w:r>
      <w:r>
        <w:t>Es una primera auditoría funcional y de código fuente contra cinco entrevistas. No es una auditoría exhaustiva de código o seguridad ni una certificación productiva. No se ejecutaron pruebas ni se modificó el sistema.</w:t>
      </w:r>
    </w:p>
    <w:p>
      <w:pPr>
        <w:pStyle w:val="Heading1"/>
      </w:pPr>
      <w:r>
        <w:t>Corte de revisión</w:t>
      </w:r>
    </w:p>
    <w:p>
      <w:r>
        <w:t>Línea base: 593db0b303d3d981ad181e5738981d9ddd1c33e9. Se revisaron las cinco transcripciones completas y rutas de implementación seleccionadas. La adenda registra cambios posteriores en 46388925 y b4df548a. Corte final de frescura: 27 de octubre de 2026 a las 20:40:52 UTC, con main y dev en b4df548a7b6b2bb5a6427e2269b7dec6342906c3.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9">
        <w:r>
          <w:rPr>
            <w:color w:val="205493"/>
            <w:u w:val="single"/>
          </w:rPr>
          <w:t>Repositorio y línea base</w:t>
        </w:r>
      </w:hyperlink>
      <w:r>
        <w:rPr>
          <w:sz w:val="18"/>
        </w:rPr>
        <w:t xml:space="preserve">  |  </w:t>
      </w:r>
      <w:hyperlink r:id="rId10">
        <w:r>
          <w:rPr>
            <w:color w:val="205493"/>
            <w:u w:val="single"/>
          </w:rPr>
          <w:t>Cambio VIP y Node</w:t>
        </w:r>
      </w:hyperlink>
      <w:r>
        <w:rPr>
          <w:sz w:val="18"/>
        </w:rPr>
        <w:t xml:space="preserve">  |  </w:t>
      </w:r>
      <w:hyperlink r:id="rId11">
        <w:r>
          <w:rPr>
            <w:color w:val="205493"/>
            <w:u w:val="single"/>
          </w:rPr>
          <w:t>Cambio de correo y corte final</w:t>
        </w:r>
      </w:hyperlink>
    </w:p>
    <w:p>
      <w:r>
        <w:br w:type="page"/>
      </w:r>
    </w:p>
    <w:p>
      <w:pPr>
        <w:pStyle w:val="Heading1"/>
      </w:pPr>
      <w:r>
        <w:t>Hallazgos prioritarios para Antigravity</w:t>
      </w:r>
    </w:p>
    <w:p>
      <w:r>
        <w:t>P1 significa resolver antes del piloto operativo por riesgo de inventario, precio, cobro o acceso. P2 indica corregir el flujo funcional o documental; P3, definir o validar con Formatex. Son prioridades de corrección, no incidentes productivos ni resultados de pruebas ejecutadas.</w:t>
      </w:r>
    </w:p>
    <w:p>
      <w:pPr>
        <w:pStyle w:val="Heading2"/>
      </w:pPr>
      <w:r>
        <w:t>Conservar metros y asignaciones al cortar</w:t>
      </w:r>
    </w:p>
    <w:p>
      <w:r>
        <w:t>P1  |  Defecto confirmado en fuente  |  WH-19 · WH-20</w:t>
      </w:r>
    </w:p>
    <w:p>
      <w:r>
        <w:rPr>
          <w:b/>
        </w:rPr>
        <w:t xml:space="preserve">Regla esperada </w:t>
      </w:r>
      <w:r>
        <w:t>Cada metro físico debe tener una sola representación; los cortes parciales deben acumularse en la línea y el pedido correctos.</w:t>
      </w:r>
    </w:p>
    <w:p>
      <w:r>
        <w:rPr>
          <w:b/>
        </w:rPr>
        <w:t xml:space="preserve">Qué muestra la fuente </w:t>
      </w:r>
      <w:r>
        <w:t>Un corte de 10 m sobre un HU de 50 m deja 40 m disponibles en el origen y otros 40 m en el hijo. Además, el último corte sobrescribe el surtido acumulado y se acepta una línea sin asignación válida al HU. El reintento no queda protegido.</w:t>
      </w:r>
    </w:p>
    <w:p>
      <w:r>
        <w:rPr>
          <w:b/>
        </w:rPr>
        <w:t xml:space="preserve">Riesgo </w:t>
      </w:r>
      <w:r>
        <w:t>Disponibilidad duplicada, surtido incompleto y trazabilidad de salida incorrecta.</w:t>
      </w:r>
    </w:p>
    <w:p>
      <w:r>
        <w:rPr>
          <w:b/>
        </w:rPr>
        <w:t xml:space="preserve">Corrección solicitada </w:t>
      </w:r>
      <w:r>
        <w:t>Conservar un solo remanente; registrar hechos de corte idempotentes y derivar saldos. Validar HU, SKU, pedido, reserva, valores no negativos y versión dentro de una transacción.</w:t>
      </w:r>
    </w:p>
    <w:p>
      <w:r>
        <w:rPr>
          <w:b/>
        </w:rPr>
        <w:t xml:space="preserve">Aceptación propuesta </w:t>
      </w:r>
      <w:r>
        <w:t>50 − 10 deja 40 m, nunca 80. Una línea de 20 m atendida en 7 + 6 + 7 termina en 20. HU ajeno, extra negativo, reintento y concurrencia no alteran indebidamente el saldo.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2">
        <w:r>
          <w:rPr>
            <w:color w:val="205493"/>
            <w:u w:val="single"/>
          </w:rPr>
          <w:t>Entrevista César · 26:32</w:t>
        </w:r>
      </w:hyperlink>
      <w:r>
        <w:rPr>
          <w:sz w:val="18"/>
        </w:rPr>
        <w:t xml:space="preserve">  |  </w:t>
      </w:r>
      <w:hyperlink r:id="rId13">
        <w:r>
          <w:rPr>
            <w:color w:val="205493"/>
            <w:u w:val="single"/>
          </w:rPr>
          <w:t>Entrevista Israel · 34:29</w:t>
        </w:r>
      </w:hyperlink>
      <w:r>
        <w:rPr>
          <w:sz w:val="18"/>
        </w:rPr>
        <w:t xml:space="preserve">  |  </w:t>
      </w:r>
      <w:hyperlink r:id="rId14">
        <w:r>
          <w:rPr>
            <w:color w:val="205493"/>
            <w:u w:val="single"/>
          </w:rPr>
          <w:t>cutting.service.ts · 34-59</w:t>
        </w:r>
      </w:hyperlink>
      <w:r>
        <w:rPr>
          <w:sz w:val="18"/>
        </w:rPr>
        <w:t xml:space="preserve">  |  </w:t>
      </w:r>
      <w:hyperlink r:id="rId15">
        <w:r>
          <w:rPr>
            <w:color w:val="205493"/>
            <w:u w:val="single"/>
          </w:rPr>
          <w:t>cutting.service.ts · 84-99</w:t>
        </w:r>
      </w:hyperlink>
      <w:r>
        <w:rPr>
          <w:sz w:val="18"/>
        </w:rPr>
        <w:t xml:space="preserve">  |  </w:t>
      </w:r>
      <w:hyperlink r:id="rId16">
        <w:r>
          <w:rPr>
            <w:color w:val="205493"/>
            <w:u w:val="single"/>
          </w:rPr>
          <w:t>cutting.service.ts · 146-180</w:t>
        </w:r>
      </w:hyperlink>
      <w:r>
        <w:rPr>
          <w:sz w:val="18"/>
        </w:rPr>
        <w:t xml:space="preserve">  |  </w:t>
      </w:r>
      <w:hyperlink r:id="rId17">
        <w:r>
          <w:rPr>
            <w:color w:val="205493"/>
            <w:u w:val="single"/>
          </w:rPr>
          <w:t>cutting.service.ts · 238-286</w:t>
        </w:r>
      </w:hyperlink>
      <w:r>
        <w:rPr>
          <w:sz w:val="18"/>
        </w:rPr>
        <w:t xml:space="preserve">  |  </w:t>
      </w:r>
      <w:hyperlink r:id="rId18">
        <w:r>
          <w:rPr>
            <w:color w:val="205493"/>
            <w:u w:val="single"/>
          </w:rPr>
          <w:t>cutting.service.ts · 123 a 131</w:t>
        </w:r>
      </w:hyperlink>
    </w:p>
    <w:p>
      <w:pPr>
        <w:pStyle w:val="Heading2"/>
      </w:pPr>
      <w:r>
        <w:t>Autorizar cada operación y limitar datos de comisiones</w:t>
      </w:r>
    </w:p>
    <w:p>
      <w:r>
        <w:t>P1  |  Defecto confirmado en fuente  |  SA-F02 · B25</w:t>
      </w:r>
    </w:p>
    <w:p>
      <w:r>
        <w:rPr>
          <w:b/>
        </w:rPr>
        <w:t xml:space="preserve">Regla esperada </w:t>
      </w:r>
      <w:r>
        <w:t>Las facultades de administración y precios pertenecen a roles autorizados; cada vendedor solo accede a sus comisiones.</w:t>
      </w:r>
    </w:p>
    <w:p>
      <w:r>
        <w:rPr>
          <w:b/>
        </w:rPr>
        <w:t xml:space="preserve">Qué muestra la fuente </w:t>
      </w:r>
      <w:r>
        <w:t>Admin y catálogo se protegen con autenticación, no con permisos por operación. La actualización de usuario admite campos privilegiados. Comisiones carece de protección y filtro de alcance en el controlador observado; no se encontró guard global. Algunas excepciones usan el texto alma como privilegio.</w:t>
      </w:r>
    </w:p>
    <w:p>
      <w:r>
        <w:rPr>
          <w:b/>
        </w:rPr>
        <w:t xml:space="preserve">Riesgo </w:t>
      </w:r>
      <w:r>
        <w:t>Un usuario puede alcanzar operaciones fuera de su función; los datos de comisiones no quedan aislados. No se probó acceso al despliegue ni se observó una fuga.</w:t>
      </w:r>
    </w:p>
    <w:p>
      <w:r>
        <w:rPr>
          <w:b/>
        </w:rPr>
        <w:t xml:space="preserve">Corrección solicitada </w:t>
      </w:r>
      <w:r>
        <w:t>Aplicar permisos de servidor por defecto denegados, campos permitidos por operación y alcance por identidad. Eliminar excepciones por nombre.</w:t>
      </w:r>
    </w:p>
    <w:p>
      <w:r>
        <w:rPr>
          <w:b/>
        </w:rPr>
        <w:t xml:space="preserve">Aceptación propuesta </w:t>
      </w:r>
      <w:r>
        <w:t>ATC no cambia roles, contraseñas ajenas ni precios maestros. Sin token se rechaza comisiones; vendedor A no obtiene B por consulta ni exportación. Tener alma en el nombre no eleva permisos.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9">
        <w:r>
          <w:rPr>
            <w:color w:val="205493"/>
            <w:u w:val="single"/>
          </w:rPr>
          <w:t>Entrevista 2026-10-14 · 61-69</w:t>
        </w:r>
      </w:hyperlink>
      <w:r>
        <w:rPr>
          <w:sz w:val="18"/>
        </w:rPr>
        <w:t xml:space="preserve">  |  </w:t>
      </w:r>
      <w:hyperlink r:id="rId20">
        <w:r>
          <w:rPr>
            <w:color w:val="205493"/>
            <w:u w:val="single"/>
          </w:rPr>
          <w:t>Entrevista 17:02 · 171-173</w:t>
        </w:r>
      </w:hyperlink>
      <w:r>
        <w:rPr>
          <w:sz w:val="18"/>
        </w:rPr>
        <w:t xml:space="preserve">  |  </w:t>
      </w:r>
      <w:hyperlink r:id="rId21">
        <w:r>
          <w:rPr>
            <w:color w:val="205493"/>
            <w:u w:val="single"/>
          </w:rPr>
          <w:t>users.controller.ts · 6-60</w:t>
        </w:r>
      </w:hyperlink>
      <w:r>
        <w:rPr>
          <w:sz w:val="18"/>
        </w:rPr>
        <w:t xml:space="preserve">  |  </w:t>
      </w:r>
      <w:hyperlink r:id="rId22">
        <w:r>
          <w:rPr>
            <w:color w:val="205493"/>
            <w:u w:val="single"/>
          </w:rPr>
          <w:t>users.service.ts · 74-85</w:t>
        </w:r>
      </w:hyperlink>
      <w:r>
        <w:rPr>
          <w:sz w:val="18"/>
        </w:rPr>
        <w:t xml:space="preserve">  |  </w:t>
      </w:r>
      <w:hyperlink r:id="rId23">
        <w:r>
          <w:rPr>
            <w:color w:val="205493"/>
            <w:u w:val="single"/>
          </w:rPr>
          <w:t>catalog.controller.ts · 179-201</w:t>
        </w:r>
      </w:hyperlink>
      <w:r>
        <w:rPr>
          <w:sz w:val="18"/>
        </w:rPr>
        <w:t xml:space="preserve">  |  </w:t>
      </w:r>
      <w:hyperlink r:id="rId24">
        <w:r>
          <w:rPr>
            <w:color w:val="205493"/>
            <w:u w:val="single"/>
          </w:rPr>
          <w:t>orders.service.ts · 724-743</w:t>
        </w:r>
      </w:hyperlink>
      <w:r>
        <w:rPr>
          <w:sz w:val="18"/>
        </w:rPr>
        <w:t xml:space="preserve">  |  </w:t>
      </w:r>
      <w:hyperlink r:id="rId25">
        <w:r>
          <w:rPr>
            <w:color w:val="205493"/>
            <w:u w:val="single"/>
          </w:rPr>
          <w:t>invoicing.controller.ts · 17-23</w:t>
        </w:r>
      </w:hyperlink>
      <w:r>
        <w:rPr>
          <w:sz w:val="18"/>
        </w:rPr>
        <w:t xml:space="preserve">  |  </w:t>
      </w:r>
      <w:hyperlink r:id="rId26">
        <w:r>
          <w:rPr>
            <w:color w:val="205493"/>
            <w:u w:val="single"/>
          </w:rPr>
          <w:t>invoicing.controller.ts · 228-240</w:t>
        </w:r>
      </w:hyperlink>
    </w:p>
    <w:p>
      <w:r>
        <w:br w:type="page"/>
      </w:r>
    </w:p>
    <w:p>
      <w:pPr>
        <w:pStyle w:val="Heading2"/>
      </w:pPr>
      <w:r>
        <w:t>Resolver precios y aprobaciones en el servidor</w:t>
      </w:r>
    </w:p>
    <w:p>
      <w:r>
        <w:t>P1  |  Defecto confirmado en fuente  |  SA-F01</w:t>
      </w:r>
    </w:p>
    <w:p>
      <w:r>
        <w:rPr>
          <w:b/>
        </w:rPr>
        <w:t xml:space="preserve">Regla esperada </w:t>
      </w:r>
      <w:r>
        <w:t>El convenio o lista autorizada fija el precio y las excepciones requieren autorización gerencial.</w:t>
      </w:r>
    </w:p>
    <w:p>
      <w:r>
        <w:rPr>
          <w:b/>
        </w:rPr>
        <w:t xml:space="preserve">Qué muestra la fuente </w:t>
      </w:r>
      <w:r>
        <w:t>POST de pedidos usa precio y descuento enviados por el cliente. Marcar listas restringidas como pendientes no impide avanzar por transiciones válidas, y la aprobación no comprueba el rol. El candado de la interfaz no protege la regla.</w:t>
      </w:r>
    </w:p>
    <w:p>
      <w:r>
        <w:rPr>
          <w:b/>
        </w:rPr>
        <w:t xml:space="preserve">Riesgo </w:t>
      </w:r>
      <w:r>
        <w:t>Cotizaciones alteradas o rechazadas pueden continuar con importes no autorizados.</w:t>
      </w:r>
    </w:p>
    <w:p>
      <w:r>
        <w:rPr>
          <w:b/>
        </w:rPr>
        <w:t xml:space="preserve">Corrección solicitada </w:t>
      </w:r>
      <w:r>
        <w:t>Calcular el precio desde cliente, SKU, modalidad y convenio vigente; exigir permiso y evidencia para cada excepción. Bloquear el avance mientras falte aprobación.</w:t>
      </w:r>
    </w:p>
    <w:p>
      <w:r>
        <w:rPr>
          <w:b/>
        </w:rPr>
        <w:t xml:space="preserve">Aceptación propuesta </w:t>
      </w:r>
      <w:r>
        <w:t>Convenio de prueba de $80: enviar $1 o descuento no autorizado se rechaza o recalcula. ATC no aprueba; gerencia sí. PENDIENTE y RECHAZADO no llegan al flujo operativo.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27">
        <w:r>
          <w:rPr>
            <w:color w:val="205493"/>
            <w:u w:val="single"/>
          </w:rPr>
          <w:t>Entrevista 2026-10-14 · 128-132</w:t>
        </w:r>
      </w:hyperlink>
      <w:r>
        <w:rPr>
          <w:sz w:val="18"/>
        </w:rPr>
        <w:t xml:space="preserve">  |  </w:t>
      </w:r>
      <w:hyperlink r:id="rId28">
        <w:r>
          <w:rPr>
            <w:color w:val="205493"/>
            <w:u w:val="single"/>
          </w:rPr>
          <w:t>orders.service.ts · 236-244</w:t>
        </w:r>
      </w:hyperlink>
      <w:r>
        <w:rPr>
          <w:sz w:val="18"/>
        </w:rPr>
        <w:t xml:space="preserve">  |  </w:t>
      </w:r>
      <w:hyperlink r:id="rId29">
        <w:r>
          <w:rPr>
            <w:color w:val="205493"/>
            <w:u w:val="single"/>
          </w:rPr>
          <w:t>orders.service.ts · 405-418</w:t>
        </w:r>
      </w:hyperlink>
      <w:r>
        <w:rPr>
          <w:sz w:val="18"/>
        </w:rPr>
        <w:t xml:space="preserve">  |  </w:t>
      </w:r>
      <w:hyperlink r:id="rId30">
        <w:r>
          <w:rPr>
            <w:color w:val="205493"/>
            <w:u w:val="single"/>
          </w:rPr>
          <w:t>orders.controller.ts · 133-136</w:t>
        </w:r>
      </w:hyperlink>
      <w:r>
        <w:rPr>
          <w:sz w:val="18"/>
        </w:rPr>
        <w:t xml:space="preserve">  |  </w:t>
      </w:r>
      <w:hyperlink r:id="rId31">
        <w:r>
          <w:rPr>
            <w:color w:val="205493"/>
            <w:u w:val="single"/>
          </w:rPr>
          <w:t>orders.service.ts · 751-813</w:t>
        </w:r>
      </w:hyperlink>
    </w:p>
    <w:p>
      <w:pPr>
        <w:pStyle w:val="Heading2"/>
      </w:pPr>
      <w:r>
        <w:t>Reservar y liberar sin afectar compromisos ajenos</w:t>
      </w:r>
    </w:p>
    <w:p>
      <w:r>
        <w:t>P1  |  Defecto confirmado en fuente  |  WH-09 · WH-10 · B04</w:t>
      </w:r>
    </w:p>
    <w:p>
      <w:r>
        <w:rPr>
          <w:b/>
        </w:rPr>
        <w:t xml:space="preserve">Regla esperada </w:t>
      </w:r>
      <w:r>
        <w:t>No se puede vender dos veces el mismo HU o metraje futuro; una cancelación solo libera su compromiso vigente.</w:t>
      </w:r>
    </w:p>
    <w:p>
      <w:r>
        <w:rPr>
          <w:b/>
        </w:rPr>
        <w:t xml:space="preserve">Qué muestra la fuente </w:t>
      </w:r>
      <w:r>
        <w:t>La reserva consulta y modifica el saldo en operaciones separadas. Cancelar una reserva histórica puede liberar un HU ya firme; repetir cancelación descuenta tránsito otra vez. Una blanda convertida en VIP puede seguir activa y su caducidad soltar el HU.</w:t>
      </w:r>
    </w:p>
    <w:p>
      <w:r>
        <w:rPr>
          <w:b/>
        </w:rPr>
        <w:t xml:space="preserve">Riesgo </w:t>
      </w:r>
      <w:r>
        <w:t>Sobreasignación concurrente o liberación de inventario perteneciente a otro pedido.</w:t>
      </w:r>
    </w:p>
    <w:p>
      <w:r>
        <w:rPr>
          <w:b/>
        </w:rPr>
        <w:t xml:space="preserve">Corrección solicitada </w:t>
      </w:r>
      <w:r>
        <w:t>Usar transacción, bloqueo o actualización condicional, estado y propietario; hacer cancelación idempotente. Invalidar asignaciones vencidas y convertir blanda a VIP de forma atómica.</w:t>
      </w:r>
    </w:p>
    <w:p>
      <w:r>
        <w:rPr>
          <w:b/>
        </w:rPr>
        <w:t xml:space="preserve">Aceptación propuesta </w:t>
      </w:r>
      <w:r>
        <w:t>Dos reservas simultáneas del mismo HU permiten un ganador. Dos solicitudes de 60 m sobre 100 m nunca comprometen 120. Cancelar la blanda convertida no libera la firme; el cron no libera el VIP.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3">
        <w:r>
          <w:rPr>
            <w:color w:val="205493"/>
            <w:u w:val="single"/>
          </w:rPr>
          <w:t>Entrevista Israel · 13:45</w:t>
        </w:r>
      </w:hyperlink>
      <w:r>
        <w:rPr>
          <w:sz w:val="18"/>
        </w:rPr>
        <w:t xml:space="preserve">  |  </w:t>
      </w:r>
      <w:hyperlink r:id="rId32">
        <w:r>
          <w:rPr>
            <w:color w:val="205493"/>
            <w:u w:val="single"/>
          </w:rPr>
          <w:t>Entrevista 44:03 · 472-484</w:t>
        </w:r>
      </w:hyperlink>
      <w:r>
        <w:rPr>
          <w:sz w:val="18"/>
        </w:rPr>
        <w:t xml:space="preserve">  |  </w:t>
      </w:r>
      <w:hyperlink r:id="rId33">
        <w:r>
          <w:rPr>
            <w:color w:val="205493"/>
            <w:u w:val="single"/>
          </w:rPr>
          <w:t>reservations.service.ts · 23-58</w:t>
        </w:r>
      </w:hyperlink>
      <w:r>
        <w:rPr>
          <w:sz w:val="18"/>
        </w:rPr>
        <w:t xml:space="preserve">  |  </w:t>
      </w:r>
      <w:hyperlink r:id="rId34">
        <w:r>
          <w:rPr>
            <w:color w:val="205493"/>
            <w:u w:val="single"/>
          </w:rPr>
          <w:t>orders.service.ts · 439-478</w:t>
        </w:r>
      </w:hyperlink>
      <w:r>
        <w:rPr>
          <w:sz w:val="18"/>
        </w:rPr>
        <w:t xml:space="preserve">  |  </w:t>
      </w:r>
      <w:hyperlink r:id="rId35">
        <w:r>
          <w:rPr>
            <w:color w:val="205493"/>
            <w:u w:val="single"/>
          </w:rPr>
          <w:t>reservations.service.ts · 66-119</w:t>
        </w:r>
      </w:hyperlink>
      <w:r>
        <w:rPr>
          <w:sz w:val="18"/>
        </w:rPr>
        <w:t xml:space="preserve">  |  </w:t>
      </w:r>
      <w:hyperlink r:id="rId36">
        <w:r>
          <w:rPr>
            <w:color w:val="205493"/>
            <w:u w:val="single"/>
          </w:rPr>
          <w:t>reservations.service.ts · 301-343</w:t>
        </w:r>
      </w:hyperlink>
      <w:r>
        <w:rPr>
          <w:sz w:val="18"/>
        </w:rPr>
        <w:t xml:space="preserve">  |  </w:t>
      </w:r>
      <w:hyperlink r:id="rId37">
        <w:r>
          <w:rPr>
            <w:color w:val="205493"/>
            <w:u w:val="single"/>
          </w:rPr>
          <w:t>orders.service.ts · 1030-1057</w:t>
        </w:r>
      </w:hyperlink>
      <w:r>
        <w:rPr>
          <w:sz w:val="18"/>
        </w:rPr>
        <w:t xml:space="preserve">  |  </w:t>
      </w:r>
      <w:hyperlink r:id="rId38">
        <w:r>
          <w:rPr>
            <w:color w:val="205493"/>
            <w:u w:val="single"/>
          </w:rPr>
          <w:t>orders.service.ts · 761-784</w:t>
        </w:r>
      </w:hyperlink>
    </w:p>
    <w:p>
      <w:r>
        <w:br w:type="page"/>
      </w:r>
    </w:p>
    <w:p>
      <w:pPr>
        <w:pStyle w:val="Heading2"/>
      </w:pPr>
      <w:r>
        <w:t>Crear backorders completos y comprometer el tránsito</w:t>
      </w:r>
    </w:p>
    <w:p>
      <w:r>
        <w:t>P1  |  Defecto confirmado en fuente  |  SA-F04 · SA-F05</w:t>
      </w:r>
    </w:p>
    <w:p>
      <w:r>
        <w:rPr>
          <w:b/>
        </w:rPr>
        <w:t xml:space="preserve">Regla esperada </w:t>
      </w:r>
      <w:r>
        <w:t>Dividir un pedido debe producir partes vinculadas coherentes; los pedidos de tránsito consumen cupo y su reasignación se guarda.</w:t>
      </w:r>
    </w:p>
    <w:p>
      <w:r>
        <w:rPr>
          <w:b/>
        </w:rPr>
        <w:t xml:space="preserve">Qué muestra la fuente </w:t>
      </w:r>
      <w:r>
        <w:t>La interfaz envía el ID de línea de embarque donde el modelo espera el ID de embarque. DIVIDIR crea primero la parte física y después el backorder, sin atomicidad. Los backorders no incrementan el contador de tránsito reservado; la promoción devuelve un candidato sin persistirla.</w:t>
      </w:r>
    </w:p>
    <w:p>
      <w:r>
        <w:rPr>
          <w:b/>
        </w:rPr>
        <w:t xml:space="preserve">Riesgo </w:t>
      </w:r>
      <w:r>
        <w:t>Pedido parcial duplicable y disponibilidad futura mayor que el cupo real.</w:t>
      </w:r>
    </w:p>
    <w:p>
      <w:r>
        <w:rPr>
          <w:b/>
        </w:rPr>
        <w:t xml:space="preserve">Corrección solicitada </w:t>
      </w:r>
      <w:r>
        <w:t>Separar ambos identificadores; crear división y reservas en un comando transaccional e idempotente. Persistir cupo, embarque, ETA y la reasignación aprobada.</w:t>
      </w:r>
    </w:p>
    <w:p>
      <w:r>
        <w:rPr>
          <w:b/>
        </w:rPr>
        <w:t xml:space="preserve">Aceptación propuesta </w:t>
      </w:r>
      <w:r>
        <w:t>Con 50 m físicos y 50 m en una línea cuyo ID difiere del embarque, crear dos partes exactas. Fallo y reintento no duplican. Reservar 70 de 100 deja 30; cancelar libera una sola vez.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39">
        <w:r>
          <w:rPr>
            <w:color w:val="205493"/>
            <w:u w:val="single"/>
          </w:rPr>
          <w:t>Entrevista 2026-10-14 · 223-225</w:t>
        </w:r>
      </w:hyperlink>
      <w:r>
        <w:rPr>
          <w:sz w:val="18"/>
        </w:rPr>
        <w:t xml:space="preserve">  |  </w:t>
      </w:r>
      <w:hyperlink r:id="rId40">
        <w:r>
          <w:rPr>
            <w:color w:val="205493"/>
            <w:u w:val="single"/>
          </w:rPr>
          <w:t>Entrevista 2026-10-14 · 243-247</w:t>
        </w:r>
      </w:hyperlink>
      <w:r>
        <w:rPr>
          <w:sz w:val="18"/>
        </w:rPr>
        <w:t xml:space="preserve">  |  </w:t>
      </w:r>
      <w:hyperlink r:id="rId41">
        <w:r>
          <w:rPr>
            <w:color w:val="205493"/>
            <w:u w:val="single"/>
          </w:rPr>
          <w:t>PedidosPage.tsx · 468-511</w:t>
        </w:r>
      </w:hyperlink>
      <w:r>
        <w:rPr>
          <w:sz w:val="18"/>
        </w:rPr>
        <w:t xml:space="preserve">  |  </w:t>
      </w:r>
      <w:hyperlink r:id="rId42">
        <w:r>
          <w:rPr>
            <w:color w:val="205493"/>
            <w:u w:val="single"/>
          </w:rPr>
          <w:t>PedidosPage.tsx · 516-545</w:t>
        </w:r>
      </w:hyperlink>
      <w:r>
        <w:rPr>
          <w:sz w:val="18"/>
        </w:rPr>
        <w:t xml:space="preserve">  |  </w:t>
      </w:r>
      <w:hyperlink r:id="rId43">
        <w:r>
          <w:rPr>
            <w:color w:val="205493"/>
            <w:u w:val="single"/>
          </w:rPr>
          <w:t>schema.prisma · 696-707</w:t>
        </w:r>
      </w:hyperlink>
      <w:r>
        <w:rPr>
          <w:sz w:val="18"/>
        </w:rPr>
        <w:t xml:space="preserve">  |  </w:t>
      </w:r>
      <w:hyperlink r:id="rId44">
        <w:r>
          <w:rPr>
            <w:color w:val="205493"/>
            <w:u w:val="single"/>
          </w:rPr>
          <w:t>orders.service.ts · 426-478</w:t>
        </w:r>
      </w:hyperlink>
      <w:r>
        <w:rPr>
          <w:sz w:val="18"/>
        </w:rPr>
        <w:t xml:space="preserve">  |  </w:t>
      </w:r>
      <w:hyperlink r:id="rId45">
        <w:r>
          <w:rPr>
            <w:color w:val="205493"/>
            <w:u w:val="single"/>
          </w:rPr>
          <w:t>orders.service.ts · 1204-1274</w:t>
        </w:r>
      </w:hyperlink>
    </w:p>
    <w:p>
      <w:pPr>
        <w:pStyle w:val="Heading2"/>
      </w:pPr>
      <w:r>
        <w:t>Hacer efectiva la retención de crédito</w:t>
      </w:r>
    </w:p>
    <w:p>
      <w:r>
        <w:t>P1  |  Defecto confirmado en fuente  |  B03</w:t>
      </w:r>
    </w:p>
    <w:p>
      <w:r>
        <w:rPr>
          <w:b/>
        </w:rPr>
        <w:t xml:space="preserve">Regla esperada </w:t>
      </w:r>
      <w:r>
        <w:t>Se permite capturar un pedido moroso para negociar, pero solo Cobranza decide su liberación antes de surtir.</w:t>
      </w:r>
    </w:p>
    <w:p>
      <w:r>
        <w:rPr>
          <w:b/>
        </w:rPr>
        <w:t xml:space="preserve">Qué muestra la fuente </w:t>
      </w:r>
      <w:r>
        <w:t>retenidoCredito es una bandera que no bloquea todas las transiciones. ATC propietario puede llegar a POR_SURTIR sin liberarla y release-credit no exige el rol de Cobranza.</w:t>
      </w:r>
    </w:p>
    <w:p>
      <w:r>
        <w:rPr>
          <w:b/>
        </w:rPr>
        <w:t xml:space="preserve">Riesgo </w:t>
      </w:r>
      <w:r>
        <w:t>Una retención visible puede no impedir la preparación o salida.</w:t>
      </w:r>
    </w:p>
    <w:p>
      <w:r>
        <w:rPr>
          <w:b/>
        </w:rPr>
        <w:t xml:space="preserve">Corrección solicitada </w:t>
      </w:r>
      <w:r>
        <w:t>Imponer la retención en todos los caminos de avance y despacho. Registrar liberación autorizada, identidad real y notas; mantener la negociación discrecional, sin inventar una fórmula rígida.</w:t>
      </w:r>
    </w:p>
    <w:p>
      <w:r>
        <w:rPr>
          <w:b/>
        </w:rPr>
        <w:t xml:space="preserve">Aceptación propuesta </w:t>
      </w:r>
      <w:r>
        <w:t>Mientras la retención siga activa, cada camino hacia surtido se rechaza sin efectos. Cobranza libera con notas; ATC no. Se admite una negociación de $10,000 para liberar un pedido de $7,000 sin exigir igualdad aritmética.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46">
        <w:r>
          <w:rPr>
            <w:color w:val="205493"/>
            <w:u w:val="single"/>
          </w:rPr>
          <w:t>Entrevista 51:49 · 536-540</w:t>
        </w:r>
      </w:hyperlink>
      <w:r>
        <w:rPr>
          <w:sz w:val="18"/>
        </w:rPr>
        <w:t xml:space="preserve">  |  </w:t>
      </w:r>
      <w:hyperlink r:id="rId47">
        <w:r>
          <w:rPr>
            <w:color w:val="205493"/>
            <w:u w:val="single"/>
          </w:rPr>
          <w:t>orders.service.ts · 705-786</w:t>
        </w:r>
      </w:hyperlink>
      <w:r>
        <w:rPr>
          <w:sz w:val="18"/>
        </w:rPr>
        <w:t xml:space="preserve">  |  </w:t>
      </w:r>
      <w:hyperlink r:id="rId48">
        <w:r>
          <w:rPr>
            <w:color w:val="205493"/>
            <w:u w:val="single"/>
          </w:rPr>
          <w:t>orders.controller.ts · 139-147</w:t>
        </w:r>
      </w:hyperlink>
    </w:p>
    <w:p>
      <w:r>
        <w:br w:type="page"/>
      </w:r>
    </w:p>
    <w:p>
      <w:pPr>
        <w:pStyle w:val="Heading2"/>
      </w:pPr>
      <w:r>
        <w:t>Unir empaque factura y despacho real</w:t>
      </w:r>
    </w:p>
    <w:p>
      <w:r>
        <w:t>P1  |  Defecto confirmado en fuente  |  B08 · B09 · WH-25</w:t>
      </w:r>
    </w:p>
    <w:p>
      <w:r>
        <w:rPr>
          <w:b/>
        </w:rPr>
        <w:t xml:space="preserve">Regla esperada </w:t>
      </w:r>
      <w:r>
        <w:t>Facturar la cantidad comercial efectivamente empacada, sin cobrar regalo físico, y despachar solo con documento y salida registrados.</w:t>
      </w:r>
    </w:p>
    <w:p>
      <w:r>
        <w:rPr>
          <w:b/>
        </w:rPr>
        <w:t xml:space="preserve">Qué muestra la fuente </w:t>
      </w:r>
      <w:r>
        <w:t>La emisión usa metros solicitados y total previo, no la cantidad comercial conciliada. Hay acciones que marcan FACTURADO sin emitir o acreditar documento. En móvil, DESPACHADO solo cambia el estado: no crea envío ni actualiza HU, reservas o guía como escritorio.</w:t>
      </w:r>
    </w:p>
    <w:p>
      <w:r>
        <w:rPr>
          <w:b/>
        </w:rPr>
        <w:t xml:space="preserve">Riesgo </w:t>
      </w:r>
      <w:r>
        <w:t>Estado del pedido, factura y existencias pueden divergir. No se afirma una infracción fiscal observada.</w:t>
      </w:r>
    </w:p>
    <w:p>
      <w:r>
        <w:rPr>
          <w:b/>
        </w:rPr>
        <w:t xml:space="preserve">Corrección solicitada </w:t>
      </w:r>
      <w:r>
        <w:t>Cerrar el empaque comercial y la bonificación por separado; ligar FACTURADO a emisión válida. Unificar despacho atómico para móvil y escritorio y bloquear el salto genérico.</w:t>
      </w:r>
    </w:p>
    <w:p>
      <w:r>
        <w:rPr>
          <w:b/>
        </w:rPr>
        <w:t xml:space="preserve">Aceptación propuesta </w:t>
      </w:r>
      <w:r>
        <w:t>Pedido de 100 m con 98 facturables y 0.5 de regalo factura 98. Fallo de emisión queda reintentable. Móvil y escritorio producen el mismo envío, guía, movimientos y reservas; reintentar no duplica salida.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49">
        <w:r>
          <w:rPr>
            <w:color w:val="205493"/>
            <w:u w:val="single"/>
          </w:rPr>
          <w:t>Entrevista 19:36 · 218-224</w:t>
        </w:r>
      </w:hyperlink>
      <w:r>
        <w:rPr>
          <w:sz w:val="18"/>
        </w:rPr>
        <w:t xml:space="preserve">  |  </w:t>
      </w:r>
      <w:hyperlink r:id="rId13">
        <w:r>
          <w:rPr>
            <w:color w:val="205493"/>
            <w:u w:val="single"/>
          </w:rPr>
          <w:t>Entrevista Israel · 25:56</w:t>
        </w:r>
      </w:hyperlink>
      <w:r>
        <w:rPr>
          <w:sz w:val="18"/>
        </w:rPr>
        <w:t xml:space="preserve">  |  </w:t>
      </w:r>
      <w:hyperlink r:id="rId50">
        <w:r>
          <w:rPr>
            <w:color w:val="205493"/>
            <w:u w:val="single"/>
          </w:rPr>
          <w:t>invoicing.service.ts · 171-175</w:t>
        </w:r>
      </w:hyperlink>
      <w:r>
        <w:rPr>
          <w:sz w:val="18"/>
        </w:rPr>
        <w:t xml:space="preserve">  |  </w:t>
      </w:r>
      <w:hyperlink r:id="rId51">
        <w:r>
          <w:rPr>
            <w:color w:val="205493"/>
            <w:u w:val="single"/>
          </w:rPr>
          <w:t>invoicing.service.ts · 211-239</w:t>
        </w:r>
      </w:hyperlink>
      <w:r>
        <w:rPr>
          <w:sz w:val="18"/>
        </w:rPr>
        <w:t xml:space="preserve">  |  </w:t>
      </w:r>
      <w:hyperlink r:id="rId52">
        <w:r>
          <w:rPr>
            <w:color w:val="205493"/>
            <w:u w:val="single"/>
          </w:rPr>
          <w:t>PwaEmpaqueView.tsx · 18-25</w:t>
        </w:r>
      </w:hyperlink>
      <w:r>
        <w:rPr>
          <w:sz w:val="18"/>
        </w:rPr>
        <w:t xml:space="preserve">  |  </w:t>
      </w:r>
      <w:hyperlink r:id="rId53">
        <w:r>
          <w:rPr>
            <w:color w:val="205493"/>
            <w:u w:val="single"/>
          </w:rPr>
          <w:t>orders.service.ts · 788-792</w:t>
        </w:r>
      </w:hyperlink>
      <w:r>
        <w:rPr>
          <w:sz w:val="18"/>
        </w:rPr>
        <w:t xml:space="preserve">  |  </w:t>
      </w:r>
      <w:hyperlink r:id="rId54">
        <w:r>
          <w:rPr>
            <w:color w:val="205493"/>
            <w:u w:val="single"/>
          </w:rPr>
          <w:t>PwaEnvioView.tsx · 22-28</w:t>
        </w:r>
      </w:hyperlink>
      <w:r>
        <w:rPr>
          <w:sz w:val="18"/>
        </w:rPr>
        <w:t xml:space="preserve">  |  </w:t>
      </w:r>
      <w:hyperlink r:id="rId55">
        <w:r>
          <w:rPr>
            <w:color w:val="205493"/>
            <w:u w:val="single"/>
          </w:rPr>
          <w:t>PwaEnvioView.tsx · 89-105</w:t>
        </w:r>
      </w:hyperlink>
    </w:p>
    <w:p>
      <w:pPr>
        <w:pStyle w:val="Heading2"/>
      </w:pPr>
      <w:r>
        <w:t>Aplicar depósitos de forma atómica y al mismo cliente</w:t>
      </w:r>
    </w:p>
    <w:p>
      <w:r>
        <w:t>P1  |  Defecto confirmado en fuente  |  B14</w:t>
      </w:r>
    </w:p>
    <w:p>
      <w:r>
        <w:rPr>
          <w:b/>
        </w:rPr>
        <w:t xml:space="preserve">Regla esperada </w:t>
      </w:r>
      <w:r>
        <w:t>Una transferencia puede cubrir varias facturas del mismo cliente, incluidos abonos parciales, una sola vez.</w:t>
      </w:r>
    </w:p>
    <w:p>
      <w:r>
        <w:rPr>
          <w:b/>
        </w:rPr>
        <w:t xml:space="preserve">Qué muestra la fuente </w:t>
      </w:r>
      <w:r>
        <w:t>El grupo admite documentos de distintos clientes y usa el primero para el complemento. Crear pago y actualizar saldo no es atómico; no hay identidad idempotente del depósito.</w:t>
      </w:r>
    </w:p>
    <w:p>
      <w:r>
        <w:rPr>
          <w:b/>
        </w:rPr>
        <w:t xml:space="preserve">Riesgo </w:t>
      </w:r>
      <w:r>
        <w:t>Aplicación al cliente incorrecto, duplicación por reintento o saldo inconsistente.</w:t>
      </w:r>
    </w:p>
    <w:p>
      <w:r>
        <w:rPr>
          <w:b/>
        </w:rPr>
        <w:t xml:space="preserve">Corrección solicitada </w:t>
      </w:r>
      <w:r>
        <w:t>Modelar depósito y aplicaciones; validar cliente único, importe positivo y documento cobrable antes de mutar. Guardar pago y saldos con control concurrente e idempotencia.</w:t>
      </w:r>
    </w:p>
    <w:p>
      <w:r>
        <w:rPr>
          <w:b/>
        </w:rPr>
        <w:t xml:space="preserve">Aceptación propuesta </w:t>
      </w:r>
      <w:r>
        <w:t>Abono de $5,000 a factura de $25,000 deja $20,000. Mezclar clientes se rechaza sin cambios. Doble envío no duplica y un fallo entre pago y saldo revierte todo.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56">
        <w:r>
          <w:rPr>
            <w:color w:val="205493"/>
            <w:u w:val="single"/>
          </w:rPr>
          <w:t>Entrevista 54:04 · 564-568</w:t>
        </w:r>
      </w:hyperlink>
      <w:r>
        <w:rPr>
          <w:sz w:val="18"/>
        </w:rPr>
        <w:t xml:space="preserve">  |  </w:t>
      </w:r>
      <w:hyperlink r:id="rId57">
        <w:r>
          <w:rPr>
            <w:color w:val="205493"/>
            <w:u w:val="single"/>
          </w:rPr>
          <w:t>invoicing.service.ts · 617-690</w:t>
        </w:r>
      </w:hyperlink>
      <w:r>
        <w:rPr>
          <w:sz w:val="18"/>
        </w:rPr>
        <w:t xml:space="preserve">  |  </w:t>
      </w:r>
      <w:hyperlink r:id="rId58">
        <w:r>
          <w:rPr>
            <w:color w:val="205493"/>
            <w:u w:val="single"/>
          </w:rPr>
          <w:t>CobranzaPPDTab.tsx · 530-535</w:t>
        </w:r>
      </w:hyperlink>
    </w:p>
    <w:p>
      <w:r>
        <w:br w:type="page"/>
      </w:r>
    </w:p>
    <w:p>
      <w:pPr>
        <w:pStyle w:val="Heading2"/>
      </w:pPr>
      <w:r>
        <w:t>Emitir complementos por transferencia y preservar sus saldos</w:t>
      </w:r>
    </w:p>
    <w:p>
      <w:r>
        <w:t>P1  |  Defecto confirmado en fuente  |  B15 · B16</w:t>
      </w:r>
    </w:p>
    <w:p>
      <w:r>
        <w:rPr>
          <w:b/>
        </w:rPr>
        <w:t xml:space="preserve">Regla esperada </w:t>
      </w:r>
      <w:r>
        <w:t>Cada abono PPD debe tener su complemento y el saldo histórico de esa aplicación, sin esperar la liquidación total.</w:t>
      </w:r>
    </w:p>
    <w:p>
      <w:r>
        <w:rPr>
          <w:b/>
        </w:rPr>
        <w:t xml:space="preserve">Qué muestra la fuente </w:t>
      </w:r>
      <w:r>
        <w:t>La interfaz agrupa por factura pagada y puede ocultar pagos pendientes tras emitir uno. El backend reconstruye saldos desde el presente y la parcialidad desde la posición de la factura. Repetir emisión sin pendientes puede crear un nuevo pago total.</w:t>
      </w:r>
    </w:p>
    <w:p>
      <w:r>
        <w:rPr>
          <w:b/>
        </w:rPr>
        <w:t xml:space="preserve">Riesgo </w:t>
      </w:r>
      <w:r>
        <w:t>Recibos omitidos, saldos históricos incorrectos o pagos duplicados.</w:t>
      </w:r>
    </w:p>
    <w:p>
      <w:r>
        <w:rPr>
          <w:b/>
        </w:rPr>
        <w:t xml:space="preserve">Corrección solicitada </w:t>
      </w:r>
      <w:r>
        <w:t>Crear cola por depósito; guardar saldo anterior, nuevo y parcialidad por factura al aplicar. Emisión y reintento deben reutilizar la misma aplicación.</w:t>
      </w:r>
    </w:p>
    <w:p>
      <w:r>
        <w:rPr>
          <w:b/>
        </w:rPr>
        <w:t xml:space="preserve">Aceptación propuesta </w:t>
      </w:r>
      <w:r>
        <w:t>Factura de $25,000 con abonos de $5,000, $10,000 y $10,000 genera tres grupos identificables. Los primeros se emiten antes de liquidar. Saldos anteriores: $25,000, $20,000 y $10,000. Repetir no crea dinero ni recibos.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59">
        <w:r>
          <w:rPr>
            <w:color w:val="205493"/>
            <w:u w:val="single"/>
          </w:rPr>
          <w:t>Entrevista 53:54 · 555-557</w:t>
        </w:r>
      </w:hyperlink>
      <w:r>
        <w:rPr>
          <w:sz w:val="18"/>
        </w:rPr>
        <w:t xml:space="preserve">  |  </w:t>
      </w:r>
      <w:hyperlink r:id="rId60">
        <w:r>
          <w:rPr>
            <w:color w:val="205493"/>
            <w:u w:val="single"/>
          </w:rPr>
          <w:t>CobranzaPPDTab.tsx · 84-91</w:t>
        </w:r>
      </w:hyperlink>
      <w:r>
        <w:rPr>
          <w:sz w:val="18"/>
        </w:rPr>
        <w:t xml:space="preserve">  |  </w:t>
      </w:r>
      <w:hyperlink r:id="rId61">
        <w:r>
          <w:rPr>
            <w:color w:val="205493"/>
            <w:u w:val="single"/>
          </w:rPr>
          <w:t>CobranzaPPDTab.tsx · 626-658</w:t>
        </w:r>
      </w:hyperlink>
      <w:r>
        <w:rPr>
          <w:sz w:val="18"/>
        </w:rPr>
        <w:t xml:space="preserve">  |  </w:t>
      </w:r>
      <w:hyperlink r:id="rId62">
        <w:r>
          <w:rPr>
            <w:color w:val="205493"/>
            <w:u w:val="single"/>
          </w:rPr>
          <w:t>CobranzaPPDTab.tsx · 687-715</w:t>
        </w:r>
      </w:hyperlink>
      <w:r>
        <w:rPr>
          <w:sz w:val="18"/>
        </w:rPr>
        <w:t xml:space="preserve">  |  </w:t>
      </w:r>
      <w:hyperlink r:id="rId63">
        <w:r>
          <w:rPr>
            <w:color w:val="205493"/>
            <w:u w:val="single"/>
          </w:rPr>
          <w:t>invoicing.service.ts · 750-775</w:t>
        </w:r>
      </w:hyperlink>
      <w:r>
        <w:rPr>
          <w:sz w:val="18"/>
        </w:rPr>
        <w:t xml:space="preserve">  |  </w:t>
      </w:r>
      <w:hyperlink r:id="rId64">
        <w:r>
          <w:rPr>
            <w:color w:val="205493"/>
            <w:u w:val="single"/>
          </w:rPr>
          <w:t>invoicing.service.ts · 808-832</w:t>
        </w:r>
      </w:hyperlink>
    </w:p>
    <w:p>
      <w:pPr>
        <w:pStyle w:val="Heading2"/>
      </w:pPr>
      <w:r>
        <w:t>Calcular comisiones con tasa y periodo trazables</w:t>
      </w:r>
    </w:p>
    <w:p>
      <w:r>
        <w:t>P1  |  Defecto confirmado en fuente  |  B21 · B22 · B23</w:t>
      </w:r>
    </w:p>
    <w:p>
      <w:r>
        <w:rPr>
          <w:b/>
        </w:rPr>
        <w:t xml:space="preserve">Regla esperada </w:t>
      </w:r>
      <w:r>
        <w:t>Comisionar mercancía neta antes de impuestos, solo al pago completo, con tasa por lista y ajustes por devoluciones.</w:t>
      </w:r>
    </w:p>
    <w:p>
      <w:r>
        <w:rPr>
          <w:b/>
        </w:rPr>
        <w:t xml:space="preserve">Qué muestra la fuente </w:t>
      </w:r>
      <w:r>
        <w:t>El pedido nuevo no copia la tasa de lista y puede quedar en cero. No se encontró ajuste por notas posteriores. El reporte filtra por fecha de factura, no por el evento de liquidación; el mes histórico puede variar al cobrarse después.</w:t>
      </w:r>
    </w:p>
    <w:p>
      <w:r>
        <w:rPr>
          <w:b/>
        </w:rPr>
        <w:t xml:space="preserve">Riesgo </w:t>
      </w:r>
      <w:r>
        <w:t>Comisión nula, sobreestimada o asignada al periodo equivocado.</w:t>
      </w:r>
    </w:p>
    <w:p>
      <w:r>
        <w:rPr>
          <w:b/>
        </w:rPr>
        <w:t xml:space="preserve">Corrección solicitada </w:t>
      </w:r>
      <w:r>
        <w:t>Versionar tasa y base por línea, registrar liquidación definitiva y ajustes vinculados. Confirmar con Formatex la tabla y el cierre mensual antes de automatizar.</w:t>
      </w:r>
    </w:p>
    <w:p>
      <w:r>
        <w:rPr>
          <w:b/>
        </w:rPr>
        <w:t xml:space="preserve">Aceptación propuesta </w:t>
      </w:r>
      <w:r>
        <w:t>Base $1,000 a tasa de prueba 2.5% produce $25. Con devoluciones de $200 y $300, base $500 y comisión $12.50. Factura de septiembre liquidada en octubre entra al corte de octubre, pagadero el 10 de noviembre, sin reabrir septiembre.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65">
        <w:r>
          <w:rPr>
            <w:color w:val="205493"/>
            <w:u w:val="single"/>
          </w:rPr>
          <w:t>Entrevista 18:07 · 201-203</w:t>
        </w:r>
      </w:hyperlink>
      <w:r>
        <w:rPr>
          <w:sz w:val="18"/>
        </w:rPr>
        <w:t xml:space="preserve">  |  </w:t>
      </w:r>
      <w:hyperlink r:id="rId66">
        <w:r>
          <w:rPr>
            <w:color w:val="205493"/>
            <w:u w:val="single"/>
          </w:rPr>
          <w:t>Entrevista 12:31 · 114-116</w:t>
        </w:r>
      </w:hyperlink>
      <w:r>
        <w:rPr>
          <w:sz w:val="18"/>
        </w:rPr>
        <w:t xml:space="preserve">  |  </w:t>
      </w:r>
      <w:hyperlink r:id="rId67">
        <w:r>
          <w:rPr>
            <w:color w:val="205493"/>
            <w:u w:val="single"/>
          </w:rPr>
          <w:t>Entrevista 16:48 · 162-164</w:t>
        </w:r>
      </w:hyperlink>
      <w:r>
        <w:rPr>
          <w:sz w:val="18"/>
        </w:rPr>
        <w:t xml:space="preserve">  |  </w:t>
      </w:r>
      <w:hyperlink r:id="rId68">
        <w:r>
          <w:rPr>
            <w:color w:val="205493"/>
            <w:u w:val="single"/>
          </w:rPr>
          <w:t>schema.prisma · 1260-1267</w:t>
        </w:r>
      </w:hyperlink>
      <w:r>
        <w:rPr>
          <w:sz w:val="18"/>
        </w:rPr>
        <w:t xml:space="preserve">  |  </w:t>
      </w:r>
      <w:hyperlink r:id="rId69">
        <w:r>
          <w:rPr>
            <w:color w:val="205493"/>
            <w:u w:val="single"/>
          </w:rPr>
          <w:t>orders.service.ts · 405-419</w:t>
        </w:r>
      </w:hyperlink>
      <w:r>
        <w:rPr>
          <w:sz w:val="18"/>
        </w:rPr>
        <w:t xml:space="preserve">  |  </w:t>
      </w:r>
      <w:hyperlink r:id="rId70">
        <w:r>
          <w:rPr>
            <w:color w:val="205493"/>
            <w:u w:val="single"/>
          </w:rPr>
          <w:t>commissions.service.ts · 97-129</w:t>
        </w:r>
      </w:hyperlink>
      <w:r>
        <w:rPr>
          <w:sz w:val="18"/>
        </w:rPr>
        <w:t xml:space="preserve">  |  </w:t>
      </w:r>
      <w:hyperlink r:id="rId71">
        <w:r>
          <w:rPr>
            <w:color w:val="205493"/>
            <w:u w:val="single"/>
          </w:rPr>
          <w:t>commissions.service.ts · 196-222</w:t>
        </w:r>
      </w:hyperlink>
      <w:r>
        <w:rPr>
          <w:sz w:val="18"/>
        </w:rPr>
        <w:t xml:space="preserve">  |  </w:t>
      </w:r>
      <w:hyperlink r:id="rId72">
        <w:r>
          <w:rPr>
            <w:color w:val="205493"/>
            <w:u w:val="single"/>
          </w:rPr>
          <w:t>commissions.service.ts · 33-45</w:t>
        </w:r>
      </w:hyperlink>
      <w:r>
        <w:rPr>
          <w:sz w:val="18"/>
        </w:rPr>
        <w:t xml:space="preserve">  |  </w:t>
      </w:r>
      <w:hyperlink r:id="rId73">
        <w:r>
          <w:rPr>
            <w:color w:val="205493"/>
            <w:u w:val="single"/>
          </w:rPr>
          <w:t>invoicing.service.ts · 629-667</w:t>
        </w:r>
      </w:hyperlink>
    </w:p>
    <w:p>
      <w:r>
        <w:br w:type="page"/>
      </w:r>
    </w:p>
    <w:p>
      <w:pPr>
        <w:pStyle w:val="Heading2"/>
      </w:pPr>
      <w:r>
        <w:t>No descontar dos veces la cotización impresa</w:t>
      </w:r>
    </w:p>
    <w:p>
      <w:r>
        <w:t>P1  |  Defecto confirmado en fuente  |  SA-F09</w:t>
      </w:r>
    </w:p>
    <w:p>
      <w:r>
        <w:rPr>
          <w:b/>
        </w:rPr>
        <w:t xml:space="preserve">Regla esperada </w:t>
      </w:r>
      <w:r>
        <w:t>La partida impresa debe coincidir con el precio neto y el importe guardados.</w:t>
      </w:r>
    </w:p>
    <w:p>
      <w:r>
        <w:rPr>
          <w:b/>
        </w:rPr>
        <w:t xml:space="preserve">Qué muestra la fuente </w:t>
      </w:r>
      <w:r>
        <w:t>El servidor guarda precioUnitario ya reducido y conserva descuentoPct. QuotationModal vuelve a aplicar ese porcentaje. Por cálculo estático, 10 m a $100 con 10% guarda $900, pero la partida se imprime en $810.</w:t>
      </w:r>
    </w:p>
    <w:p>
      <w:r>
        <w:rPr>
          <w:b/>
        </w:rPr>
        <w:t xml:space="preserve">Riesgo </w:t>
      </w:r>
      <w:r>
        <w:t>Documento comercial contradictorio con el pedido y el cobro.</w:t>
      </w:r>
    </w:p>
    <w:p>
      <w:r>
        <w:rPr>
          <w:b/>
        </w:rPr>
        <w:t xml:space="preserve">Corrección solicitada </w:t>
      </w:r>
      <w:r>
        <w:t>Definir un contrato único de precio bruto, descuento, neto e importe; imprimir los valores persistidos sin descontar de nuevo y conciliar sumas.</w:t>
      </w:r>
    </w:p>
    <w:p>
      <w:r>
        <w:rPr>
          <w:b/>
        </w:rPr>
        <w:t xml:space="preserve">Aceptación propuesta </w:t>
      </w:r>
      <w:r>
        <w:t>La prueba de render con 10 × $100 y 10% muestra partida $900, IVA $144 y total $1,044 en ese caso de prueba. Con 0% y convenio especial también coinciden las sumas.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74">
        <w:r>
          <w:rPr>
            <w:color w:val="205493"/>
            <w:u w:val="single"/>
          </w:rPr>
          <w:t>Entrevista 2026-10-14 · 206-210</w:t>
        </w:r>
      </w:hyperlink>
      <w:r>
        <w:rPr>
          <w:sz w:val="18"/>
        </w:rPr>
        <w:t xml:space="preserve">  |  </w:t>
      </w:r>
      <w:hyperlink r:id="rId75">
        <w:r>
          <w:rPr>
            <w:color w:val="205493"/>
            <w:u w:val="single"/>
          </w:rPr>
          <w:t>orders.service.ts · 405-416</w:t>
        </w:r>
      </w:hyperlink>
      <w:r>
        <w:rPr>
          <w:sz w:val="18"/>
        </w:rPr>
        <w:t xml:space="preserve">  |  </w:t>
      </w:r>
      <w:hyperlink r:id="rId76">
        <w:r>
          <w:rPr>
            <w:color w:val="205493"/>
            <w:u w:val="single"/>
          </w:rPr>
          <w:t>QuotationModal.tsx · 373-408</w:t>
        </w:r>
      </w:hyperlink>
    </w:p>
    <w:p>
      <w:pPr>
        <w:pStyle w:val="Heading2"/>
      </w:pPr>
      <w:r>
        <w:t>Surtir con personal habilitado y lote correcto</w:t>
      </w:r>
    </w:p>
    <w:p>
      <w:r>
        <w:t>P1  |  Defecto confirmado en fuente  |  WH-13 · WH-15</w:t>
      </w:r>
    </w:p>
    <w:p>
      <w:r>
        <w:rPr>
          <w:b/>
        </w:rPr>
        <w:t xml:space="preserve">Regla esperada </w:t>
      </w:r>
      <w:r>
        <w:t>Los pedidos que requieren montacargas deben asignarse a personal habilitado; la mezcla de lotes o tonos requiere detección y aceptación.</w:t>
      </w:r>
    </w:p>
    <w:p>
      <w:r>
        <w:rPr>
          <w:b/>
        </w:rPr>
        <w:t xml:space="preserve">Qué muestra la fuente </w:t>
      </w:r>
      <w:r>
        <w:t>La habilidad se deduce de nombres y, si no hay montacarguista, autoDispatch puede elegir cualquier surtidor. Para lotes, createOrder consulta hu.lote en vez de loteProveedor; la selección no agrupa correctamente y el avance no exige aceptación.</w:t>
      </w:r>
    </w:p>
    <w:p>
      <w:r>
        <w:rPr>
          <w:b/>
        </w:rPr>
        <w:t xml:space="preserve">Riesgo </w:t>
      </w:r>
      <w:r>
        <w:t>Asignación operativa incompatible y entrega de mezclas no autorizadas.</w:t>
      </w:r>
    </w:p>
    <w:p>
      <w:r>
        <w:rPr>
          <w:b/>
        </w:rPr>
        <w:t xml:space="preserve">Corrección solicitada </w:t>
      </w:r>
      <w:r>
        <w:t>Registrar habilitación explícita y dejar pendiente si falta operador. Planificar por SKU y loteProveedor; persistir y exigir aceptación cuando la mezcla sea necesaria.</w:t>
      </w:r>
    </w:p>
    <w:p>
      <w:r>
        <w:rPr>
          <w:b/>
        </w:rPr>
        <w:t xml:space="preserve">Aceptación propuesta </w:t>
      </w:r>
      <w:r>
        <w:t>Usuario llamado Juan sin capacitación no califica; una operadora habilitada sí. Sin operador, el pedido espera. Demanda de 80 m que requiere lotes A+B se bloquea sin aceptación; lotes de SKU distintos no generan falsa alarma.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3">
        <w:r>
          <w:rPr>
            <w:color w:val="205493"/>
            <w:u w:val="single"/>
          </w:rPr>
          <w:t>Entrevista Israel · 18:30</w:t>
        </w:r>
      </w:hyperlink>
      <w:r>
        <w:rPr>
          <w:sz w:val="18"/>
        </w:rPr>
        <w:t xml:space="preserve">  |  </w:t>
      </w:r>
      <w:hyperlink r:id="rId77">
        <w:r>
          <w:rPr>
            <w:color w:val="205493"/>
            <w:u w:val="single"/>
          </w:rPr>
          <w:t>orders.service.ts · 1391-1424</w:t>
        </w:r>
      </w:hyperlink>
      <w:r>
        <w:rPr>
          <w:sz w:val="18"/>
        </w:rPr>
        <w:t xml:space="preserve">  |  </w:t>
      </w:r>
      <w:hyperlink r:id="rId78">
        <w:r>
          <w:rPr>
            <w:color w:val="205493"/>
            <w:u w:val="single"/>
          </w:rPr>
          <w:t>orders.service.ts · 1461-1499</w:t>
        </w:r>
      </w:hyperlink>
      <w:r>
        <w:rPr>
          <w:sz w:val="18"/>
        </w:rPr>
        <w:t xml:space="preserve">  |  </w:t>
      </w:r>
      <w:hyperlink r:id="rId79">
        <w:r>
          <w:rPr>
            <w:color w:val="205493"/>
            <w:u w:val="single"/>
          </w:rPr>
          <w:t>orders.service.ts · 427-487</w:t>
        </w:r>
      </w:hyperlink>
      <w:r>
        <w:rPr>
          <w:sz w:val="18"/>
        </w:rPr>
        <w:t xml:space="preserve">  |  </w:t>
      </w:r>
      <w:hyperlink r:id="rId80">
        <w:r>
          <w:rPr>
            <w:color w:val="205493"/>
            <w:u w:val="single"/>
          </w:rPr>
          <w:t>orders.service.ts · 505-554</w:t>
        </w:r>
      </w:hyperlink>
    </w:p>
    <w:p>
      <w:r>
        <w:br w:type="page"/>
      </w:r>
    </w:p>
    <w:p>
      <w:pPr>
        <w:pStyle w:val="Heading2"/>
      </w:pPr>
      <w:r>
        <w:t>Preservar el costeo histórico de cada embarque</w:t>
      </w:r>
    </w:p>
    <w:p>
      <w:r>
        <w:t>P1  |  Defecto confirmado en fuente  |  IMP-09 · IMP-10</w:t>
      </w:r>
    </w:p>
    <w:p>
      <w:r>
        <w:rPr>
          <w:b/>
        </w:rPr>
        <w:t xml:space="preserve">Regla esperada </w:t>
      </w:r>
      <w:r>
        <w:t>Tipo de cambio, pedimento, precio de origen y costos Telares y Formatex deben pertenecer al embarque y conservarse al reabrirlo.</w:t>
      </w:r>
    </w:p>
    <w:p>
      <w:r>
        <w:rPr>
          <w:b/>
        </w:rPr>
        <w:t xml:space="preserve">Qué muestra la fuente </w:t>
      </w:r>
      <w:r>
        <w:t>El modal envía valores de ejemplo como overrides antes de leer lo guardado. El pedimento 6003496 documenta TC 17.24500, no 18.3688. El recálculo usa precio actual del SKU y confunde costo puesto en México con costo posterior al margen intercompañía.</w:t>
      </w:r>
    </w:p>
    <w:p>
      <w:r>
        <w:rPr>
          <w:b/>
        </w:rPr>
        <w:t xml:space="preserve">Riesgo </w:t>
      </w:r>
      <w:r>
        <w:t>Reabrir o exportar historia puede cambiar datos y costos ya registrados.</w:t>
      </w:r>
    </w:p>
    <w:p>
      <w:r>
        <w:rPr>
          <w:b/>
        </w:rPr>
        <w:t xml:space="preserve">Corrección solicitada </w:t>
      </w:r>
      <w:r>
        <w:t>Cargar primero la instantánea guardada; no completar faltantes con ejemplos. Persistir precio, TC, componentes, fórmula y costos separados por embarque y partida.</w:t>
      </w:r>
    </w:p>
    <w:p>
      <w:r>
        <w:rPr>
          <w:b/>
        </w:rPr>
        <w:t xml:space="preserve">Aceptación propuesta </w:t>
      </w:r>
      <w:r>
        <w:t>Embarques del mismo SKU a USD 4 y USD 5 no cambian al editar catálogo a USD 6. Reabrir conserva pedimento y TC; faltar datos obligatorios bloquea finalizar. El pedimento 6003496 conserva 17.24500.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81">
        <w:r>
          <w:rPr>
            <w:color w:val="205493"/>
            <w:u w:val="single"/>
          </w:rPr>
          <w:t>Entrevista 25:49 · 367 a 369</w:t>
        </w:r>
      </w:hyperlink>
      <w:r>
        <w:rPr>
          <w:sz w:val="18"/>
        </w:rPr>
        <w:t xml:space="preserve">  |  </w:t>
      </w:r>
      <w:hyperlink r:id="rId82">
        <w:r>
          <w:rPr>
            <w:color w:val="205493"/>
            <w:u w:val="single"/>
          </w:rPr>
          <w:t>Entrevista 26:13 · 373 a 375</w:t>
        </w:r>
      </w:hyperlink>
      <w:r>
        <w:rPr>
          <w:sz w:val="18"/>
        </w:rPr>
        <w:t xml:space="preserve">  |  </w:t>
      </w:r>
      <w:hyperlink r:id="rId83">
        <w:r>
          <w:rPr>
            <w:color w:val="205493"/>
            <w:u w:val="single"/>
          </w:rPr>
          <w:t>PEDIMENTO.pdf · p.1, encabezado, verificado visualmente</w:t>
        </w:r>
      </w:hyperlink>
      <w:r>
        <w:rPr>
          <w:sz w:val="18"/>
        </w:rPr>
        <w:t xml:space="preserve">  |  </w:t>
      </w:r>
      <w:hyperlink r:id="rId84">
        <w:r>
          <w:rPr>
            <w:color w:val="205493"/>
            <w:u w:val="single"/>
          </w:rPr>
          <w:t>ImportCostingModal.tsx · 20 a 53</w:t>
        </w:r>
      </w:hyperlink>
      <w:r>
        <w:rPr>
          <w:sz w:val="18"/>
        </w:rPr>
        <w:t xml:space="preserve">  |  </w:t>
      </w:r>
      <w:hyperlink r:id="rId85">
        <w:r>
          <w:rPr>
            <w:color w:val="205493"/>
            <w:u w:val="single"/>
          </w:rPr>
          <w:t>transit.service.ts · 173 a 175</w:t>
        </w:r>
      </w:hyperlink>
      <w:r>
        <w:rPr>
          <w:sz w:val="18"/>
        </w:rPr>
        <w:t xml:space="preserve">  |  </w:t>
      </w:r>
      <w:hyperlink r:id="rId86">
        <w:r>
          <w:rPr>
            <w:color w:val="205493"/>
            <w:u w:val="single"/>
          </w:rPr>
          <w:t>transit.service.ts · 185 a 196</w:t>
        </w:r>
      </w:hyperlink>
      <w:r>
        <w:rPr>
          <w:sz w:val="18"/>
        </w:rPr>
        <w:t xml:space="preserve">  |  </w:t>
      </w:r>
      <w:hyperlink r:id="rId87">
        <w:r>
          <w:rPr>
            <w:color w:val="205493"/>
            <w:u w:val="single"/>
          </w:rPr>
          <w:t>transit.service.ts · 280 a 287</w:t>
        </w:r>
      </w:hyperlink>
    </w:p>
    <w:p>
      <w:pPr>
        <w:pStyle w:val="Heading2"/>
      </w:pPr>
      <w:r>
        <w:t>Recibir metros reales y descontarlos del tránsito</w:t>
      </w:r>
    </w:p>
    <w:p>
      <w:r>
        <w:t>P1  |  Defecto confirmado en fuente  |  IMP-15 · IMP-16 · IMP-17 · WH-04</w:t>
      </w:r>
    </w:p>
    <w:p>
      <w:r>
        <w:rPr>
          <w:b/>
        </w:rPr>
        <w:t xml:space="preserve">Regla esperada </w:t>
      </w:r>
      <w:r>
        <w:t>Un rollo entero conserva su longitud real; recibir transforma tránsito en existencia física sin duplicar cantidades.</w:t>
      </w:r>
    </w:p>
    <w:p>
      <w:r>
        <w:rPr>
          <w:b/>
        </w:rPr>
        <w:t xml:space="preserve">Qué muestra la fuente </w:t>
      </w:r>
      <w:r>
        <w:t>Se usan rollos fijos de 50 m en rutas de recepción. Confirmar entrada desde Compras puede limitarse a cambiar estado. Recibir o cancelar una OC no reconcilia el embarque que generó, que puede seguir disponible como futuro.</w:t>
      </w:r>
    </w:p>
    <w:p>
      <w:r>
        <w:rPr>
          <w:b/>
        </w:rPr>
        <w:t xml:space="preserve">Riesgo </w:t>
      </w:r>
      <w:r>
        <w:t>Metros ficticios, entrada sin evidencia física y doble disponibilidad.</w:t>
      </w:r>
    </w:p>
    <w:p>
      <w:r>
        <w:rPr>
          <w:b/>
        </w:rPr>
        <w:t xml:space="preserve">Corrección solicitada </w:t>
      </w:r>
      <w:r>
        <w:t>Recibir cada HU y lote con sus metros; derivar el estado desde intake real. Actualizar OC, recepción, tránsito pendiente y reservas en una operación idempotente.</w:t>
      </w:r>
    </w:p>
    <w:p>
      <w:r>
        <w:rPr>
          <w:b/>
        </w:rPr>
        <w:t xml:space="preserve">Aceptación propuesta </w:t>
      </w:r>
      <w:r>
        <w:t>47.5 + 48.4 + 43.5 + 58.3 conserva 197.7 m, no 200. OC de 100 recibida en 40 deja 40 físicos y 60 futuros; recepción final deja cero tránsito. Confirmar sin captura validada no marca entregado.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88">
        <w:r>
          <w:rPr>
            <w:color w:val="205493"/>
            <w:u w:val="single"/>
          </w:rPr>
          <w:t>Entrevista 11:02 · 136 a 140</w:t>
        </w:r>
      </w:hyperlink>
      <w:r>
        <w:rPr>
          <w:sz w:val="18"/>
        </w:rPr>
        <w:t xml:space="preserve">  |  </w:t>
      </w:r>
      <w:hyperlink r:id="rId89">
        <w:r>
          <w:rPr>
            <w:color w:val="205493"/>
            <w:u w:val="single"/>
          </w:rPr>
          <w:t>Entrevista 4:23 · 84 a 94</w:t>
        </w:r>
      </w:hyperlink>
      <w:r>
        <w:rPr>
          <w:sz w:val="18"/>
        </w:rPr>
        <w:t xml:space="preserve">  |  </w:t>
      </w:r>
      <w:hyperlink r:id="rId90">
        <w:r>
          <w:rPr>
            <w:color w:val="205493"/>
            <w:u w:val="single"/>
          </w:rPr>
          <w:t>Entrevista 11:52 · 147 a 159</w:t>
        </w:r>
      </w:hyperlink>
      <w:r>
        <w:rPr>
          <w:sz w:val="18"/>
        </w:rPr>
        <w:t xml:space="preserve">  |  </w:t>
      </w:r>
      <w:hyperlink r:id="rId13">
        <w:r>
          <w:rPr>
            <w:color w:val="205493"/>
            <w:u w:val="single"/>
          </w:rPr>
          <w:t>Entrevista Israel · 12:12–12:38</w:t>
        </w:r>
      </w:hyperlink>
      <w:r>
        <w:rPr>
          <w:sz w:val="18"/>
        </w:rPr>
        <w:t xml:space="preserve">  |  </w:t>
      </w:r>
      <w:hyperlink r:id="rId91">
        <w:r>
          <w:rPr>
            <w:color w:val="205493"/>
            <w:u w:val="single"/>
          </w:rPr>
          <w:t>ORDEN DE COMPRA FORMATEX A TELARES.pdf · p.1, HOLLAND VELVET BEIGE</w:t>
        </w:r>
      </w:hyperlink>
      <w:r>
        <w:rPr>
          <w:sz w:val="18"/>
        </w:rPr>
        <w:t xml:space="preserve">  |  </w:t>
      </w:r>
      <w:hyperlink r:id="rId92">
        <w:r>
          <w:rPr>
            <w:color w:val="205493"/>
            <w:u w:val="single"/>
          </w:rPr>
          <w:t>CALCULO DE COSTOS DE IMPORTACION (COSTEO).xlsx · 'COSTO POR METRO'!D3:F3</w:t>
        </w:r>
      </w:hyperlink>
      <w:r>
        <w:rPr>
          <w:sz w:val="18"/>
        </w:rPr>
        <w:t xml:space="preserve">  |  </w:t>
      </w:r>
      <w:hyperlink r:id="rId93">
        <w:r>
          <w:rPr>
            <w:color w:val="205493"/>
            <w:u w:val="single"/>
          </w:rPr>
          <w:t>RequisicionesTelaresTab.tsx · 58 a 64</w:t>
        </w:r>
      </w:hyperlink>
      <w:r>
        <w:rPr>
          <w:sz w:val="18"/>
        </w:rPr>
        <w:t xml:space="preserve">  |  </w:t>
      </w:r>
      <w:hyperlink r:id="rId94">
        <w:r>
          <w:rPr>
            <w:color w:val="205493"/>
            <w:u w:val="single"/>
          </w:rPr>
          <w:t>purchasing.service.ts · 940 a 947</w:t>
        </w:r>
      </w:hyperlink>
      <w:r>
        <w:rPr>
          <w:sz w:val="18"/>
        </w:rPr>
        <w:t xml:space="preserve">  |  </w:t>
      </w:r>
      <w:hyperlink r:id="rId95">
        <w:r>
          <w:rPr>
            <w:color w:val="205493"/>
            <w:u w:val="single"/>
          </w:rPr>
          <w:t>purchasing.service.ts · 388 a 405</w:t>
        </w:r>
      </w:hyperlink>
      <w:r>
        <w:rPr>
          <w:sz w:val="18"/>
        </w:rPr>
        <w:t xml:space="preserve">  |  </w:t>
      </w:r>
      <w:hyperlink r:id="rId96">
        <w:r>
          <w:rPr>
            <w:color w:val="205493"/>
            <w:u w:val="single"/>
          </w:rPr>
          <w:t>purchasing.service.ts · 438 a 455</w:t>
        </w:r>
      </w:hyperlink>
      <w:r>
        <w:rPr>
          <w:sz w:val="18"/>
        </w:rPr>
        <w:t xml:space="preserve">  |  </w:t>
      </w:r>
      <w:hyperlink r:id="rId97">
        <w:r>
          <w:rPr>
            <w:color w:val="205493"/>
            <w:u w:val="single"/>
          </w:rPr>
          <w:t>purchasing.service.ts · 487 a 506</w:t>
        </w:r>
      </w:hyperlink>
      <w:r>
        <w:rPr>
          <w:sz w:val="18"/>
        </w:rPr>
        <w:t xml:space="preserve">  |  </w:t>
      </w:r>
      <w:hyperlink r:id="rId98">
        <w:r>
          <w:rPr>
            <w:color w:val="205493"/>
            <w:u w:val="single"/>
          </w:rPr>
          <w:t>purchasing.service.ts · 525 a 539</w:t>
        </w:r>
      </w:hyperlink>
      <w:r>
        <w:rPr>
          <w:sz w:val="18"/>
        </w:rPr>
        <w:t xml:space="preserve">  |  </w:t>
      </w:r>
      <w:hyperlink r:id="rId99">
        <w:r>
          <w:rPr>
            <w:color w:val="205493"/>
            <w:u w:val="single"/>
          </w:rPr>
          <w:t>reception.service.ts · 581-590</w:t>
        </w:r>
      </w:hyperlink>
      <w:r>
        <w:rPr>
          <w:sz w:val="18"/>
        </w:rPr>
        <w:t xml:space="preserve">  |  </w:t>
      </w:r>
      <w:hyperlink r:id="rId100">
        <w:r>
          <w:rPr>
            <w:color w:val="205493"/>
            <w:u w:val="single"/>
          </w:rPr>
          <w:t>reception.service.ts · 706-728</w:t>
        </w:r>
      </w:hyperlink>
    </w:p>
    <w:p>
      <w:r>
        <w:br w:type="page"/>
      </w:r>
    </w:p>
    <w:p>
      <w:pPr>
        <w:pStyle w:val="Heading2"/>
      </w:pPr>
      <w:r>
        <w:t>Conservar el detalle de la hoja de CONTPAQi</w:t>
      </w:r>
    </w:p>
    <w:p>
      <w:r>
        <w:t>P1  |  Defecto confirmado en fuente  |  IMP-19</w:t>
      </w:r>
    </w:p>
    <w:p>
      <w:r>
        <w:rPr>
          <w:b/>
        </w:rPr>
        <w:t xml:space="preserve">Regla esperada </w:t>
      </w:r>
      <w:r>
        <w:t>La exportación debe respetar el layout acordado, cada rollo y lote y sus fechas, no solo nombres parecidos de columnas.</w:t>
      </w:r>
    </w:p>
    <w:p>
      <w:r>
        <w:rPr>
          <w:b/>
        </w:rPr>
        <w:t xml:space="preserve">Qué muestra la fuente </w:t>
      </w:r>
      <w:r>
        <w:t>El archivo generado pierde granularidad y campos de la muestra original. La diferencia estructural es observable en fuente; no se probó importar en CONTPAQi ni se afirma un rechazo de ejecución.</w:t>
      </w:r>
    </w:p>
    <w:p>
      <w:r>
        <w:rPr>
          <w:b/>
        </w:rPr>
        <w:t xml:space="preserve">Riesgo </w:t>
      </w:r>
      <w:r>
        <w:t>Traslado incompleto o incorrecto de lotes, fechas y cantidades.</w:t>
      </w:r>
    </w:p>
    <w:p>
      <w:r>
        <w:rPr>
          <w:b/>
        </w:rPr>
        <w:t xml:space="preserve">Corrección solicitada </w:t>
      </w:r>
      <w:r>
        <w:t>Acordar el mapeo con el operador y generar desde HUs recibidos reales; conservar metadatos originales sin fabricar lotes o vencimientos.</w:t>
      </w:r>
    </w:p>
    <w:p>
      <w:r>
        <w:rPr>
          <w:b/>
        </w:rPr>
        <w:t xml:space="preserve">Aceptación propuesta </w:t>
      </w:r>
      <w:r>
        <w:t>La muestra de cinco filas conserva cinco lotes y 289.0 m con sus 14 campos mapeados. Un operador valida la importación en un entorno autorizado de prueba.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89">
        <w:r>
          <w:rPr>
            <w:color w:val="205493"/>
            <w:u w:val="single"/>
          </w:rPr>
          <w:t>Entrevista 4:23 · 84 a 94</w:t>
        </w:r>
      </w:hyperlink>
      <w:r>
        <w:rPr>
          <w:sz w:val="18"/>
        </w:rPr>
        <w:t xml:space="preserve">  |  </w:t>
      </w:r>
      <w:hyperlink r:id="rId101">
        <w:r>
          <w:rPr>
            <w:color w:val="205493"/>
            <w:u w:val="single"/>
          </w:rPr>
          <w:t>FORMATO DE HOJA ELECTRONICA.xlsx · Hoja1!A16:N21 y A7:K10</w:t>
        </w:r>
      </w:hyperlink>
      <w:r>
        <w:rPr>
          <w:sz w:val="18"/>
        </w:rPr>
        <w:t xml:space="preserve">  |  </w:t>
      </w:r>
      <w:hyperlink r:id="rId102">
        <w:r>
          <w:rPr>
            <w:color w:val="205493"/>
            <w:u w:val="single"/>
          </w:rPr>
          <w:t>transit.service.ts · 296 a 320</w:t>
        </w:r>
      </w:hyperlink>
      <w:r>
        <w:rPr>
          <w:sz w:val="18"/>
        </w:rPr>
        <w:t xml:space="preserve">  |  </w:t>
      </w:r>
      <w:hyperlink r:id="rId103">
        <w:r>
          <w:rPr>
            <w:color w:val="205493"/>
            <w:u w:val="single"/>
          </w:rPr>
          <w:t>ImportCostingModal.tsx · 88 a 104</w:t>
        </w:r>
      </w:hyperlink>
    </w:p>
    <w:p>
      <w:r>
        <w:br w:type="page"/>
      </w:r>
    </w:p>
    <w:p>
      <w:pPr>
        <w:pStyle w:val="Heading1"/>
      </w:pPr>
      <w:r>
        <w:t>Decisiones que requieren confirmación de Formatex</w:t>
      </w:r>
    </w:p>
    <w:p>
      <w:r>
        <w:t>No deben registrarse como fallos cerrados de programación las reglas aún no acordadas. Documentar la decisión, su responsable y la fecha antes de exigirla en el servidor.</w:t>
      </w:r>
    </w:p>
    <w:p>
      <w:pPr>
        <w:pStyle w:val="Heading2"/>
      </w:pPr>
      <w:r>
        <w:t>Plazos de apartados y bonificaciones</w:t>
      </w:r>
    </w:p>
    <w:p>
      <w:r>
        <w:t>WH-08, WH-21, WH-22 y B12. Ratificar si el plazo es 24 horas, 72 horas naturales o días hábiles, con zona horaria, prórroga y comunicación. Cerrar quién autoriza bonificación y cómo comparten remanente dos pedidos. Son decisiones pendientes; conservar metros y no cobrar regalo ya son reglas claras.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3">
        <w:r>
          <w:rPr>
            <w:color w:val="205493"/>
            <w:u w:val="single"/>
          </w:rPr>
          <w:t>Entrevista Israel · 13:16–16:56</w:t>
        </w:r>
      </w:hyperlink>
      <w:r>
        <w:rPr>
          <w:sz w:val="18"/>
        </w:rPr>
        <w:t xml:space="preserve">  |  </w:t>
      </w:r>
      <w:hyperlink r:id="rId104">
        <w:r>
          <w:rPr>
            <w:color w:val="205493"/>
            <w:u w:val="single"/>
          </w:rPr>
          <w:t>Entrevista 29:06 · 311-315</w:t>
        </w:r>
      </w:hyperlink>
    </w:p>
    <w:p>
      <w:pPr>
        <w:pStyle w:val="Heading2"/>
      </w:pPr>
      <w:r>
        <w:t>Fórmula de margen y costo de referencia</w:t>
      </w:r>
    </w:p>
    <w:p>
      <w:r>
        <w:t>IMP-12 e IMP-13. El factor 0.88 sí aparece en la fuente; no debe retirarse por defecto. Costo / 0.88 implica margen de 12% sobre venta, no recargo de 12% sobre costo. Definir cuándo aplica 7% o 12%, vigencia, base máxima o promedio y responsable de validación.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05">
        <w:r>
          <w:rPr>
            <w:color w:val="205493"/>
            <w:u w:val="single"/>
          </w:rPr>
          <w:t>Entrevista 29:06 · 417 a 421</w:t>
        </w:r>
      </w:hyperlink>
      <w:r>
        <w:rPr>
          <w:sz w:val="18"/>
        </w:rPr>
        <w:t xml:space="preserve">  |  </w:t>
      </w:r>
      <w:hyperlink r:id="rId92">
        <w:r>
          <w:rPr>
            <w:color w:val="205493"/>
            <w:u w:val="single"/>
          </w:rPr>
          <w:t>CALCULO DE COSTOS DE IMPORTACION (COSTEO).xlsx · 'COSTO POR METRO'!O3</w:t>
        </w:r>
      </w:hyperlink>
    </w:p>
    <w:p>
      <w:pPr>
        <w:pStyle w:val="Heading2"/>
      </w:pPr>
      <w:r>
        <w:t>Alcances y datos que aún no están cerrados</w:t>
      </w:r>
    </w:p>
    <w:p>
      <w:r>
        <w:t>SA-R19, WH-29, IMP-21 e IMP-22. Confirmar puente manual o automático para pedidos web, layout y carritos de la nueva bodega, reclamaciones a proveedores y alcance de cuentas por pagar. La ausencia de esos submódulos no acredita por sí sola incumplimiento contractual. IMP-05 requiere validar moneda, emisor e impuestos del documento internacional original; no se propone una regla fiscal universal.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06">
        <w:r>
          <w:rPr>
            <w:color w:val="205493"/>
            <w:u w:val="single"/>
          </w:rPr>
          <w:t>Entrevista 2026-10-14 · 108-110</w:t>
        </w:r>
      </w:hyperlink>
      <w:r>
        <w:rPr>
          <w:sz w:val="18"/>
        </w:rPr>
        <w:t xml:space="preserve">  |  </w:t>
      </w:r>
      <w:hyperlink r:id="rId89">
        <w:r>
          <w:rPr>
            <w:color w:val="205493"/>
            <w:u w:val="single"/>
          </w:rPr>
          <w:t>Entrevista 4:23 · 84 a 94</w:t>
        </w:r>
      </w:hyperlink>
      <w:r>
        <w:rPr>
          <w:sz w:val="18"/>
        </w:rPr>
        <w:t xml:space="preserve">  |  </w:t>
      </w:r>
      <w:hyperlink r:id="rId107">
        <w:r>
          <w:rPr>
            <w:color w:val="205493"/>
            <w:u w:val="single"/>
          </w:rPr>
          <w:t>schema.prisma · 606-618</w:t>
        </w:r>
      </w:hyperlink>
    </w:p>
    <w:p>
      <w:pPr>
        <w:pStyle w:val="Heading1"/>
      </w:pPr>
      <w:r>
        <w:t>Cómo aceptar las correcciones</w:t>
      </w:r>
    </w:p>
    <w:p>
      <w:r>
        <w:t>Para cada ID, Antigravity debe indicar el commit que corrige la causa, los archivos afectados y la evidencia de aceptación. La aprobación requiere revisar el comportamiento esperado, no solo que el proyecto compile.</w:t>
      </w:r>
    </w:p>
    <w:p>
      <w:pPr>
        <w:pStyle w:val="ListBullet"/>
      </w:pPr>
      <w:r>
        <w:t>Ejecutar casos de éxito y rechazo, con usuarios de distintos roles y datos aislados. Una solicitud rechazada no debe modificar existencias, saldos ni estados.</w:t>
      </w:r>
    </w:p>
    <w:p>
      <w:pPr>
        <w:pStyle w:val="ListBullet"/>
      </w:pPr>
      <w:r>
        <w:t>Verificar concurrencia, reintentos y operaciones repetidas cuando exista movimiento de inventario o dinero. Registrar estados antes y después.</w:t>
      </w:r>
    </w:p>
    <w:p>
      <w:pPr>
        <w:pStyle w:val="ListBullet"/>
      </w:pPr>
      <w:r>
        <w:t>Usar fixtures y servicios de prueba, sin emitir comprobantes ni afectar datos productivos. Registrar entorno, SHA, comando, resultado y evidencia.</w:t>
      </w:r>
    </w:p>
    <w:p>
      <w:pPr>
        <w:pStyle w:val="ListBullet"/>
      </w:pPr>
      <w:r>
        <w:t>Mantener separada la prueba técnica de la aprobación de una regla de negocio. Lo corregido en fuente sigue pendiente hasta comprobarlo en el entorno acordado.</w:t>
      </w:r>
    </w:p>
    <w:p>
      <w:r>
        <w:br w:type="page"/>
      </w:r>
    </w:p>
    <w:p>
      <w:pPr>
        <w:pStyle w:val="Heading1"/>
      </w:pPr>
      <w:r>
        <w:t>Alcance y fuentes</w:t>
      </w:r>
    </w:p>
    <w:p>
      <w:r>
        <w:t>La carpeta entrevistas del árbol congelado contiene cinco transcripciones completas y cinco resúmenes. Se leyeron las transcripciones completas, no solo sus resúmenes. Los textos suman 3246 líneas y 244898 bytes. Las copias locales se verificaron byte a byte contra sus blobs de Git.</w:t>
      </w:r>
    </w:p>
    <w:p>
      <w:r>
        <w:t xml:space="preserve">2026-10-14  ATC y ventas — Alma, Andrea  </w:t>
      </w:r>
      <w:hyperlink r:id="rId108">
        <w:r>
          <w:rPr>
            <w:color w:val="205493"/>
            <w:u w:val="single"/>
          </w:rPr>
          <w:t>Transcripción completa</w:t>
        </w:r>
      </w:hyperlink>
    </w:p>
    <w:p>
      <w:r>
        <w:t xml:space="preserve">2026-10-16  Compras e importaciones — Elba  </w:t>
      </w:r>
      <w:hyperlink r:id="rId109">
        <w:r>
          <w:rPr>
            <w:color w:val="205493"/>
            <w:u w:val="single"/>
          </w:rPr>
          <w:t>Transcripción completa</w:t>
        </w:r>
      </w:hyperlink>
    </w:p>
    <w:p>
      <w:r>
        <w:t xml:space="preserve">2026-10-21  ATC y ventas — segunda sesión  </w:t>
      </w:r>
      <w:hyperlink r:id="rId110">
        <w:r>
          <w:rPr>
            <w:color w:val="205493"/>
            <w:u w:val="single"/>
          </w:rPr>
          <w:t>Transcripción completa</w:t>
        </w:r>
      </w:hyperlink>
    </w:p>
    <w:p>
      <w:r>
        <w:t xml:space="preserve">2026-10-23  Almacén — Israel  </w:t>
      </w:r>
      <w:hyperlink r:id="rId13">
        <w:r>
          <w:rPr>
            <w:color w:val="205493"/>
            <w:u w:val="single"/>
          </w:rPr>
          <w:t>Transcripción completa</w:t>
        </w:r>
      </w:hyperlink>
    </w:p>
    <w:p>
      <w:r>
        <w:t xml:space="preserve">2026-10-26  Cobranza y facturación — César  </w:t>
      </w:r>
      <w:hyperlink r:id="rId12">
        <w:r>
          <w:rPr>
            <w:color w:val="205493"/>
            <w:u w:val="single"/>
          </w:rPr>
          <w:t>Transcripción completa</w:t>
        </w:r>
      </w:hyperlink>
    </w:p>
    <w:p>
      <w:r>
        <w:t>Las reglas derivadas en requerimientos y la documentación técnica se trataron como interpretaciones contrastables, no como sustitutos de la entrevista. Se inspeccionaron rutas de servidor, interfaz y datos relacionadas con los requisitos; no todo el repositorio línea por línea.</w:t>
      </w:r>
    </w:p>
    <w:p>
      <w:r>
        <w:t>No se verificó directamente la carpeta local exacta WMS-Formatex-B2 ni los cambios no publicados. El repositorio documenta una ruta local wms-formatex-v2 y contiene las entrevistas de los procesos descritos, pero esa correspondencia probable de nombre no acredita acceso a la copia local.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11">
        <w:r>
          <w:rPr>
            <w:color w:val="205493"/>
            <w:u w:val="single"/>
          </w:rPr>
          <w:t>Índice de documentación líneas 23 a 43</w:t>
        </w:r>
      </w:hyperlink>
      <w:r>
        <w:rPr>
          <w:sz w:val="18"/>
        </w:rPr>
        <w:t xml:space="preserve">  |  </w:t>
      </w:r>
      <w:hyperlink r:id="rId112">
        <w:r>
          <w:rPr>
            <w:color w:val="205493"/>
            <w:u w:val="single"/>
          </w:rPr>
          <w:t>Estructura técnica línea 174</w:t>
        </w:r>
      </w:hyperlink>
    </w:p>
    <w:p>
      <w:r>
        <w:t>Cubierto significa que se encontró soporte de fuente para el alcance descrito; no significa que se haya probado. Parcial indica soporte incompleto. Omitido indica que no se localizó la implementación necesaria en las rutas revisadas. Contradicción indica diferencia entre regla esperada y código. Pendiente de definición reserva una decisión de negocio aún no cerrada.</w:t>
      </w:r>
    </w:p>
    <w:p>
      <w:pPr>
        <w:pStyle w:val="Heading1"/>
      </w:pPr>
      <w:r>
        <w:t>Qué acredita el CI observado</w:t>
      </w:r>
    </w:p>
    <w:p>
      <w:r>
        <w:t>Las ejecuciones Android Build de main y dev para la línea base terminaron correctamente. Los pasos observados incluyen instalación de dependencias frontend, vite build, sincronización Capacitor, assembleDebug y carga del APK. Esto acredita empaque, no cumplimiento funcional.</w:t>
      </w:r>
    </w:p>
    <w:p>
      <w:r>
        <w:t>El único workflow versionado no construye ni prueba el backend ni ejecuta suites de facturación, crédito, apartados, compras, cortes o inventario. El build Vite observado tampoco establece una comprobación completa de tipos. Hay pruebas de plantilla en el repositorio, pero no se verificó su ejecución ni se localizó evidencia fechada de UAT o cobertura numérica.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13">
        <w:r>
          <w:rPr>
            <w:color w:val="205493"/>
            <w:u w:val="single"/>
          </w:rPr>
          <w:t>Workflow líneas 23 a 52</w:t>
        </w:r>
      </w:hyperlink>
      <w:r>
        <w:rPr>
          <w:sz w:val="18"/>
        </w:rPr>
        <w:t xml:space="preserve">  |  </w:t>
      </w:r>
      <w:hyperlink r:id="rId114">
        <w:r>
          <w:rPr>
            <w:color w:val="205493"/>
            <w:u w:val="single"/>
          </w:rPr>
          <w:t>Ejecución main</w:t>
        </w:r>
      </w:hyperlink>
      <w:r>
        <w:rPr>
          <w:sz w:val="18"/>
        </w:rPr>
        <w:t xml:space="preserve">  |  </w:t>
      </w:r>
      <w:hyperlink r:id="rId115">
        <w:r>
          <w:rPr>
            <w:color w:val="205493"/>
            <w:u w:val="single"/>
          </w:rPr>
          <w:t>Ejecución dev</w:t>
        </w:r>
      </w:hyperlink>
    </w:p>
    <w:p>
      <w:r>
        <w:rPr>
          <w:b/>
        </w:rPr>
        <w:t xml:space="preserve">Acción de aseguramiento P1 </w:t>
      </w:r>
      <w:r>
        <w:t>Añadir checks separados de backend, tipos y lint frontend, integración y flujo operativo. Cada requisito debe tener una prueba o UAT reproducible. No se presenta un porcentaje de cobertura ni de cumplimiento calculado a partir de filas arbitrarias.</w:t>
      </w:r>
    </w:p>
    <w:p>
      <w:r>
        <w:br w:type="page"/>
      </w:r>
    </w:p>
    <w:p>
      <w:pPr>
        <w:pStyle w:val="Heading1"/>
      </w:pPr>
      <w:r>
        <w:t>Adenda de cambios posteriores al corte</w:t>
      </w:r>
    </w:p>
    <w:p>
      <w:r>
        <w:t>Se revisaron los cambios 46388925, publicado a las 20:22:56 UTC, y b4df548a, publicado a las 20:39:35 UTC. El corte final es 20:40:52 UTC. Sus cambios de VIP, diagnóstico, configuración y correo se distinguen abajo de los hallazgos de la línea base; no se verificó que estuvieran desplegados.</w:t>
      </w:r>
    </w:p>
    <w:p>
      <w:pPr>
        <w:pStyle w:val="Heading2"/>
      </w:pPr>
      <w:r>
        <w:t>Liberación VIP corregida en fuente</w:t>
      </w:r>
    </w:p>
    <w:p>
      <w:r>
        <w:t>El servicio ahora rechaza una liberación VIP sin identificador explícito. El controlador obtiene el autorizador del usuario autenticado y añade una comprobación de gerencia o administración. Por ello, la liberación de todas las reservas por alcance vacío no se conserva como fallo abierto. Faltan pruebas y verificación del despliegue.</w:t>
      </w:r>
    </w:p>
    <w:p>
      <w:r>
        <w:t>La autorización conserva una excepción basada en que username o email contenga alma. Esa condición debe sustituirse por permisos explícitos. El cambio no corrige por sí mismo la administración de usuarios ni otras rutas protegidas solo por autenticación.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16">
        <w:r>
          <w:rPr>
            <w:color w:val="205493"/>
            <w:u w:val="single"/>
          </w:rPr>
          <w:t>Controlador VIP actualizado</w:t>
        </w:r>
      </w:hyperlink>
      <w:r>
        <w:rPr>
          <w:sz w:val="18"/>
        </w:rPr>
        <w:t xml:space="preserve">  |  </w:t>
      </w:r>
      <w:hyperlink r:id="rId117">
        <w:r>
          <w:rPr>
            <w:color w:val="205493"/>
            <w:u w:val="single"/>
          </w:rPr>
          <w:t>Guardia de alcance en el servicio</w:t>
        </w:r>
      </w:hyperlink>
    </w:p>
    <w:p>
      <w:pPr>
        <w:pStyle w:val="Heading2"/>
      </w:pPr>
      <w:r>
        <w:t>La identidad VIP debe conservar el identificador del usuario</w:t>
      </w:r>
    </w:p>
    <w:p>
      <w:r>
        <w:t>WH-L01, P1. El controlador nuevo prioriza nombre o username y el servicio lo copia a InventoryMovement.userId, que referencia User.id. Cuando el nombre difiere del ID, la inserción del movimiento puede incumplir la clave foránea e impedir completar la transacción. Es una regresión condicional inferida de la fuente, no un fallo observado en producción.</w:t>
      </w:r>
    </w:p>
    <w:p>
      <w:r>
        <w:rPr>
          <w:b/>
        </w:rPr>
        <w:t xml:space="preserve">Corrección y aceptación </w:t>
      </w:r>
      <w:r>
        <w:t>Separar actorId = req.user.sub de actorDisplayName. Probar creación y liberación por un usuario autorizado cuyo username sea distinto de su UUID; el movimiento conserva el UUID, el texto muestra el nombre y se ignora el actor recibido del cuerpo. Mantener el rechazo por alcance vacío.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18">
        <w:r>
          <w:rPr>
            <w:color w:val="205493"/>
            <w:u w:val="single"/>
          </w:rPr>
          <w:t>Controlador actualizado líneas 43 a 68</w:t>
        </w:r>
      </w:hyperlink>
      <w:r>
        <w:rPr>
          <w:sz w:val="18"/>
        </w:rPr>
        <w:t xml:space="preserve">  |  </w:t>
      </w:r>
      <w:hyperlink r:id="rId119">
        <w:r>
          <w:rPr>
            <w:color w:val="205493"/>
            <w:u w:val="single"/>
          </w:rPr>
          <w:t>Movimiento y actor líneas 534 a 542</w:t>
        </w:r>
      </w:hyperlink>
      <w:r>
        <w:rPr>
          <w:sz w:val="18"/>
        </w:rPr>
        <w:t xml:space="preserve">  |  </w:t>
      </w:r>
      <w:hyperlink r:id="rId120">
        <w:r>
          <w:rPr>
            <w:color w:val="205493"/>
            <w:u w:val="single"/>
          </w:rPr>
          <w:t>Relación User líneas 391 a 405</w:t>
        </w:r>
      </w:hyperlink>
    </w:p>
    <w:p>
      <w:pPr>
        <w:pStyle w:val="Heading2"/>
      </w:pPr>
      <w:r>
        <w:t>Configuración de Node no equivale a despliegue</w:t>
      </w:r>
    </w:p>
    <w:p>
      <w:r>
        <w:t>El primer cambio incorpora .node-version con 22.23.4 y --use-openssl-ca en start:prod. El segundo relaja engines de &gt;=22.23.4 a &gt;=20.0.0, mientras .node-version conserva 22.23.4. No se verificaron la versión desplegada ni la precedencia de variables. engines no acredita por sí solo el parche, y no se declara remediación productiva completada.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0">
        <w:r>
          <w:rPr>
            <w:color w:val="205493"/>
            <w:u w:val="single"/>
          </w:rPr>
          <w:t>Configuración inicial Node y CA</w:t>
        </w:r>
      </w:hyperlink>
      <w:r>
        <w:rPr>
          <w:sz w:val="18"/>
        </w:rPr>
        <w:t xml:space="preserve">  |  </w:t>
      </w:r>
      <w:hyperlink r:id="rId11">
        <w:r>
          <w:rPr>
            <w:color w:val="205493"/>
            <w:u w:val="single"/>
          </w:rPr>
          <w:t>Cambio posterior de engines</w:t>
        </w:r>
      </w:hyperlink>
    </w:p>
    <w:p>
      <w:pPr>
        <w:pStyle w:val="Heading2"/>
      </w:pPr>
      <w:r>
        <w:t>Correo preventivo con invocación de envío corregida</w:t>
      </w:r>
    </w:p>
    <w:p>
      <w:r>
        <w:t>B06 conserva cobertura parcial. En b4df548a, sendPreventiveEmail incorpora Nodemailer, requiere destinatario y variables SMTP, espera sendMail y después marca enviado. La ausencia de invocación de envío quedó corregida en fuente; no debe mantenerse como fallo abierto. No se verificaron configuración, aceptación del destinatario, entrega, despliegue, automatización cinco días antes ni aprobación de plantilla.</w:t>
      </w:r>
    </w:p>
    <w:p>
      <w:r>
        <w:rPr>
          <w:b/>
        </w:rPr>
        <w:t xml:space="preserve">Aceptación pendiente </w:t>
      </w:r>
      <w:r>
        <w:t>Probar destinatario principal, rechazo parcial, fallo de persistencia y reintento sin duplicados. Validar oficialmente los datos de pago de configuración y sus valores de respaldo antes de habilitar; no reproducirlos como datos de cobro aprobados. El cambio no añade autorización al controlador de facturación.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1">
        <w:r>
          <w:rPr>
            <w:color w:val="205493"/>
            <w:u w:val="single"/>
          </w:rPr>
          <w:t>Cambio de envío preventivo</w:t>
        </w:r>
      </w:hyperlink>
    </w:p>
    <w:p>
      <w:pPr>
        <w:pStyle w:val="Heading2"/>
      </w:pPr>
      <w:r>
        <w:t>El nuevo diagnóstico puede afirmar seguridad sin evidencia</w:t>
      </w:r>
    </w:p>
    <w:p>
      <w:r>
        <w:t>P2 de aseguramiento. health/security-audit trata cualquier error de red y timeout como certificado bloqueado y devuelve SECURE. Un fallo DNS, de conexión o de tiempo no demuestra rechazo TLS. Es una conclusión estática de la fuente, no una brecha observada; el endpoint no fue invocado.</w:t>
      </w:r>
    </w:p>
    <w:p>
      <w:r>
        <w:rPr>
          <w:b/>
        </w:rPr>
        <w:t xml:space="preserve">Corrección y aceptación </w:t>
      </w:r>
      <w:r>
        <w:t>Distinguir rechazo TLS esperado, conexión aceptada y resultado INCONCLUSO. Probar de forma aislada timeout, DNS, conexión rechazada, rechazo TLS esperado y éxito. Solo el caso TLS previsto debe acreditar ese control, sin convertirlo en una certificación global de seguridad.</w:t>
      </w:r>
    </w:p>
    <w:p>
      <w:pPr>
        <w:spacing w:after="160"/>
      </w:pPr>
      <w:r>
        <w:rPr>
          <w:sz w:val="18"/>
        </w:rPr>
      </w:r>
      <w:r>
        <w:rPr>
          <w:b/>
          <w:sz w:val="18"/>
        </w:rPr>
        <w:t xml:space="preserve">Evidencia  </w:t>
      </w:r>
      <w:hyperlink r:id="rId121">
        <w:r>
          <w:rPr>
            <w:color w:val="205493"/>
            <w:u w:val="single"/>
          </w:rPr>
          <w:t>Health controller líneas 44 a 72</w:t>
        </w:r>
      </w:hyperlink>
    </w:p>
    <w:sectPr w:rsidR="00FC693F" w:rsidRPr="0006063C" w:rsidSect="00034616">
      <w:footerReference w:type="default" r:id="rId122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Formatex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ov1datc1/formatex-v01/blob/593db0b303d3d981ad181e5738981d9ddd1c33e9" TargetMode="External"/><Relationship Id="rId10" Type="http://schemas.openxmlformats.org/officeDocument/2006/relationships/hyperlink" Target="https://github.com/mov1datc1/formatex-v01/commit/46388925f04875258651a4df11fde1ab7c8df7de" TargetMode="External"/><Relationship Id="rId11" Type="http://schemas.openxmlformats.org/officeDocument/2006/relationships/hyperlink" Target="https://github.com/mov1datc1/formatex-v01/commit/b4df548a7b6b2bb5a6427e2269b7dec6342906c3" TargetMode="External"/><Relationship Id="rId12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" TargetMode="External"/><Relationship Id="rId13" Type="http://schemas.openxmlformats.org/officeDocument/2006/relationships/hyperlink" Target="https://github.com/mov1datc1/formatex-v01/blob/593db0b303d3d981ad181e5738981d9ddd1c33e9/entrevistas/Almacen/Entrevista%20-%20Israel%20-%20Proyecto%20Formatex%20Transcripci%C3%B3n.txt" TargetMode="External"/><Relationship Id="rId14" Type="http://schemas.openxmlformats.org/officeDocument/2006/relationships/hyperlink" Target="https://github.com/mov1datc1/formatex-v01/blob/593db0b303d3d981ad181e5738981d9ddd1c33e9/wms-backend/src/modules/cutting/cutting.service.ts#L34-L59" TargetMode="External"/><Relationship Id="rId15" Type="http://schemas.openxmlformats.org/officeDocument/2006/relationships/hyperlink" Target="https://github.com/mov1datc1/formatex-v01/blob/593db0b303d3d981ad181e5738981d9ddd1c33e9/wms-backend/src/modules/cutting/cutting.service.ts#L84-L99" TargetMode="External"/><Relationship Id="rId16" Type="http://schemas.openxmlformats.org/officeDocument/2006/relationships/hyperlink" Target="https://github.com/mov1datc1/formatex-v01/blob/593db0b303d3d981ad181e5738981d9ddd1c33e9/wms-backend/src/modules/cutting/cutting.service.ts#L146-L180" TargetMode="External"/><Relationship Id="rId17" Type="http://schemas.openxmlformats.org/officeDocument/2006/relationships/hyperlink" Target="https://github.com/mov1datc1/formatex-v01/blob/593db0b303d3d981ad181e5738981d9ddd1c33e9/wms-backend/src/modules/cutting/cutting.service.ts#L238-L286" TargetMode="External"/><Relationship Id="rId18" Type="http://schemas.openxmlformats.org/officeDocument/2006/relationships/hyperlink" Target="https://github.com/mov1datc1/formatex-v01/blob/593db0b303d3d981ad181e5738981d9ddd1c33e9/wms-backend/src/modules/cutting/cutting.service.ts#L123-L131" TargetMode="External"/><Relationship Id="rId19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61-L69" TargetMode="External"/><Relationship Id="rId20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171-L173" TargetMode="External"/><Relationship Id="rId21" Type="http://schemas.openxmlformats.org/officeDocument/2006/relationships/hyperlink" Target="https://github.com/mov1datc1/formatex-v01/blob/593db0b303d3d981ad181e5738981d9ddd1c33e9/wms-backend/src/modules/users/users.controller.ts#L6-L60" TargetMode="External"/><Relationship Id="rId22" Type="http://schemas.openxmlformats.org/officeDocument/2006/relationships/hyperlink" Target="https://github.com/mov1datc1/formatex-v01/blob/593db0b303d3d981ad181e5738981d9ddd1c33e9/wms-backend/src/modules/users/users.service.ts#L74-L85" TargetMode="External"/><Relationship Id="rId23" Type="http://schemas.openxmlformats.org/officeDocument/2006/relationships/hyperlink" Target="https://github.com/mov1datc1/formatex-v01/blob/593db0b303d3d981ad181e5738981d9ddd1c33e9/wms-backend/src/modules/catalog/catalog.controller.ts#L179-L201" TargetMode="External"/><Relationship Id="rId24" Type="http://schemas.openxmlformats.org/officeDocument/2006/relationships/hyperlink" Target="https://github.com/mov1datc1/formatex-v01/blob/593db0b303d3d981ad181e5738981d9ddd1c33e9/wms-backend/src/modules/orders/orders.service.ts#L724-L743" TargetMode="External"/><Relationship Id="rId25" Type="http://schemas.openxmlformats.org/officeDocument/2006/relationships/hyperlink" Target="https://github.com/mov1datc1/formatex-v01/blob/593db0b303d3d981ad181e5738981d9ddd1c33e9/wms-backend/src/modules/invoicing/invoicing.controller.ts#L17-L23" TargetMode="External"/><Relationship Id="rId26" Type="http://schemas.openxmlformats.org/officeDocument/2006/relationships/hyperlink" Target="https://github.com/mov1datc1/formatex-v01/blob/593db0b303d3d981ad181e5738981d9ddd1c33e9/wms-backend/src/modules/invoicing/invoicing.controller.ts#L228-L240" TargetMode="External"/><Relationship Id="rId27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128-L132" TargetMode="External"/><Relationship Id="rId28" Type="http://schemas.openxmlformats.org/officeDocument/2006/relationships/hyperlink" Target="https://github.com/mov1datc1/formatex-v01/blob/593db0b303d3d981ad181e5738981d9ddd1c33e9/wms-backend/src/modules/orders/orders.service.ts#L236-L244" TargetMode="External"/><Relationship Id="rId29" Type="http://schemas.openxmlformats.org/officeDocument/2006/relationships/hyperlink" Target="https://github.com/mov1datc1/formatex-v01/blob/593db0b303d3d981ad181e5738981d9ddd1c33e9/wms-backend/src/modules/orders/orders.service.ts#L405-L418" TargetMode="External"/><Relationship Id="rId30" Type="http://schemas.openxmlformats.org/officeDocument/2006/relationships/hyperlink" Target="https://github.com/mov1datc1/formatex-v01/blob/593db0b303d3d981ad181e5738981d9ddd1c33e9/wms-backend/src/modules/orders/orders.controller.ts#L133-L136" TargetMode="External"/><Relationship Id="rId31" Type="http://schemas.openxmlformats.org/officeDocument/2006/relationships/hyperlink" Target="https://github.com/mov1datc1/formatex-v01/blob/593db0b303d3d981ad181e5738981d9ddd1c33e9/wms-backend/src/modules/orders/orders.service.ts#L751-L813" TargetMode="External"/><Relationship Id="rId32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472-L484" TargetMode="External"/><Relationship Id="rId33" Type="http://schemas.openxmlformats.org/officeDocument/2006/relationships/hyperlink" Target="https://github.com/mov1datc1/formatex-v01/blob/593db0b303d3d981ad181e5738981d9ddd1c33e9/wms-backend/src/modules/reservations/reservations.service.ts#L23-L58" TargetMode="External"/><Relationship Id="rId34" Type="http://schemas.openxmlformats.org/officeDocument/2006/relationships/hyperlink" Target="https://github.com/mov1datc1/formatex-v01/blob/593db0b303d3d981ad181e5738981d9ddd1c33e9/wms-backend/src/modules/orders/orders.service.ts#L439-L478" TargetMode="External"/><Relationship Id="rId35" Type="http://schemas.openxmlformats.org/officeDocument/2006/relationships/hyperlink" Target="https://github.com/mov1datc1/formatex-v01/blob/593db0b303d3d981ad181e5738981d9ddd1c33e9/wms-backend/src/modules/reservations/reservations.service.ts#L66-L119" TargetMode="External"/><Relationship Id="rId36" Type="http://schemas.openxmlformats.org/officeDocument/2006/relationships/hyperlink" Target="https://github.com/mov1datc1/formatex-v01/blob/593db0b303d3d981ad181e5738981d9ddd1c33e9/wms-backend/src/modules/reservations/reservations.service.ts#L301-L343" TargetMode="External"/><Relationship Id="rId37" Type="http://schemas.openxmlformats.org/officeDocument/2006/relationships/hyperlink" Target="https://github.com/mov1datc1/formatex-v01/blob/593db0b303d3d981ad181e5738981d9ddd1c33e9/wms-backend/src/modules/orders/orders.service.ts#L1030-L1057" TargetMode="External"/><Relationship Id="rId38" Type="http://schemas.openxmlformats.org/officeDocument/2006/relationships/hyperlink" Target="https://github.com/mov1datc1/formatex-v01/blob/593db0b303d3d981ad181e5738981d9ddd1c33e9/wms-backend/src/modules/orders/orders.service.ts#L761-L784" TargetMode="External"/><Relationship Id="rId39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223-L225" TargetMode="External"/><Relationship Id="rId40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243-L247" TargetMode="External"/><Relationship Id="rId41" Type="http://schemas.openxmlformats.org/officeDocument/2006/relationships/hyperlink" Target="https://github.com/mov1datc1/formatex-v01/blob/593db0b303d3d981ad181e5738981d9ddd1c33e9/wms-frontend/src/pages/orders/PedidosPage.tsx#L468-L511" TargetMode="External"/><Relationship Id="rId42" Type="http://schemas.openxmlformats.org/officeDocument/2006/relationships/hyperlink" Target="https://github.com/mov1datc1/formatex-v01/blob/593db0b303d3d981ad181e5738981d9ddd1c33e9/wms-frontend/src/pages/orders/PedidosPage.tsx#L516-L545" TargetMode="External"/><Relationship Id="rId43" Type="http://schemas.openxmlformats.org/officeDocument/2006/relationships/hyperlink" Target="https://github.com/mov1datc1/formatex-v01/blob/593db0b303d3d981ad181e5738981d9ddd1c33e9/wms-backend/prisma/schema.prisma#L696-L707" TargetMode="External"/><Relationship Id="rId44" Type="http://schemas.openxmlformats.org/officeDocument/2006/relationships/hyperlink" Target="https://github.com/mov1datc1/formatex-v01/blob/593db0b303d3d981ad181e5738981d9ddd1c33e9/wms-backend/src/modules/orders/orders.service.ts#L426-L478" TargetMode="External"/><Relationship Id="rId45" Type="http://schemas.openxmlformats.org/officeDocument/2006/relationships/hyperlink" Target="https://github.com/mov1datc1/formatex-v01/blob/593db0b303d3d981ad181e5738981d9ddd1c33e9/wms-backend/src/modules/orders/orders.service.ts#L1204-L1274" TargetMode="External"/><Relationship Id="rId46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536-L540" TargetMode="External"/><Relationship Id="rId47" Type="http://schemas.openxmlformats.org/officeDocument/2006/relationships/hyperlink" Target="https://github.com/mov1datc1/formatex-v01/blob/593db0b303d3d981ad181e5738981d9ddd1c33e9/wms-backend/src/modules/orders/orders.service.ts#L705-L786" TargetMode="External"/><Relationship Id="rId48" Type="http://schemas.openxmlformats.org/officeDocument/2006/relationships/hyperlink" Target="https://github.com/mov1datc1/formatex-v01/blob/593db0b303d3d981ad181e5738981d9ddd1c33e9/wms-backend/src/modules/orders/orders.controller.ts#L139-L147" TargetMode="External"/><Relationship Id="rId49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218-L224" TargetMode="External"/><Relationship Id="rId50" Type="http://schemas.openxmlformats.org/officeDocument/2006/relationships/hyperlink" Target="https://github.com/mov1datc1/formatex-v01/blob/593db0b303d3d981ad181e5738981d9ddd1c33e9/wms-backend/src/modules/invoicing/invoicing.service.ts#L171-L175" TargetMode="External"/><Relationship Id="rId51" Type="http://schemas.openxmlformats.org/officeDocument/2006/relationships/hyperlink" Target="https://github.com/mov1datc1/formatex-v01/blob/593db0b303d3d981ad181e5738981d9ddd1c33e9/wms-backend/src/modules/invoicing/invoicing.service.ts#L211-L239" TargetMode="External"/><Relationship Id="rId52" Type="http://schemas.openxmlformats.org/officeDocument/2006/relationships/hyperlink" Target="https://github.com/mov1datc1/formatex-v01/blob/593db0b303d3d981ad181e5738981d9ddd1c33e9/wms-frontend/src/pages/pwa/PwaEmpaqueView.tsx#L18-L25" TargetMode="External"/><Relationship Id="rId53" Type="http://schemas.openxmlformats.org/officeDocument/2006/relationships/hyperlink" Target="https://github.com/mov1datc1/formatex-v01/blob/593db0b303d3d981ad181e5738981d9ddd1c33e9/wms-backend/src/modules/orders/orders.service.ts#L788-L792" TargetMode="External"/><Relationship Id="rId54" Type="http://schemas.openxmlformats.org/officeDocument/2006/relationships/hyperlink" Target="https://github.com/mov1datc1/formatex-v01/blob/593db0b303d3d981ad181e5738981d9ddd1c33e9/wms-frontend/src/pages/pwa/PwaEnvioView.tsx#L22-L28" TargetMode="External"/><Relationship Id="rId55" Type="http://schemas.openxmlformats.org/officeDocument/2006/relationships/hyperlink" Target="https://github.com/mov1datc1/formatex-v01/blob/593db0b303d3d981ad181e5738981d9ddd1c33e9/wms-frontend/src/pages/pwa/PwaEnvioView.tsx#L89-L105" TargetMode="External"/><Relationship Id="rId56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564-L568" TargetMode="External"/><Relationship Id="rId57" Type="http://schemas.openxmlformats.org/officeDocument/2006/relationships/hyperlink" Target="https://github.com/mov1datc1/formatex-v01/blob/593db0b303d3d981ad181e5738981d9ddd1c33e9/wms-backend/src/modules/invoicing/invoicing.service.ts#L617-L690" TargetMode="External"/><Relationship Id="rId58" Type="http://schemas.openxmlformats.org/officeDocument/2006/relationships/hyperlink" Target="https://github.com/mov1datc1/formatex-v01/blob/593db0b303d3d981ad181e5738981d9ddd1c33e9/wms-frontend/src/pages/invoicing/tabs/CobranzaPPDTab.tsx#L530-L535" TargetMode="External"/><Relationship Id="rId59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555-L557" TargetMode="External"/><Relationship Id="rId60" Type="http://schemas.openxmlformats.org/officeDocument/2006/relationships/hyperlink" Target="https://github.com/mov1datc1/formatex-v01/blob/593db0b303d3d981ad181e5738981d9ddd1c33e9/wms-frontend/src/pages/invoicing/tabs/CobranzaPPDTab.tsx#L84-L91" TargetMode="External"/><Relationship Id="rId61" Type="http://schemas.openxmlformats.org/officeDocument/2006/relationships/hyperlink" Target="https://github.com/mov1datc1/formatex-v01/blob/593db0b303d3d981ad181e5738981d9ddd1c33e9/wms-frontend/src/pages/invoicing/tabs/CobranzaPPDTab.tsx#L626-L658" TargetMode="External"/><Relationship Id="rId62" Type="http://schemas.openxmlformats.org/officeDocument/2006/relationships/hyperlink" Target="https://github.com/mov1datc1/formatex-v01/blob/593db0b303d3d981ad181e5738981d9ddd1c33e9/wms-frontend/src/pages/invoicing/tabs/CobranzaPPDTab.tsx#L687-L715" TargetMode="External"/><Relationship Id="rId63" Type="http://schemas.openxmlformats.org/officeDocument/2006/relationships/hyperlink" Target="https://github.com/mov1datc1/formatex-v01/blob/593db0b303d3d981ad181e5738981d9ddd1c33e9/wms-backend/src/modules/invoicing/invoicing.service.ts#L750-L775" TargetMode="External"/><Relationship Id="rId64" Type="http://schemas.openxmlformats.org/officeDocument/2006/relationships/hyperlink" Target="https://github.com/mov1datc1/formatex-v01/blob/593db0b303d3d981ad181e5738981d9ddd1c33e9/wms-backend/src/modules/invoicing/invoicing.service.ts#L808-L832" TargetMode="External"/><Relationship Id="rId65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201-L203" TargetMode="External"/><Relationship Id="rId66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114-L116" TargetMode="External"/><Relationship Id="rId67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162-L164" TargetMode="External"/><Relationship Id="rId68" Type="http://schemas.openxmlformats.org/officeDocument/2006/relationships/hyperlink" Target="https://github.com/mov1datc1/formatex-v01/blob/593db0b303d3d981ad181e5738981d9ddd1c33e9/wms-backend/prisma/schema.prisma#L1260-L1267" TargetMode="External"/><Relationship Id="rId69" Type="http://schemas.openxmlformats.org/officeDocument/2006/relationships/hyperlink" Target="https://github.com/mov1datc1/formatex-v01/blob/593db0b303d3d981ad181e5738981d9ddd1c33e9/wms-backend/src/modules/orders/orders.service.ts#L405-L419" TargetMode="External"/><Relationship Id="rId70" Type="http://schemas.openxmlformats.org/officeDocument/2006/relationships/hyperlink" Target="https://github.com/mov1datc1/formatex-v01/blob/593db0b303d3d981ad181e5738981d9ddd1c33e9/wms-backend/src/modules/invoicing/commissions.service.ts#L97-L129" TargetMode="External"/><Relationship Id="rId71" Type="http://schemas.openxmlformats.org/officeDocument/2006/relationships/hyperlink" Target="https://github.com/mov1datc1/formatex-v01/blob/593db0b303d3d981ad181e5738981d9ddd1c33e9/wms-backend/src/modules/invoicing/commissions.service.ts#L196-L222" TargetMode="External"/><Relationship Id="rId72" Type="http://schemas.openxmlformats.org/officeDocument/2006/relationships/hyperlink" Target="https://github.com/mov1datc1/formatex-v01/blob/593db0b303d3d981ad181e5738981d9ddd1c33e9/wms-backend/src/modules/invoicing/commissions.service.ts#L33-L45" TargetMode="External"/><Relationship Id="rId73" Type="http://schemas.openxmlformats.org/officeDocument/2006/relationships/hyperlink" Target="https://github.com/mov1datc1/formatex-v01/blob/593db0b303d3d981ad181e5738981d9ddd1c33e9/wms-backend/src/modules/invoicing/invoicing.service.ts#L629-L667" TargetMode="External"/><Relationship Id="rId74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206-L210" TargetMode="External"/><Relationship Id="rId75" Type="http://schemas.openxmlformats.org/officeDocument/2006/relationships/hyperlink" Target="https://github.com/mov1datc1/formatex-v01/blob/593db0b303d3d981ad181e5738981d9ddd1c33e9/wms-backend/src/modules/orders/orders.service.ts#L405-L416" TargetMode="External"/><Relationship Id="rId76" Type="http://schemas.openxmlformats.org/officeDocument/2006/relationships/hyperlink" Target="https://github.com/mov1datc1/formatex-v01/blob/593db0b303d3d981ad181e5738981d9ddd1c33e9/wms-frontend/src/components/orders/QuotationModal.tsx#L373-L408" TargetMode="External"/><Relationship Id="rId77" Type="http://schemas.openxmlformats.org/officeDocument/2006/relationships/hyperlink" Target="https://github.com/mov1datc1/formatex-v01/blob/593db0b303d3d981ad181e5738981d9ddd1c33e9/wms-backend/src/modules/orders/orders.service.ts#L1391-L1424" TargetMode="External"/><Relationship Id="rId78" Type="http://schemas.openxmlformats.org/officeDocument/2006/relationships/hyperlink" Target="https://github.com/mov1datc1/formatex-v01/blob/593db0b303d3d981ad181e5738981d9ddd1c33e9/wms-backend/src/modules/orders/orders.service.ts#L1461-L1499" TargetMode="External"/><Relationship Id="rId79" Type="http://schemas.openxmlformats.org/officeDocument/2006/relationships/hyperlink" Target="https://github.com/mov1datc1/formatex-v01/blob/593db0b303d3d981ad181e5738981d9ddd1c33e9/wms-backend/src/modules/orders/orders.service.ts#L427-L487" TargetMode="External"/><Relationship Id="rId80" Type="http://schemas.openxmlformats.org/officeDocument/2006/relationships/hyperlink" Target="https://github.com/mov1datc1/formatex-v01/blob/593db0b303d3d981ad181e5738981d9ddd1c33e9/wms-backend/src/modules/orders/orders.service.ts#L505-L554" TargetMode="External"/><Relationship Id="rId81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367-L369" TargetMode="External"/><Relationship Id="rId82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373-L375" TargetMode="External"/><Relationship Id="rId83" Type="http://schemas.openxmlformats.org/officeDocument/2006/relationships/hyperlink" Target="https://github.com/mov1datc1/formatex-v01/blob/593db0b303d3d981ad181e5738981d9ddd1c33e9/Documentacion_recibida/02_DOCUMENTOS_IMPORTACIONES/PEDIMENTO.pdf" TargetMode="External"/><Relationship Id="rId84" Type="http://schemas.openxmlformats.org/officeDocument/2006/relationships/hyperlink" Target="https://github.com/mov1datc1/formatex-v01/blob/593db0b303d3d981ad181e5738981d9ddd1c33e9/wms-frontend/src/components/transit/ImportCostingModal.tsx#L20-L53" TargetMode="External"/><Relationship Id="rId85" Type="http://schemas.openxmlformats.org/officeDocument/2006/relationships/hyperlink" Target="https://github.com/mov1datc1/formatex-v01/blob/593db0b303d3d981ad181e5738981d9ddd1c33e9/wms-backend/src/modules/transit/transit.service.ts#L173-L175" TargetMode="External"/><Relationship Id="rId86" Type="http://schemas.openxmlformats.org/officeDocument/2006/relationships/hyperlink" Target="https://github.com/mov1datc1/formatex-v01/blob/593db0b303d3d981ad181e5738981d9ddd1c33e9/wms-backend/src/modules/transit/transit.service.ts#L185-L196" TargetMode="External"/><Relationship Id="rId87" Type="http://schemas.openxmlformats.org/officeDocument/2006/relationships/hyperlink" Target="https://github.com/mov1datc1/formatex-v01/blob/593db0b303d3d981ad181e5738981d9ddd1c33e9/wms-backend/src/modules/transit/transit.service.ts#L280-L287" TargetMode="External"/><Relationship Id="rId88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136-L140" TargetMode="External"/><Relationship Id="rId89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84-L94" TargetMode="External"/><Relationship Id="rId90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147-L159" TargetMode="External"/><Relationship Id="rId91" Type="http://schemas.openxmlformats.org/officeDocument/2006/relationships/hyperlink" Target="https://github.com/mov1datc1/formatex-v01/blob/593db0b303d3d981ad181e5738981d9ddd1c33e9/Documentacion_recibida/02_DOCUMENTOS_IMPORTACIONES/ORDEN%20DE%20COMPRA%20FORMATEX%20A%20TELARES.pdf" TargetMode="External"/><Relationship Id="rId92" Type="http://schemas.openxmlformats.org/officeDocument/2006/relationships/hyperlink" Target="https://github.com/mov1datc1/formatex-v01/blob/593db0b303d3d981ad181e5738981d9ddd1c33e9/Documentacion_recibida/02_DOCUMENTOS_IMPORTACIONES/CALCULO%20DE%20COSTOS%20DE%20IMPORTACION%20(COSTEO).xlsx" TargetMode="External"/><Relationship Id="rId93" Type="http://schemas.openxmlformats.org/officeDocument/2006/relationships/hyperlink" Target="https://github.com/mov1datc1/formatex-v01/blob/593db0b303d3d981ad181e5738981d9ddd1c33e9/wms-frontend/src/pages/compras/RequisicionesTelaresTab.tsx#L58-L64" TargetMode="External"/><Relationship Id="rId94" Type="http://schemas.openxmlformats.org/officeDocument/2006/relationships/hyperlink" Target="https://github.com/mov1datc1/formatex-v01/blob/593db0b303d3d981ad181e5738981d9ddd1c33e9/wms-backend/src/modules/purchasing/purchasing.service.ts#L940-L947" TargetMode="External"/><Relationship Id="rId95" Type="http://schemas.openxmlformats.org/officeDocument/2006/relationships/hyperlink" Target="https://github.com/mov1datc1/formatex-v01/blob/593db0b303d3d981ad181e5738981d9ddd1c33e9/wms-backend/src/modules/purchasing/purchasing.service.ts#L388-L405" TargetMode="External"/><Relationship Id="rId96" Type="http://schemas.openxmlformats.org/officeDocument/2006/relationships/hyperlink" Target="https://github.com/mov1datc1/formatex-v01/blob/593db0b303d3d981ad181e5738981d9ddd1c33e9/wms-backend/src/modules/purchasing/purchasing.service.ts#L438-L455" TargetMode="External"/><Relationship Id="rId97" Type="http://schemas.openxmlformats.org/officeDocument/2006/relationships/hyperlink" Target="https://github.com/mov1datc1/formatex-v01/blob/593db0b303d3d981ad181e5738981d9ddd1c33e9/wms-backend/src/modules/purchasing/purchasing.service.ts#L487-L506" TargetMode="External"/><Relationship Id="rId98" Type="http://schemas.openxmlformats.org/officeDocument/2006/relationships/hyperlink" Target="https://github.com/mov1datc1/formatex-v01/blob/593db0b303d3d981ad181e5738981d9ddd1c33e9/wms-backend/src/modules/purchasing/purchasing.service.ts#L525-L539" TargetMode="External"/><Relationship Id="rId99" Type="http://schemas.openxmlformats.org/officeDocument/2006/relationships/hyperlink" Target="https://github.com/mov1datc1/formatex-v01/blob/593db0b303d3d981ad181e5738981d9ddd1c33e9/wms-backend/src/modules/reception/reception.service.ts#L581-L590" TargetMode="External"/><Relationship Id="rId100" Type="http://schemas.openxmlformats.org/officeDocument/2006/relationships/hyperlink" Target="https://github.com/mov1datc1/formatex-v01/blob/593db0b303d3d981ad181e5738981d9ddd1c33e9/wms-backend/src/modules/reception/reception.service.ts#L706-L728" TargetMode="External"/><Relationship Id="rId101" Type="http://schemas.openxmlformats.org/officeDocument/2006/relationships/hyperlink" Target="https://github.com/mov1datc1/formatex-v01/blob/593db0b303d3d981ad181e5738981d9ddd1c33e9/Documentacion_recibida/02_DOCUMENTOS_IMPORTACIONES/FORMATO%20DE%20HOJA%20ELECTRONICA.xlsx" TargetMode="External"/><Relationship Id="rId102" Type="http://schemas.openxmlformats.org/officeDocument/2006/relationships/hyperlink" Target="https://github.com/mov1datc1/formatex-v01/blob/593db0b303d3d981ad181e5738981d9ddd1c33e9/wms-backend/src/modules/transit/transit.service.ts#L296-L320" TargetMode="External"/><Relationship Id="rId103" Type="http://schemas.openxmlformats.org/officeDocument/2006/relationships/hyperlink" Target="https://github.com/mov1datc1/formatex-v01/blob/593db0b303d3d981ad181e5738981d9ddd1c33e9/wms-frontend/src/components/transit/ImportCostingModal.tsx#L88-L104" TargetMode="External"/><Relationship Id="rId104" Type="http://schemas.openxmlformats.org/officeDocument/2006/relationships/hyperlink" Target="https://github.com/mov1datc1/formatex-v01/blob/593db0b303d3d981ad181e5738981d9ddd1c33e9/entrevistas/Cobranza%20y%20Facturacion/Entrevista%20-%20Cesar%20-%20Formatex%20Transcripci%C3%B3n.txt#L311-L315" TargetMode="External"/><Relationship Id="rId105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#L417-L421" TargetMode="External"/><Relationship Id="rId106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#L108-L110" TargetMode="External"/><Relationship Id="rId107" Type="http://schemas.openxmlformats.org/officeDocument/2006/relationships/hyperlink" Target="https://github.com/mov1datc1/formatex-v01/blob/593db0b303d3d981ad181e5738981d9ddd1c33e9/wms-backend/prisma/schema.prisma#L606-L618" TargetMode="External"/><Relationship Id="rId108" Type="http://schemas.openxmlformats.org/officeDocument/2006/relationships/hyperlink" Target="https://github.com/mov1datc1/formatex-v01/blob/593db0b303d3d981ad181e5738981d9ddd1c33e9/entrevistas/VentasyATC/Formatex%20_%20Seguimiento%20%E2%80%93%20Servicio%20al%20Cl_%20Transcripci%C3%B3n.txt" TargetMode="External"/><Relationship Id="rId109" Type="http://schemas.openxmlformats.org/officeDocument/2006/relationships/hyperlink" Target="https://github.com/mov1datc1/formatex-v01/blob/593db0b303d3d981ad181e5738981d9ddd1c33e9/entrevistas/Importaciones%20y%20Compra/Entrevista%20-%20(Elba)%20de%20compras%20e%20import_%20Transcripci%C3%B3n.txt" TargetMode="External"/><Relationship Id="rId110" Type="http://schemas.openxmlformats.org/officeDocument/2006/relationships/hyperlink" Target="https://github.com/mov1datc1/formatex-v01/blob/593db0b303d3d981ad181e5738981d9ddd1c33e9/entrevistas/VentasyATC/Segunda_Sesion/Rev_%20%2302%20Ventas%20y%20ATC%20-%20Proyecto%20Format_%20Transcripci%C3%B3n.txt" TargetMode="External"/><Relationship Id="rId111" Type="http://schemas.openxmlformats.org/officeDocument/2006/relationships/hyperlink" Target="https://github.com/mov1datc1/formatex-v01/blob/593db0b303d3d981ad181e5738981d9ddd1c33e9/INDICE_DE_DOCUMENTACION.md#L23-L43" TargetMode="External"/><Relationship Id="rId112" Type="http://schemas.openxmlformats.org/officeDocument/2006/relationships/hyperlink" Target="https://github.com/mov1datc1/formatex-v01/blob/593db0b303d3d981ad181e5738981d9ddd1c33e9/DOCUMENTACION_TECNICA.md#L174" TargetMode="External"/><Relationship Id="rId113" Type="http://schemas.openxmlformats.org/officeDocument/2006/relationships/hyperlink" Target="https://github.com/mov1datc1/formatex-v01/blob/593db0b303d3d981ad181e5738981d9ddd1c33e9/.github/workflows/android-build.yml#L23-L52" TargetMode="External"/><Relationship Id="rId114" Type="http://schemas.openxmlformats.org/officeDocument/2006/relationships/hyperlink" Target="https://github.com/mov1datc1/formatex-v01/actions/runs/40568271188" TargetMode="External"/><Relationship Id="rId115" Type="http://schemas.openxmlformats.org/officeDocument/2006/relationships/hyperlink" Target="https://github.com/mov1datc1/formatex-v01/actions/runs/40568261722" TargetMode="External"/><Relationship Id="rId116" Type="http://schemas.openxmlformats.org/officeDocument/2006/relationships/hyperlink" Target="https://github.com/mov1datc1/formatex-v01/blob/46388925f04875258651a4df11fde1ab7c8df7de/wms-backend/src/modules/reservations/reservations.controller.ts#L6-L25" TargetMode="External"/><Relationship Id="rId117" Type="http://schemas.openxmlformats.org/officeDocument/2006/relationships/hyperlink" Target="https://github.com/mov1datc1/formatex-v01/blob/46388925f04875258651a4df11fde1ab7c8df7de/wms-backend/src/modules/reservations/reservations.service.ts#L493-L510" TargetMode="External"/><Relationship Id="rId118" Type="http://schemas.openxmlformats.org/officeDocument/2006/relationships/hyperlink" Target="https://github.com/mov1datc1/formatex-v01/blob/46388925f04875258651a4df11fde1ab7c8df7de/wms-backend/src/modules/reservations/reservations.controller.ts#L43-L68" TargetMode="External"/><Relationship Id="rId119" Type="http://schemas.openxmlformats.org/officeDocument/2006/relationships/hyperlink" Target="https://github.com/mov1datc1/formatex-v01/blob/46388925f04875258651a4df11fde1ab7c8df7de/wms-backend/src/modules/reservations/reservations.service.ts#L534-L542" TargetMode="External"/><Relationship Id="rId120" Type="http://schemas.openxmlformats.org/officeDocument/2006/relationships/hyperlink" Target="https://github.com/mov1datc1/formatex-v01/blob/46388925f04875258651a4df11fde1ab7c8df7de/wms-backend/prisma/schema.prisma#L391-L405" TargetMode="External"/><Relationship Id="rId121" Type="http://schemas.openxmlformats.org/officeDocument/2006/relationships/hyperlink" Target="https://github.com/mov1datc1/formatex-v01/blob/46388925f04875258651a4df11fde1ab7c8df7de/wms-backend/src/modules/health/health.controller.ts#L44-L72" TargetMode="External"/><Relationship Id="rId1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funcional de Formatex contra entrevistas</dc:title>
  <dc:subject>Hallazgos de fuente y criterios de aceptación para Antigravity</dc:subject>
  <dc:creator>Auditoría Formatex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