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rPr>
          <w:rFonts w:ascii="Times New Roman" w:cs="Times New Roman" w:eastAsia="Times New Roman" w:hAnsi="Times New Roman"/>
          <w:b/>
          <w:bCs/>
          <w:sz w:val="40"/>
          <w:szCs w:val="40"/>
        </w:rPr>
        <w:t xml:space="preserve">Chambers</w:t>
      </w:r>
    </w:p>
    <w:p>
      <w:pPr>
        <w:spacing w:after="300"/>
        <w:jc w:val="center"/>
      </w:pPr>
      <w:r>
        <w:rPr>
          <w:rFonts w:ascii="Times New Roman" w:cs="Times New Roman" w:eastAsia="Times New Roman" w:hAnsi="Times New Roman"/>
          <w:b/>
          <w:bCs/>
          <w:sz w:val="20"/>
          <w:szCs w:val="20"/>
        </w:rPr>
        <w:t xml:space="preserve">AND PARTNERS</w:t>
      </w:r>
    </w:p>
    <w:p>
      <w:pPr>
        <w:spacing w:after="300"/>
        <w:jc w:val="center"/>
      </w:pPr>
      <w:r>
        <w:rPr>
          <w:rFonts w:ascii="Times New Roman" w:cs="Times New Roman" w:eastAsia="Times New Roman" w:hAnsi="Times New Roman"/>
          <w:b/>
          <w:bCs/>
          <w:sz w:val="24"/>
          <w:szCs w:val="24"/>
        </w:rPr>
        <w:t xml:space="preserve">SUBMISSION FORM</w:t>
      </w:r>
    </w:p>
    <w:p>
      <w:pPr>
        <w:spacing w:after="40"/>
        <w:jc w:val="center"/>
      </w:pPr>
      <w:r>
        <w:rPr>
          <w:rFonts w:ascii="Times New Roman" w:cs="Times New Roman" w:eastAsia="Times New Roman" w:hAnsi="Times New Roman"/>
          <w:b/>
          <w:bCs/>
          <w:sz w:val="18"/>
          <w:szCs w:val="18"/>
        </w:rPr>
        <w:t xml:space="preserve">Please do not alter this submission template.</w:t>
      </w:r>
      <w:r>
        <w:rPr>
          <w:rFonts w:ascii="Times New Roman" w:cs="Times New Roman" w:eastAsia="Times New Roman" w:hAnsi="Times New Roman"/>
          <w:sz w:val="18"/>
          <w:szCs w:val="18"/>
        </w:rPr>
        <w:t xml:space="preserve"> If a question does not apply to you, please leave it blank.</w:t>
      </w:r>
    </w:p>
    <w:p>
      <w:pPr>
        <w:spacing w:after="200"/>
        <w:jc w:val="center"/>
      </w:pPr>
      <w:r>
        <w:rPr>
          <w:rFonts w:ascii="Times New Roman" w:cs="Times New Roman" w:eastAsia="Times New Roman" w:hAnsi="Times New Roman"/>
          <w:b/>
          <w:bCs/>
          <w:i/>
          <w:iCs/>
          <w:sz w:val="18"/>
          <w:szCs w:val="18"/>
        </w:rPr>
        <w:t xml:space="preserve">If something is confidential, mark it as such throughout.</w:t>
      </w:r>
    </w:p>
    <w:p>
      <w:pPr>
        <w:spacing w:after="100"/>
        <w:jc w:val="left"/>
      </w:pPr>
      <w:r>
        <w:rPr>
          <w:rFonts w:ascii="Times New Roman" w:cs="Times New Roman" w:eastAsia="Times New Roman" w:hAnsi="Times New Roman"/>
          <w:sz w:val="18"/>
          <w:szCs w:val="18"/>
        </w:rPr>
        <w:t xml:space="preserve">Please upload submissions online at: https://myaccount.chambers.com</w:t>
      </w:r>
    </w:p>
    <w:p>
      <w:pPr>
        <w:spacing w:after="400"/>
      </w:pPr>
      <w:r>
        <w:rPr>
          <w:rFonts w:ascii="Times New Roman" w:cs="Times New Roman" w:eastAsia="Times New Roman" w:hAnsi="Times New Roman"/>
          <w:sz w:val="18"/>
          <w:szCs w:val="18"/>
        </w:rPr>
        <w:t xml:space="preserve">You will need a username and password to manage your submission and profile. If you do not have an account with Chambers, please onboard here: How to Onboard With Chambers | Chambers and Partners</w:t>
      </w:r>
    </w:p>
    <w:p>
      <w:pPr>
        <w:spacing w:after="200" w:before="300"/>
        <w:jc w:val="center"/>
      </w:pPr>
      <w:r>
        <w:rPr>
          <w:rFonts w:ascii="Times New Roman" w:cs="Times New Roman" w:eastAsia="Times New Roman" w:hAnsi="Times New Roman"/>
          <w:b/>
          <w:bCs/>
          <w:sz w:val="24"/>
          <w:szCs w:val="24"/>
        </w:rPr>
        <w:t xml:space="preserve">A. PRELIMINARY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Firm name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Practice Area</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Corporate/M&amp;A</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Location (Jurisdiction)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Venezuela</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A4</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Contact person(s) to arrange interviews about this practice area</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Isabella Llamozas</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illamozas@araquereyna.com</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+584242475077</w:t>
            </w:r>
          </w:p>
        </w:tc>
      </w:tr>
    </w:tbl>
    <w:p>
      <w:pPr>
        <w:pageBreakBefore/>
        <w:spacing w:after="0" w:before="0" w:line="1"/>
      </w:pPr>
    </w:p>
    <w:p>
      <w:pPr>
        <w:spacing w:after="200" w:before="300"/>
        <w:jc w:val="center"/>
      </w:pPr>
      <w:r>
        <w:rPr>
          <w:rFonts w:ascii="Times New Roman" w:cs="Times New Roman" w:eastAsia="Times New Roman" w:hAnsi="Times New Roman"/>
          <w:b/>
          <w:bCs/>
          <w:sz w:val="24"/>
          <w:szCs w:val="24"/>
        </w:rPr>
        <w:t xml:space="preserve">B. DEPARTMENT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Department name (used by firm)</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Corporate, M&amp;A and Real Estate</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partners in the department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r>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B3</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Number of other qualified lawyers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B7</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Head or Heads of department</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Email</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Telephone number</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Ignacio Sosa Mendoza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psosa@araquereyna.com</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+58 414 314 7777</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Manuel Reyna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mreyna@araquereyna.com</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+58 4141402119</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B8</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Hires / Departures of partners in last 12 months 
(state if they joined or left, and name of the other firm)</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 Departed</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Joined From / Destination (firm)</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60"/>
        <w:gridCol w:w="1000"/>
        <w:gridCol w:w="1000"/>
        <w:gridCol w:w="1600"/>
      </w:tblGrid>
      <w:tr>
        <w:tc>
          <w:tcPr>
            <w:tcW w:type="dxa" w:w="9360"/>
            <w:gridSpan w:val="5"/>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B9</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Information regarding Ranked and Unranked lawyers (including associates) in this practice area.</w:t>
            </w:r>
            <w:r>
              <w:rPr>
                <w:rFonts w:ascii="Times New Roman" w:cs="Times New Roman" w:eastAsia="Times New Roman" w:hAnsi="Times New Roman"/>
                <w:i/>
                <w:iCs/>
                <w:sz w:val="14"/>
                <w:szCs w:val="14"/>
              </w:rPr>
              <w:t xml:space="preserve">
Please do not repeat additional biographical information which is available on your website or via other sources. You may include a link to these biographies.</w:t>
            </w:r>
          </w:p>
        </w:tc>
      </w:tr>
      <w:tr>
        <w:tc>
          <w:tcPr>
            <w:tcW w:type="dxa" w:w="150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w:t>
            </w:r>
          </w:p>
        </w:tc>
        <w:tc>
          <w:tcPr>
            <w:tcW w:type="dxa" w:w="42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 or Web Link</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Partner
Y/N</w:t>
            </w:r>
          </w:p>
        </w:tc>
        <w:tc>
          <w:tcPr>
            <w:tcW w:type="dxa" w:w="1000"/>
            <w:tcBorders>
              <w:top w:val="single" w:color="000000" w:sz="1"/>
              <w:left w:val="single" w:color="000000" w:sz="1"/>
              <w:bottom w:val="single" w:color="000000" w:sz="1"/>
              <w:right w:val="single" w:color="000000" w:sz="1"/>
            </w:tcBorders>
            <w:vAlign w:val="top"/>
          </w:tcPr>
          <w:p>
            <w:pPr>
              <w:spacing w:after="80"/>
              <w:jc w:val="center"/>
            </w:pPr>
            <w:r>
              <w:rPr>
                <w:rFonts w:ascii="Times New Roman" w:cs="Times New Roman" w:eastAsia="Times New Roman" w:hAnsi="Times New Roman"/>
                <w:b/>
                <w:bCs/>
                <w:sz w:val="18"/>
                <w:szCs w:val="18"/>
              </w:rPr>
              <w:t xml:space="preserve">Ranked
Y/N</w:t>
            </w:r>
          </w:p>
        </w:tc>
        <w:tc>
          <w:tcPr>
            <w:tcW w:type="dxa" w:w="160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b/>
                <w:bCs/>
                <w:sz w:val="14"/>
                <w:szCs w:val="14"/>
              </w:rPr>
              <w:t xml:space="preserve">Current/recent parental leave, significant childcare commitments or other part-time working arrangements, if applicable. For more information, please see our leave policy).</w:t>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Mendoza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https://chambers.com/lawyer/pedro-ignacio-sosa-mendoza-lat-en/</w:t>
            </w:r>
          </w:p>
          <w:p>
            <w:pPr>
              <w:spacing w:after="40"/>
            </w:pPr>
            <w:r>
              <w:rPr>
                <w:rFonts w:ascii="Times New Roman" w:cs="Times New Roman" w:eastAsia="Times New Roman" w:hAnsi="Times New Roman"/>
                <w:sz w:val="18"/>
                <w:szCs w:val="18"/>
              </w:rPr>
              <w:t xml:space="preserve">Suggested ranking: Category pending</w:t>
            </w:r>
          </w:p>
          <w:p>
            <w:pPr>
              <w:spacing w:after="80"/>
            </w:pPr>
            <w:r>
              <w:rPr>
                <w:rFonts w:ascii="Times New Roman" w:cs="Times New Roman" w:eastAsia="Times New Roman" w:hAnsi="Times New Roman"/>
                <w:sz w:val="18"/>
                <w:szCs w:val="18"/>
              </w:rPr>
              <w:t xml:space="preserve">Pedro I. Sosa Mendoza leads the Corporate and M&amp;A Department. He advises international and domestic corporations on cross-border acquisitions, corporate restructurings, and shareholder governance, notably directing the multi-jurisdictional due diligence and bidding process for the direct majority acquisition of an international manufacturing enterprise across several Andean and Central American jurisdictions.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Maripi Viso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https://chambers.com/lawyer/maria-del-pilar-aneas-de-viso-</w:t>
            </w:r>
          </w:p>
          <w:p>
            <w:pPr>
              <w:spacing w:after="80"/>
            </w:pPr>
            <w:r>
              <w:rPr>
                <w:rFonts w:ascii="Times New Roman" w:cs="Times New Roman" w:eastAsia="Times New Roman" w:hAnsi="Times New Roman"/>
                <w:sz w:val="18"/>
                <w:szCs w:val="18"/>
              </w:rPr>
              <w:t xml:space="preserve">Maripi Viso is a Partner at ARAQUEREYNA.</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Carolina Cano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https://araquereyna.com/abogados_araquereyna/ma-carolina-c</w:t>
            </w:r>
          </w:p>
          <w:p>
            <w:pPr>
              <w:spacing w:after="80"/>
            </w:pPr>
            <w:r>
              <w:rPr>
                <w:rFonts w:ascii="Times New Roman" w:cs="Times New Roman" w:eastAsia="Times New Roman" w:hAnsi="Times New Roman"/>
                <w:sz w:val="18"/>
                <w:szCs w:val="18"/>
              </w:rPr>
              <w:t xml:space="preserve">María Carolina Cano is a Partner and lead partner on cross-border corporate and M&amp;A matters. She was part of the lead team advising Gruppo Montenegro on the acquisition of the Pampero rum brand from Diageo and the continuing Venezuelan implementation work. She also leads advice for SUMMUS on its entry into Venezuela, including regulatory analysis, banking relationships, cross-border commercial transactions and operating contracts, and is a lead partner on an ongoing equity restructuring involving capitalisation rights.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Manuel Reyna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https://chambers.com/lawyer/manuel-reyna-latin-america-9:2-en/</w:t>
            </w:r>
          </w:p>
          <w:p>
            <w:pPr>
              <w:spacing w:after="40"/>
            </w:pPr>
            <w:r>
              <w:rPr>
                <w:rFonts w:ascii="Times New Roman" w:cs="Times New Roman" w:eastAsia="Times New Roman" w:hAnsi="Times New Roman"/>
                <w:sz w:val="18"/>
                <w:szCs w:val="18"/>
              </w:rPr>
              <w:t xml:space="preserve">Suggested ranking: Category pending</w:t>
            </w:r>
          </w:p>
          <w:p>
            <w:pPr>
              <w:spacing w:after="80"/>
            </w:pPr>
            <w:r>
              <w:rPr>
                <w:rFonts w:ascii="Times New Roman" w:cs="Times New Roman" w:eastAsia="Times New Roman" w:hAnsi="Times New Roman"/>
                <w:sz w:val="18"/>
                <w:szCs w:val="18"/>
              </w:rPr>
              <w:t xml:space="preserve">Manuel Reyna is a Partner and lead partner on cross-border acquisitions, disposals and corporate streamlining matters. He was part of the lead team advising on Gruppo Montenegro’s acquisition of the Pampero rum brand from Diageo. He also leads the ongoing work for Dragados on the downsizing of its Venezuelan operations, including liquidation of consortia, due diligence, sales of stakes in Venezuelan companies and the negotiation and drafting of share purchase agreements.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Gustavo J Reyna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https://chambers.com/lawyer/gustavo-j-reyna-latin-america--en/</w:t>
            </w:r>
          </w:p>
          <w:p>
            <w:pPr>
              <w:spacing w:after="40"/>
            </w:pPr>
            <w:r>
              <w:rPr>
                <w:rFonts w:ascii="Times New Roman" w:cs="Times New Roman" w:eastAsia="Times New Roman" w:hAnsi="Times New Roman"/>
                <w:sz w:val="18"/>
                <w:szCs w:val="18"/>
              </w:rPr>
              <w:t xml:space="preserve">Suggested ranking: Category pending</w:t>
            </w:r>
          </w:p>
          <w:p>
            <w:pPr>
              <w:spacing w:after="80"/>
            </w:pPr>
            <w:r>
              <w:rPr>
                <w:rFonts w:ascii="Times New Roman" w:cs="Times New Roman" w:eastAsia="Times New Roman" w:hAnsi="Times New Roman"/>
                <w:sz w:val="18"/>
                <w:szCs w:val="18"/>
              </w:rPr>
              <w:t xml:space="preserve">Gustavo J Reyna is a Partner active on corporate transactions and equity restructurings. He is a lead partner on an ongoing restructuring involving the issuance and allocation of capitalisation rights in a wholly owned subsidiary, with commercial and tax analysis undertaken by lawyers from several departments. He was also part of the lead team advising on Gruppo Montenegro’s acquisition of the Pampero rum brand from Diageo.</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Luis Planchart</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https://chambers.com/lawyer/pedro-luis-planchart-pocaterra-en/</w:t>
            </w:r>
          </w:p>
          <w:p>
            <w:pPr>
              <w:spacing w:after="80"/>
            </w:pPr>
            <w:r>
              <w:rPr>
                <w:rFonts w:ascii="Times New Roman" w:cs="Times New Roman" w:eastAsia="Times New Roman" w:hAnsi="Times New Roman"/>
                <w:sz w:val="18"/>
                <w:szCs w:val="18"/>
              </w:rPr>
              <w:t xml:space="preserve">Pedro Luis Planchart is a Partner at ARAQUEREYNA.</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José Figueroa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https://araquereyna.com/abogados_araquereyna/juan-jose-fig-en/</w:t>
            </w:r>
          </w:p>
          <w:p>
            <w:pPr>
              <w:spacing w:after="40"/>
            </w:pPr>
            <w:r>
              <w:rPr>
                <w:rFonts w:ascii="Times New Roman" w:cs="Times New Roman" w:eastAsia="Times New Roman" w:hAnsi="Times New Roman"/>
                <w:sz w:val="18"/>
                <w:szCs w:val="18"/>
              </w:rPr>
              <w:t xml:space="preserve">Suggested ranking: Band 3 / Up and Coming</w:t>
            </w:r>
          </w:p>
          <w:p>
            <w:pPr>
              <w:spacing w:after="40"/>
            </w:pPr>
            <w:r>
              <w:rPr>
                <w:rFonts w:ascii="Times New Roman" w:cs="Times New Roman" w:eastAsia="Times New Roman" w:hAnsi="Times New Roman"/>
                <w:sz w:val="18"/>
                <w:szCs w:val="18"/>
              </w:rPr>
              <w:t xml:space="preserve">Key areas of focus:</w:t>
            </w:r>
          </w:p>
          <w:p>
            <w:pPr>
              <w:spacing w:after="80"/>
            </w:pPr>
            <w:r>
              <w:rPr>
                <w:rFonts w:ascii="Times New Roman" w:cs="Times New Roman" w:eastAsia="Times New Roman" w:hAnsi="Times New Roman"/>
                <w:sz w:val="18"/>
                <w:szCs w:val="18"/>
              </w:rPr>
              <w:t xml:space="preserve">Juan José Figueroa is a Partner whose work includes corporate structuring, M&amp;A, restructurings and shareholder arrangements. He leads the advice on a proposed sale of a Venezuelan securities firm, including preparation of sale materials, negotiation of the share purchase agreement and purchase-price escrow pending SUNAVAL approval. He also leads cross-border corporate structuring for operations in the United States, including sanctions analysis, and shareholder-agreement work addressing capital adjustments, management arrangements and mandatory purchase or sale exit mechanisms.</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Federica Mena</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https://araquereyna.com/abogados_araquereyna/federica-mena-en/</w:t>
            </w:r>
          </w:p>
          <w:p>
            <w:pPr>
              <w:spacing w:after="40"/>
            </w:pPr>
            <w:r>
              <w:rPr>
                <w:rFonts w:ascii="Times New Roman" w:cs="Times New Roman" w:eastAsia="Times New Roman" w:hAnsi="Times New Roman"/>
                <w:sz w:val="18"/>
                <w:szCs w:val="18"/>
              </w:rPr>
              <w:t xml:space="preserve">Suggested ranking: Up and Coming</w:t>
            </w:r>
          </w:p>
          <w:p>
            <w:pPr>
              <w:spacing w:after="40"/>
            </w:pPr>
            <w:r>
              <w:rPr>
                <w:rFonts w:ascii="Times New Roman" w:cs="Times New Roman" w:eastAsia="Times New Roman" w:hAnsi="Times New Roman"/>
                <w:sz w:val="18"/>
                <w:szCs w:val="18"/>
              </w:rPr>
              <w:t xml:space="preserve">Key areas of focus:</w:t>
            </w:r>
          </w:p>
          <w:p>
            <w:pPr>
              <w:spacing w:after="80"/>
            </w:pPr>
            <w:r>
              <w:rPr>
                <w:rFonts w:ascii="Times New Roman" w:cs="Times New Roman" w:eastAsia="Times New Roman" w:hAnsi="Times New Roman"/>
                <w:sz w:val="18"/>
                <w:szCs w:val="18"/>
              </w:rPr>
              <w:t xml:space="preserve">Federica Mena is a Partner active in corporate restructurings, M&amp;A, real estate and sanctions-related corporate work. She leads an ongoing restructuring and financing initiative involving negotiations with shareholders and management, debt-financing arrangements and internal governance policies. She also leads the wind-down of Venezuelan operations for an insurance-sector client, including the negotiation of contract and director-employment terminations and the planned closure filings with the Insurance Superintendency.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Y</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Loriane Damian</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https://araquereyna.com/abogados_araquereyna/loriane-damia-en/</w:t>
            </w:r>
          </w:p>
          <w:p>
            <w:pPr>
              <w:spacing w:after="80"/>
            </w:pPr>
            <w:r>
              <w:rPr>
                <w:rFonts w:ascii="Times New Roman" w:cs="Times New Roman" w:eastAsia="Times New Roman" w:hAnsi="Times New Roman"/>
                <w:sz w:val="18"/>
                <w:szCs w:val="18"/>
              </w:rPr>
              <w:t xml:space="preserve">Loriane Damian is an Associate who has worked on cross-border corporate and M&amp;A teams, including the acquisition of the Pampero rum brand and a multi-jurisdictional majority acquisition involving due diligence and bidding work.</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15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Estefanía Lizardo</w:t>
            </w:r>
          </w:p>
        </w:tc>
        <w:tc>
          <w:tcPr>
            <w:tcW w:type="dxa" w:w="42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18"/>
                <w:szCs w:val="18"/>
              </w:rPr>
              <w:t xml:space="preserve">https://araquereyna.com/abogados_araquereyna/estefania-liz-en/</w:t>
            </w:r>
          </w:p>
          <w:p>
            <w:pPr>
              <w:spacing w:after="80"/>
            </w:pPr>
            <w:r>
              <w:rPr>
                <w:rFonts w:ascii="Times New Roman" w:cs="Times New Roman" w:eastAsia="Times New Roman" w:hAnsi="Times New Roman"/>
                <w:sz w:val="18"/>
                <w:szCs w:val="18"/>
              </w:rPr>
              <w:t xml:space="preserve">Estefanía Lizardo is an Associate who has worked on corporate and M&amp;A teams advising on market entry, regulated sale processes and corporate wind-downs in Venezuela.</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000"/>
            <w:tcBorders>
              <w:top w:val="single" w:color="000000" w:sz="1"/>
              <w:left w:val="single" w:color="000000" w:sz="1"/>
              <w:bottom w:val="single" w:color="000000" w:sz="1"/>
              <w:right w:val="single" w:color="000000" w:sz="1"/>
            </w:tcBorders>
            <w:shd w:color="FFFFCC" w:val="solid"/>
            <w:vAlign w:val="top"/>
          </w:tcPr>
          <w:p>
            <w:pPr>
              <w:spacing w:after="80"/>
              <w:jc w:val="center"/>
            </w:pPr>
            <w:r>
              <w:rPr>
                <w:rFonts w:ascii="Times New Roman" w:cs="Times New Roman" w:eastAsia="Times New Roman" w:hAnsi="Times New Roman"/>
                <w:sz w:val="20"/>
                <w:szCs w:val="20"/>
              </w:rPr>
              <w:t xml:space="preserve">N</w:t>
            </w:r>
          </w:p>
        </w:tc>
        <w:tc>
          <w:tcPr>
            <w:tcW w:type="dxa" w:w="160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B10</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What is this department best known for?
Please include: industry sector expertise; key types of work; areas of recent growth.
Address any feedback on our recent coverage of your department (500 word count limit)</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ARAQUEREYNA’s Corporate and M&amp;A Department provides comprehensive strategic counsel to domestic leaders and multinational corporations across transactional, corporate governance, and complex business restructuring mandates in Venezuela. Built on decades of leading market presence, the practice demonstrates core institutional capabilities across six essential pillars: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First, cross-border acquisitions, disposals, and competitive bidding processes. The team advises strategic buyers and sellers on major multijurisdictional transactions, conducting comprehensive due diligence and orchestrating complex corporate acquisitions across multiple Latin American and European jurisdictions.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Second, corporate reorganizations, capital restructurings, and equity recapitalizations. The department routinely designs and executes sophisticated equity restructurings, debt-to-equity conversions, statutory share capital allocations, and corporate wind-downs, ensuring seamless operational continuity and commercial resilience.</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Third, high-level counsel to international investors and multinational enterprises navigating complex Venezuelan regulatory and commercial frameworks. The firm serves as trusted local counsel for foreign conglomerates entering, operating in, or reorganizing within the Venezuelan market.</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Fourth, corporate governance, shareholder agreements, and ownership structures. The practice specializes in crafting bespoke shareholder agreements, voting trusts, dispute-resolution and mediation frameworks among equity holders, and management governance rules for family offices and multinational joint ventures.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Fifth, on-the-ground operational establishment and post-closing corporate implementation. Beyond transaction execution, the department delivers end-to-end operational rollouts, including local corporate vehicle incorporation, production licensing, distribution structuring, and regulatory permits (as exemplified in Gruppo Montenegro's acquisition of the Pampero rum brand and BDO Colombia’s Venezuelan market establishment).</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Sixth, integrated multidisciplinary transactional steering. The team harmonizes corporate law with specialized regulatory oversight (including capital markets compliance before SUNAVAL and civil aeronautics before INAC), employment transitions, and sophisticated cross-practice tax structuring.</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Led by experienced partners Pedro I. Sosa Mendoza, Manuel Reyna, Gustavo J. Reyna, Juan José Figueroa, and rising partner Federica Mena, ARAQUEREYNA remains a benchmark for transactional execution and corporate resilience in Venezuela.</w:t>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C1</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If you have used barristers / advocates in the UK, Australia, Hong Kong, India, Malaysia, New Zealand or Sri Lanka please provide the information below (Optional)</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Barrister/advocate name</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Firm / Set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Comments</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spacing w:after="12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C2</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Feedback on our coverage of this practice area (Optional)</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respectfully requests continued consideration for Corporate/M&amp;A coverage in Venezuela. The practice’s work demonstrates a Corporate/M&amp;A capability spanning acquisitions, disposals, corporate restructurings, regulated sale processes, shareholder arrangements and international structuring.</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Representative work includes advising on the acquisition of the Pampero rum brand and its post-closing Venezuelan implementation; the sale of stakes and liquidation of consortia for Dragados; and the establishment and governance structuring of Venezuelan operations for BDO Colombia. The team also advises on equity restructurings, corporate wind-downs, market entry and cross-border investment structures.</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The submission identifies senior leadership across these mandates, including Pedro I Sosa, Manuel Reyna, María Carolina Cano, Gustavo J Reyna, Juan José Figueroa and Federica Mena. Together, the matters reflect a practice able to address transaction execution, regulatory conditions, governance design and local implementation in complex corporate mandates.</w:t>
            </w:r>
          </w:p>
        </w:tc>
      </w:tr>
    </w:tbl>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D. PUBLISHABLE INFORMATION</w:t>
      </w:r>
    </w:p>
    <w:p>
      <w:pPr>
        <w:spacing w:after="200"/>
      </w:pPr>
      <w:r>
        <w:rPr>
          <w:rFonts w:ascii="Times New Roman" w:cs="Times New Roman" w:eastAsia="Times New Roman" w:hAnsi="Times New Roman"/>
          <w:i/>
          <w:iCs/>
          <w:sz w:val="16"/>
          <w:szCs w:val="16"/>
        </w:rPr>
        <w:t xml:space="preserve">All information in section 'D' is considered PUBLISHABLE. Do not include any confidential information in this section. Confidential information can be included in section 'E'. Information in section 'D' may be printed in Chambers and Partners publications.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D0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PUBLISHABLE CLIENTS – List of this department's PUBLISHABLE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Gruppo Montenegro (Montenegro S.r.l.)</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Dragados, S.A.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Sanu Corp, C.A. and  Has Higiene, Agua y Saneamiento, C.A.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BDO Colombia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SUMMUS, S.A.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Gold Stone, C.A.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GMAC de Venezuela, C.A. General Motors affíliate</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Instituto de Estudios Superiores de Administración (IESA)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Gruppo Montenegro (Montenegro S.r.l.)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advised Gruppo Montenegro on the legal aspects of its acquisition of the Venezuelan Pampero rum brand from Diageo, including the brand’s operation, production, commercialisation and distribution in Venezuela. The mandate involved Venezuela, Italy and the United Kingdom and concerned a brand protected by the Denomination of Controlled Origin “Ron de Venezuela.” María Carolina Cano, Manuel Reyna and Gustavo Reyna led the team. The acquisition completed on 17 July 2024; the parties continue to advance the incorporation of a local entity and the permits required for Montenegro to operate, produce and distribute the brand directly in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 Venezuela, Italy, and United Kingdom</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Maria Carolina Cano (Tax Senior Partner, member of ARAQUEREYNA’s Executive Committee), Manuel Reyna (Senior Partner, member of ARAQUEREYNA’s</w:t>
            </w:r>
          </w:p>
          <w:p>
            <w:pPr>
              <w:spacing w:after="80"/>
            </w:pPr>
            <w:r>
              <w:rPr>
                <w:rFonts w:ascii="Times New Roman" w:cs="Times New Roman" w:eastAsia="Times New Roman" w:hAnsi="Times New Roman"/>
                <w:sz w:val="20"/>
                <w:szCs w:val="20"/>
              </w:rPr>
              <w:t xml:space="preserve">Executive Committee), and Gustavo Reyna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Loriane Damian (Senior Associate), Samuel Morales (Associate), Estefania Lizardo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DLA Piper Italy – Leading firm on the matter.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Date of completion: July 17th, 2024</w:t>
            </w:r>
          </w:p>
          <w:p>
            <w:pPr>
              <w:spacing w:after="80"/>
            </w:pPr>
            <w:r>
              <w:rPr>
                <w:rFonts w:ascii="Times New Roman" w:cs="Times New Roman" w:eastAsia="Times New Roman" w:hAnsi="Times New Roman"/>
                <w:sz w:val="20"/>
                <w:szCs w:val="20"/>
              </w:rPr>
              <w:t xml:space="preserve"/>
            </w:r>
          </w:p>
          <w:p>
            <w:pPr>
              <w:spacing w:after="80"/>
            </w:pPr>
            <w:r>
              <w:rPr>
                <w:rFonts w:ascii="Times New Roman" w:cs="Times New Roman" w:eastAsia="Times New Roman" w:hAnsi="Times New Roman"/>
                <w:sz w:val="20"/>
                <w:szCs w:val="20"/>
              </w:rPr>
              <w:t xml:space="preserve">Status: Although the acquisition has been completed, there is currently a transitional period during which Montenegro´s legal organization for</w:t>
            </w:r>
          </w:p>
          <w:p>
            <w:pPr>
              <w:spacing w:after="80"/>
            </w:pPr>
            <w:r>
              <w:rPr>
                <w:rFonts w:ascii="Times New Roman" w:cs="Times New Roman" w:eastAsia="Times New Roman" w:hAnsi="Times New Roman"/>
                <w:sz w:val="20"/>
                <w:szCs w:val="20"/>
              </w:rPr>
              <w:t xml:space="preserve">the further development of the Pampero brand in Venezuela is being advanced through the incorporation of its local entity and the obtaining of</w:t>
            </w:r>
          </w:p>
          <w:p>
            <w:pPr>
              <w:spacing w:after="80"/>
            </w:pPr>
            <w:r>
              <w:rPr>
                <w:rFonts w:ascii="Times New Roman" w:cs="Times New Roman" w:eastAsia="Times New Roman" w:hAnsi="Times New Roman"/>
                <w:sz w:val="20"/>
                <w:szCs w:val="20"/>
              </w:rPr>
              <w:t xml:space="preserve">all the necessary permits to act directly as operator, producer, and distributor of the Pampero rum brand in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https://gruppomontenegro.com/en/gruppo-montenegro-acquires-rum-pampero/</w:t>
            </w:r>
          </w:p>
          <w:p>
            <w:pPr>
              <w:spacing w:after="80"/>
            </w:pPr>
            <w:r>
              <w:rPr>
                <w:rFonts w:ascii="Times New Roman" w:cs="Times New Roman" w:eastAsia="Times New Roman" w:hAnsi="Times New Roman"/>
                <w:sz w:val="20"/>
                <w:szCs w:val="20"/>
              </w:rPr>
              <w:t xml:space="preserve">https://liderlegal.com/araquereyna-y-dla-piper-en-adquisicion-de-la-venezolana-ron-pampero-por-gruppo-montenegro/</w:t>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Dragados, 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Dragados and its Venezuelan subsidiary, DYCVENSA, on the downsizing of their Venezuelan operations. During 2024, the team closed and liquidated several significant consortia in which DYCVENSA participated. It also conducted due diligence, negotiated and executed the sale of Dragados’ stakes in two Venezuelan companies in the construction and services sectors, including sale negotiations, execution and the drafting of share purchase agreements. Manuel Reyna is the lead partner and Federica Mena supports the mandate.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Spain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Manuel Reyna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Federica Mena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Sanu Corp, C.A. and Has Higiene, Agua y Saneamiento, C.A.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Sanu Corp, C.A. and Has Higiene, Agua y Saneamiento, C.A. on a corporate restructuring and financing initiative. The team is working with the shareholders and chief executive to negotiate critical agreements, facilitate debt-financing arrangements and develop internal corporate governance policies. Federica Mena is lead partner, supported by Pedro I. Sosa and Juan José Figueroa.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Federica Mena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(Senior and Managing Partner) Juan Jose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BDO Colombia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BDO Colombia on establishing operations in Venezuela. The team structured, organised and designed the appropriate local entities, prepared the necessary legal documents and guided the incorporation process. It also advised on the negotiation and structuring of shareholder agreements to regulate partner relationships within the Venezuelan company. Pedro I. Sosa and María Carolina Cano are lead partners, supported by Gustavo Reyna, Federica Mena and Estefanía Lizardo. The steps necessary for the establishment in Venezuela were completed, while the broader mandate remains 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Colombia.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(Senior and Managing Partner) and María Carolina Cano (Tax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Gustavo Reyna (Senior Partner), Federica Mena (Partner) and Estefanía Lizardo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SUMMUS, 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SUMMUS, S.A. on its entry into the Venezuelan market. The mandate includes legal opinions on fintech, taxation, banking services and international sanctions; assistance with strategic banking relationships; the structuring and negotiation of export and import transactions, particularly between Colombia and Venezuela; and the drafting and negotiation of key operating contracts. María Carolina Cano is lead partner, supported by Gustavo J. Reyna and Federica Mena.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Colombia, China and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María Carolina Cano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Gustavo J. Reyna (Senior Partner) Federica Mena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The Gold Stone, C.A.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The Gold Stone, C.A. on its corporate restructuring and the development of new corporate agreements. The team mediated shareholder disputes and achieved mutual concessions that allowed the business to continue operating. It also assists with the management and negotiation of the execution of a construction project in Caracas. Pedro Ignacio Sosa is lead partner, supported by Federica Mena and Juan José Figueroa.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Ignacio Sosa (Senior and Managing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Federica Mena (Partner) and Juan José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GMAC de Venezuela, C.A. General Motors affíliate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GMAC de Venezuela, C.A. on the wind-down of its Venezuelan operations. The work addresses pending vehicle financing and the sale process for significant real estate. Pedro I. Sosa and María Carolina Cano are lead partners, supported by Estefanía Lizardo.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(Senior and Managing Partner) and María Carolina Cano (Tax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Estefanía Lizardo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 process.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Publishable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Publishable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D1 Name of client – this will be publishable. If you cannot reveal the client name, give a general description.</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Instituto de Estudios Superiores de Administración (IESA)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IESA on corporate structuring for its internationalisation efforts. The team evaluated and designed the structural framework for subsidiaries in Panama, Barbados and the Dominican Republic, and assisted the Development Management Unit in negotiating and drafting agreements for strategic alliances with global institutions. It also advised on legal opinions and consultations related to the new Non-Profit Organizations Law. Juan José Figueroa is lead partner, supported by Pedro I. Sosa and Samuel Morales.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Panama, Barbados, Spain, Perú, Chile, Colombia and Dominican Republic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José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(Senior and Managing Partner) and Samuel Morales (Public Law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D9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p>
      <w:pPr>
        <w:spacing w:after="100" w:before="200"/>
        <w:jc w:val="center"/>
      </w:pPr>
      <w:r>
        <w:rPr>
          <w:rFonts w:ascii="Times New Roman" w:cs="Times New Roman" w:eastAsia="Times New Roman" w:hAnsi="Times New Roman"/>
          <w:b/>
          <w:bCs/>
          <w:sz w:val="24"/>
          <w:szCs w:val="24"/>
        </w:rPr>
        <w:t xml:space="preserve">E. CONFIDENTIAL INFORMATION</w:t>
      </w:r>
    </w:p>
    <w:p>
      <w:pPr>
        <w:spacing w:after="200"/>
      </w:pPr>
      <w:r>
        <w:rPr>
          <w:rFonts w:ascii="Times New Roman" w:cs="Times New Roman" w:eastAsia="Times New Roman" w:hAnsi="Times New Roman"/>
          <w:i/>
          <w:iCs/>
          <w:sz w:val="16"/>
          <w:szCs w:val="16"/>
        </w:rPr>
        <w:t xml:space="preserve">All information in section 'E' is considered CONFIDENTIAL and NOT FOR PUBLICATION. Information in this section will only be used for our internal ranking purposes. If any part of a matter is confidential it should be included in this section 'E' not section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c>
          <w:tcPr>
            <w:tcW w:type="dxa" w:w="9360"/>
            <w:gridSpan w:val="3"/>
            <w:tcBorders>
              <w:top w:val="single" w:color="000000" w:sz="1"/>
              <w:left w:val="single" w:color="000000" w:sz="1"/>
              <w:bottom w:val="single" w:color="000000" w:sz="1"/>
              <w:right w:val="single" w:color="000000" w:sz="1"/>
            </w:tcBorders>
            <w:vAlign w:val="top"/>
          </w:tcPr>
          <w:p>
            <w:r>
              <w:rPr>
                <w:rFonts w:ascii="Times New Roman" w:cs="Times New Roman" w:eastAsia="Times New Roman" w:hAnsi="Times New Roman"/>
                <w:sz w:val="14"/>
                <w:szCs w:val="14"/>
              </w:rPr>
              <w:t xml:space="preserve">E0 –</w:t>
            </w:r>
            <w:r>
              <w:rPr>
                <w:rFonts w:ascii="Times New Roman" w:cs="Times New Roman" w:eastAsia="Times New Roman" w:hAnsi="Times New Roman"/>
                <w:sz w:val="14"/>
                <w:szCs w:val="14"/>
              </w:rPr>
              <w:t xml:space="preserve"> </w:t>
            </w:r>
            <w:r>
              <w:rPr>
                <w:rFonts w:ascii="Times New Roman" w:cs="Times New Roman" w:eastAsia="Times New Roman" w:hAnsi="Times New Roman"/>
                <w:b/>
                <w:bCs/>
                <w:sz w:val="14"/>
                <w:szCs w:val="14"/>
              </w:rPr>
              <w:t xml:space="preserve">CONFIDENTIAL CLIENTS – List of this department's CONFIDENTIAL clients. Please indicate whether a client is a new client (within the last 12 months). If this information is not known, leave the field blank.</w:t>
            </w:r>
          </w:p>
        </w:tc>
      </w:tr>
      <w:tr>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Name of Client</w:t>
            </w:r>
          </w:p>
        </w:tc>
        <w:tc>
          <w:tcPr>
            <w:tcW w:type="dxa" w:w="312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18"/>
                <w:szCs w:val="18"/>
              </w:rPr>
              <w:t xml:space="preserve">New Client (Y/N)</w:t>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Corporación de Aceros Arequipa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2</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Bursagro Casa de Bolsa Agrícola, C.A.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3</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Inversiones Palmar, S.A.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4</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Instituto de Estudios Superiores de Administración (IESA)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5</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Kyndryl Venezuela, S.C.A.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6</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Domi Investment Inc.</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7</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Maute LLC</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8</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Sedgwick International</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9</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Tomás Sanabria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10</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Tomas Sanabria and Ricardo Sanabria</w:t>
            </w:r>
          </w:p>
        </w:tc>
        <w:tc>
          <w:tcPr>
            <w:tcW w:type="dxa" w:w="312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Corporación de Aceros Arequipa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advised Corporación de Aceros Arequipa on the due diligence and bidding process for the direct acquisition of 80% of the shares in Bekaert Ideal S.L. and the indirect acquisition of interests in companies in Costa Rica, Ecuador, Venezuela and Colombia. The team analysed corporate, contractual, insurance, real estate, labour and regulatory issues. The Venezuelan subsidiary was in the process of merging with another company at the time of the bid, making the local corporate analysis particularly significant. Pedro I Sosa acted as lead partner, supported by Federica Mena, Juan Carlos Balzan, Samuel Morales and Loriane Damián.</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Peru, Costa Rica, Ecuador, Venezuela and Colombia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(Senior and Managing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Federica Mena (Partner), Juan Carlos Balzan (Partner), Samuel Morales (Associate) and Loriane Damián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Payet, Rey, Cauvi, Pérez Abogados (Peru) - https://prcp.com.pe/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August, 2024.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2</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Bursagro Casa de Bolsa Agrícola, C.A.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Bursagro Casa de Bolsa Agrícola, C.A. on its sale. The Corporate and M&amp;A team prepared sale materials, negotiated the share purchase agreement and oversaw the escrow of the purchase price. The transaction remains subject to approval by the Venezuelan Securities Regulator (SUNAVAL). Pedro I Sosa and Juan José Figueroa are lead partners, supported by Estefanía Lizardo.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(Senior and Managing Partner) and Juan José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Estefanía Lizardo (Associate)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3</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Inversiones Palmar, 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participating in the equity restructuring of Empresas PMC, C.A. The mandate involves the issuance and allocation of capitalisation rights in a wholly owned subsidiary of Central El Palmar, S.A. and required analysis of commercial and tax aspects by lawyers and partners from several departments. Gustavo J. Reyna and María Carolina Cano are lead partners.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Gustavo J. Reyna (Senior Partner) and María Carolina Cano (Senior Partner, member of ARAQUEREYNA’s Executive Committee)</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Instituto de Estudios Superiores de Administración (IESA)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advised IESA in 2024 on designing a corporate structure for registration with the relevant United States authorities so that it could operate there. The team also analysed contracts and assessed the legality of the transaction under the US sanctions regime. Juan José Figueroa is the lead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United States.</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José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5</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Kyndryl Venezuela, S.C.A.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assisting Kyndryl Venezuela, S.C.A. with its corporate reorganisation and the planning and modification of its corporate governance as part of a broader strategy to minimise Venezuelan operations. The team is also drafting, modifying and terminating service contracts with public and private entities. Juan Carlos Balzan is lead partner, supported by Pedro I. Sosa and Federica Mena.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Carlos Balzan (Senior Partner, Public Law Department)</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(Senior and Managing Partner) and Federica Mena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6</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Domi Investment Inc.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assisted Domi Investment Inc. in negotiating its participation in Franchise Holdings Limited, the master franchise of Domino’s Pizza in Saint Lucia. Pedro I. Sosa is lead partner, supported by Juan José Figueroa.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Saint Lucia.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(Managing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José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First trimester of 2024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7</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Maute LLC</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Maute LLC in negotiations arising from differences among owners of a camp business with operations connected to Venezuela, the United States and Spain. The team is negotiating and drafting agreements for the joint use of the “La Llanada” brand. Juan José Figueroa is lead partner. Negotiations continued in 2024.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Yes. United States, Panama, Spain and Venezuela.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José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8</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Sedgwick International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assisting Sedgwick International with the wind-down of its Venezuelan operations. The team is negotiating the termination of contracts and the director’s employment and will be appointed as legal representatives to complete the closure process and required filings with the Insurance Superintendency. Federica Mena is lead partner, supported by Pedro I. Sosa and Juan José Figueroa.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Federica Mena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Pedro I. Sosa (Senior and Managing Partner) and Juan José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9</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Tomás Sanabria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Tomás Sanabria on the negotiation of an alliance agreement for telemedicine services in remote areas of Venezuela and certain Latin American countries, in work undertaken jointly with Fe y Alegría. Juan José Figueroa is lead partner. Negotiations continued in 2024.</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José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p>
      <w:pPr>
        <w:pageBreakBefore/>
        <w:spacing w:after="0" w:before="0" w:line="1"/>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b/>
                <w:bCs/>
                <w:sz w:val="22"/>
                <w:szCs w:val="22"/>
              </w:rPr>
              <w:t xml:space="preserve">Confidential Work Highlights in last 12 months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b/>
                <w:bCs/>
                <w:sz w:val="22"/>
                <w:szCs w:val="22"/>
              </w:rPr>
              <w:t xml:space="preserve">Confidential Matter 10</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E1 Name of client (for ranking purposes only)</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Tomas Sanabria and Ricardo Sanabria</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E2 Summary of matter and your department's role – Please say why this matter was important. Also, tell us exactly what role your department played.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ARAQUEREYNA is advising Tomas Sanabria and Ricardo Sanabria in connection with an agreement to create a company for the management of aircraft. The work includes a private shareholders’ agreement addressing capital increases and decreases, the company’s management regime, aircraft use and partner-exit arrangements with mandatory share purchase or sale mechanisms. Juan José Figueroa is lead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E3 Matter value – include currency and amount in figures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Confidential</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E4 Is this a cross-border matter? If yes, please indicate the jurisdictions involved.</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No</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E5 Lead partner</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Juan José Figueroa (Senior Partner)</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E6 Other team members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E7 Other firms advising on the matter and their role(s)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E8 Date of completion or current status</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Ongoing</w:t>
            </w:r>
          </w:p>
        </w:tc>
      </w:tr>
      <w:tr>
        <w:tc>
          <w:tcPr>
            <w:tcW w:type="dxa" w:w="9360"/>
            <w:tcBorders>
              <w:top w:val="single" w:color="000000" w:sz="1"/>
              <w:left w:val="single" w:color="000000" w:sz="1"/>
              <w:bottom w:val="single" w:color="000000" w:sz="1"/>
              <w:right w:val="single" w:color="000000" w:sz="1"/>
            </w:tcBorders>
            <w:vAlign w:val="top"/>
          </w:tcPr>
          <w:p>
            <w:pPr>
              <w:spacing w:after="80"/>
            </w:pPr>
            <w:r>
              <w:rPr>
                <w:rFonts w:ascii="Times New Roman" w:cs="Times New Roman" w:eastAsia="Times New Roman" w:hAnsi="Times New Roman"/>
                <w:sz w:val="18"/>
                <w:szCs w:val="18"/>
              </w:rPr>
              <w:t xml:space="preserve">E9 Other information about this matter – e.g. link to press coverage</w:t>
            </w:r>
          </w:p>
        </w:tc>
      </w:tr>
      <w:tr>
        <w:tc>
          <w:tcPr>
            <w:tcW w:type="dxa" w:w="9360"/>
            <w:tcBorders>
              <w:top w:val="single" w:color="000000" w:sz="1"/>
              <w:left w:val="single" w:color="000000" w:sz="1"/>
              <w:bottom w:val="single" w:color="000000" w:sz="1"/>
              <w:right w:val="single" w:color="000000" w:sz="1"/>
            </w:tcBorders>
            <w:shd w:color="FFFFCC" w:val="solid"/>
            <w:vAlign w:val="top"/>
          </w:tcPr>
          <w:p>
            <w:pPr>
              <w:spacing w:after="80"/>
            </w:pPr>
            <w:r>
              <w:rPr>
                <w:rFonts w:ascii="Times New Roman" w:cs="Times New Roman" w:eastAsia="Times New Roman" w:hAnsi="Times New Roman"/>
                <w:sz w:val="20"/>
                <w:szCs w:val="20"/>
              </w:rP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80"/>
      <w:jc w:val="center"/>
    </w:pPr>
    <w:r>
      <w:rPr>
        <w:rFonts w:ascii="Times New Roman" w:cs="Times New Roman" w:eastAsia="Times New Roman" w:hAnsi="Times New Roman"/>
        <w:b/>
        <w:bCs/>
        <w:sz w:val="16"/>
        <w:szCs w:val="16"/>
      </w:rPr>
      <w:t xml:space="preserve">Please upload completed submissions online at https://myaccount.chambers.com</w:t>
    </w:r>
  </w:p>
  <w:p>
    <w:pPr>
      <w:spacing w:after="80"/>
      <w:jc w:val="center"/>
    </w:pPr>
    <w:r>
      <w:rPr>
        <w:rFonts w:ascii="Times New Roman" w:cs="Times New Roman" w:eastAsia="Times New Roman" w:hAnsi="Times New Roman"/>
        <w:sz w:val="14"/>
        <w:szCs w:val="14"/>
      </w:rPr>
      <w:t xml:space="preserve">You will need a username and password to manage your submission and profile.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right"/>
    </w:pPr>
    <w:r>
      <w:rPr>
        <w:rFonts w:ascii="Times New Roman" w:cs="Times New Roman" w:eastAsia="Times New Roman" w:hAnsi="Times New Roman"/>
        <w:color w:val="888888"/>
        <w:sz w:val="14"/>
        <w:szCs w:val="14"/>
      </w:rPr>
      <w:t xml:space="preserve">Ref: PAB006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80"/>
    </w:pPr>
    <w:rPr>
      <w:rFonts w:ascii="Times New Roman" w:cs="Times New Roman" w:eastAsia="Times New Roman" w:hAnsi="Times New Roman"/>
      <w:sz w:val="20"/>
      <w:szCs w:val="20"/>
    </w:rPr>
  </w:style>
  <w:style w:type="paragraph" w:styleId="Heading1">
    <w:name w:val="Heading 1"/>
    <w:basedOn w:val="Normal"/>
    <w:next w:val="Normal"/>
    <w:pPr>
      <w:spacing w:after="200" w:before="3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Chambers Submission - ARAQUEREYNA - Corporate/M&amp;A</dc:title>
  <dc:creator>RankPilot 2026</dc:creator>
  <dc:description>Chambers &amp; Partners submission form for ARAQUEREYNA in Corporate/M&amp;A</dc:description>
  <cp:lastModifiedBy>Un-named</cp:lastModifiedBy>
  <cp:revision>1</cp:revision>
  <dcterms:created xsi:type="dcterms:W3CDTF">2026-10-20T23:16:34.155Z</dcterms:created>
  <dcterms:modified xsi:type="dcterms:W3CDTF">2026-10-20T23:16:34.155Z</dcterms:modified>
</cp:coreProperties>
</file>

<file path=docProps/custom.xml><?xml version="1.0" encoding="utf-8"?>
<Properties xmlns="http://schemas.openxmlformats.org/officeDocument/2006/custom-properties" xmlns:vt="http://schemas.openxmlformats.org/officeDocument/2006/docPropsVTypes"/>
</file>