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/>
        <w:pBdr>
          <w:bottom w:val="single" w:color="1B365D" w:sz="6"/>
        </w:pBdr>
        <w:spacing w:after="180" w:before="360"/>
      </w:pPr>
      <w:r>
        <w:rPr>
          <w:b/>
          <w:bCs/>
          <w:color w:val="1B365D"/>
          <w:sz w:val="26"/>
          <w:szCs w:val="26"/>
        </w:rPr>
        <w:t xml:space="preserve">RANKPILOT — Strategic Audit Letter</w:t>
      </w:r>
    </w:p>
    <w:p>
      <w:pPr>
        <w:spacing w:after="80"/>
      </w:pPr>
      <w:r>
        <w:rPr>
          <w:b/>
          <w:bCs/>
          <w:sz w:val="22"/>
          <w:szCs w:val="22"/>
        </w:rPr>
        <w:t xml:space="preserve">Firm: </w:t>
      </w:r>
      <w:r>
        <w:rPr>
          <w:sz w:val="22"/>
          <w:szCs w:val="22"/>
        </w:rPr>
        <w:t xml:space="preserve">ARAQUEREYNA</w:t>
      </w:r>
    </w:p>
    <w:p>
      <w:pPr>
        <w:spacing w:after="80"/>
      </w:pPr>
      <w:r>
        <w:rPr>
          <w:b/>
          <w:bCs/>
          <w:sz w:val="22"/>
          <w:szCs w:val="22"/>
        </w:rPr>
        <w:t xml:space="preserve">Practice: </w:t>
      </w:r>
      <w:r>
        <w:rPr>
          <w:sz w:val="22"/>
          <w:szCs w:val="22"/>
        </w:rPr>
        <w:t xml:space="preserve">Corporate/M&amp;A</w:t>
      </w:r>
    </w:p>
    <w:p>
      <w:pPr>
        <w:spacing w:after="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Confidential internal review. Ranking outcomes are determined by the directory.</w:t>
      </w:r>
    </w:p>
    <w:p>
      <w:pPr>
        <w:keepNext/>
        <w:pBdr>
          <w:bottom w:val="single" w:color="1B365D" w:sz="6"/>
        </w:pBdr>
        <w:spacing w:after="180" w:before="360"/>
      </w:pPr>
      <w:r>
        <w:rPr>
          <w:b/>
          <w:bCs/>
          <w:color w:val="1B365D"/>
          <w:sz w:val="26"/>
          <w:szCs w:val="26"/>
        </w:rPr>
        <w:t xml:space="preserve">1. Executive Verdict</w:t>
      </w:r>
    </w:p>
    <w:p>
      <w:pPr>
        <w:spacing w:after="60"/>
      </w:pPr>
      <w:r>
        <w:rPr>
          <w:b/>
          <w:bCs/>
          <w:i w:val="false"/>
          <w:iCs w:val="false"/>
          <w:sz w:val="22"/>
          <w:szCs w:val="22"/>
        </w:rPr>
        <w:t xml:space="preserve">Veredicto y Posicionamiento Estratégico.</w:t>
      </w:r>
    </w:p>
    <w:p>
      <w:pPr>
        <w:spacing w:after="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Recomiendo presentar una candidatura institucional de Corporate/M&amp;A de primer nivel, centrada en ejecución transaccional, desinversiones complejas, reorganizaciones societarias, gobierno corporativo y estructuración de inversiones internacionales en Venezuela. La aspiración de consolidar el posicionamiento en Banda 1 es legítima y respaldada por la amplitud de mandatos, manteniéndose Banda 2 como posición de partida documentada en el expediente.</w:t>
      </w:r>
    </w:p>
    <w:p>
      <w:pPr>
        <w:spacing w:after="60"/>
      </w:pPr>
      <w:r>
        <w:rPr>
          <w:b/>
          <w:bCs/>
          <w:i w:val="false"/>
          <w:iCs w:val="false"/>
          <w:sz w:val="22"/>
          <w:szCs w:val="22"/>
        </w:rPr>
        <w:t xml:space="preserve">Ponderación y Criterios de Selección del Asunto Insignia (Hero Matter).</w:t>
      </w:r>
    </w:p>
    <w:p>
      <w:pPr>
        <w:spacing w:after="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El sistema ratifica a </w:t>
      </w:r>
      <w:r>
        <w:rPr>
          <w:b/>
          <w:bCs/>
          <w:i w:val="false"/>
          <w:iCs w:val="false"/>
          <w:sz w:val="22"/>
          <w:szCs w:val="22"/>
        </w:rPr>
        <w:t xml:space="preserve">Corporación de Aceros Arequipa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 como Asunto Insignia (Hero Matter) tras una ponderación comparativa rigurosa y transparente frente a la adquisición de Pampero por Gruppo Montenegro:</w:t>
      </w:r>
    </w:p>
    <w:p>
      <w:pPr>
        <w:spacing w:after="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1. </w:t>
      </w:r>
      <w:r>
        <w:rPr>
          <w:b w:val="false"/>
          <w:bCs w:val="false"/>
          <w:i/>
          <w:iCs/>
          <w:sz w:val="22"/>
          <w:szCs w:val="22"/>
        </w:rPr>
        <w:t xml:space="preserve">Corporación de Aceros Arequipa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 representa una adquisición mayoritaria directa del 80% del capital social, abarcando un perímetro de cinco jurisdicciones (Venezuela, Colombia, Ecuador, Costa Rica y España), un due diligence multidisciplinario integral (societario, regulatorio, laboral, contractual) y una dificultad societaria venezolana de máxima complejidad: la subsidiaria operativa local se encontraba en pleno proceso de fusión al momento de la oferta competitiva. AraqueReyna ejerció el liderazgo principal del due diligence y la dirección transaccional del perímetro.</w:t>
      </w:r>
    </w:p>
    <w:p>
      <w:pPr>
        <w:spacing w:after="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2. </w:t>
      </w:r>
      <w:r>
        <w:rPr>
          <w:b w:val="false"/>
          <w:bCs w:val="false"/>
          <w:i/>
          <w:iCs/>
          <w:sz w:val="22"/>
          <w:szCs w:val="22"/>
        </w:rPr>
        <w:t xml:space="preserve">Gruppo Montenegro (Pampero)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 es una operación de altísimo prestigio comercial, completada con éxito, que evidencia una capacidad diferencial de AraqueReyna: no solo participar en la adquisición transfronteriza de una marca global a Diageo, sino ejecutar la posterior implementación operativa, constitución de entidades locales y tramitación integral de licencias de producción y distribución en Venezuela. No obstante, DLA Piper Italia lideró globalmente la operación transfronteriza, por lo que el protagonismo de AraqueReyna se concentró en la ejecución local venezolana y post-cierre.</w:t>
      </w:r>
    </w:p>
    <w:p>
      <w:pPr>
        <w:spacing w:after="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Por tanto, la ponderación editorial prioriza Aceros Arequipa como Hero Matter por su mayor densidad de liderazgo transaccional multijurisdiccional directo, posicionando inmediatamente a Pampero como el Asunto #2 de la cartera y principal pilar de ejecución e implementación en Venezuela.</w:t>
      </w:r>
    </w:p>
    <w:p>
      <w:pPr>
        <w:spacing w:after="60"/>
      </w:pPr>
      <w:r>
        <w:rPr>
          <w:b/>
          <w:bCs/>
          <w:i w:val="false"/>
          <w:iCs w:val="false"/>
          <w:sz w:val="22"/>
          <w:szCs w:val="22"/>
        </w:rPr>
        <w:t xml:space="preserve">Fortalezas y Vulnerabilidades.</w:t>
      </w:r>
    </w:p>
    <w:p>
      <w:pPr>
        <w:spacing w:after="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La cartera recomendada de 18 asuntos demuestra una capacidad institucional balanceada: adquisiciones mayoritarias, implementaciones post-cierre, ventas reguladas ante SUNAVAL, liquidaciones, reestructuraciones de capital y pactos de accionistas. La vulnerabilidad principal radica en que varios mandatos continúan en curso y algunas composiciones de equipo requieren mayor precisión en la atribución personal de tareas.</w:t>
      </w:r>
    </w:p>
    <w:p>
      <w:pPr>
        <w:keepNext/>
        <w:pBdr>
          <w:bottom w:val="single" w:color="1B365D" w:sz="6"/>
        </w:pBdr>
        <w:spacing w:after="180" w:before="360"/>
      </w:pPr>
      <w:r>
        <w:rPr>
          <w:b/>
          <w:bCs/>
          <w:color w:val="1B365D"/>
          <w:sz w:val="26"/>
          <w:szCs w:val="26"/>
        </w:rPr>
        <w:t xml:space="preserve">2. Recommended Portfolio</w:t>
      </w:r>
    </w:p>
    <w:p>
      <w:pPr>
        <w:spacing w:after="60"/>
      </w:pPr>
      <w:r>
        <w:rPr>
          <w:b/>
          <w:bCs/>
          <w:i w:val="false"/>
          <w:iCs w:val="false"/>
          <w:sz w:val="22"/>
          <w:szCs w:val="22"/>
        </w:rPr>
        <w:t xml:space="preserve">Cartera recomendada, en orden estratégico.</w:t>
      </w:r>
    </w:p>
    <w:p>
      <w:pPr>
        <w:spacing w:after="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1. </w:t>
      </w:r>
      <w:r>
        <w:rPr>
          <w:b/>
          <w:bCs/>
          <w:i w:val="false"/>
          <w:iCs w:val="false"/>
          <w:sz w:val="22"/>
          <w:szCs w:val="22"/>
        </w:rPr>
        <w:t xml:space="preserve">Corporación de Aceros Arequipa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 — Hero confidencial: due diligence integral y proceso de puja para la adquisición directa del 80% de una destacada empresa manufacturera internacional y la adquisición indirecta de subsidiarias en Costa Rica, Ecuador, Venezuela y Colombia; resolución de la fusión en curso de la filial venezolana. Pedro I. Sosa Mendoza lidera el mandato.</w:t>
      </w:r>
    </w:p>
    <w:p>
      <w:pPr>
        <w:spacing w:after="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2. </w:t>
      </w:r>
      <w:r>
        <w:rPr>
          <w:b/>
          <w:bCs/>
          <w:i w:val="false"/>
          <w:iCs w:val="false"/>
          <w:sz w:val="22"/>
          <w:szCs w:val="22"/>
        </w:rPr>
        <w:t xml:space="preserve">Gruppo Montenegro (Montenegro S.r.l.)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 — Adquisición completada de la marca de ron Pampero a Diageo, con implementación venezolana posterior al cierre, constitución de entidades locales y tramitación integral de permisos operativos, de producción y distribución.</w:t>
      </w:r>
    </w:p>
    <w:p>
      <w:pPr>
        <w:spacing w:after="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3. </w:t>
      </w:r>
      <w:r>
        <w:rPr>
          <w:b/>
          <w:bCs/>
          <w:i w:val="false"/>
          <w:iCs w:val="false"/>
          <w:sz w:val="22"/>
          <w:szCs w:val="22"/>
        </w:rPr>
        <w:t xml:space="preserve">Dragados, S.A.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 — Programa en curso de downsizing: liquidación de consorcios y ventas de participaciones societarias, con due diligence, negociación, ejecución y redacción de SPAs bajo el liderazgo de Manuel Reyna.</w:t>
      </w:r>
    </w:p>
    <w:p>
      <w:pPr>
        <w:spacing w:after="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4. </w:t>
      </w:r>
      <w:r>
        <w:rPr>
          <w:b/>
          <w:bCs/>
          <w:i w:val="false"/>
          <w:iCs w:val="false"/>
          <w:sz w:val="22"/>
          <w:szCs w:val="22"/>
        </w:rPr>
        <w:t xml:space="preserve">Bursagro Casa de Bolsa Agrícola, C.A.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 — Venta regulada en curso: elaboración de materiales de venta, redacción de SPA y estructuración de cuenta escrow para el precio, actualmente pendiente de autorización de la Superintendencia Nacional de Valores (SUNAVAL).</w:t>
      </w:r>
    </w:p>
    <w:p>
      <w:pPr>
        <w:spacing w:after="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5. </w:t>
      </w:r>
      <w:r>
        <w:rPr>
          <w:b/>
          <w:bCs/>
          <w:i w:val="false"/>
          <w:iCs w:val="false"/>
          <w:sz w:val="22"/>
          <w:szCs w:val="22"/>
        </w:rPr>
        <w:t xml:space="preserve">Inversiones Palmar, S.A. / Empresas PMC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 — Reestructuración de capital mediante emisión y asignación de derechos de capitalización, con análisis comercial, societario y fiscal integrado.</w:t>
      </w:r>
    </w:p>
    <w:p>
      <w:pPr>
        <w:spacing w:after="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6. </w:t>
      </w:r>
      <w:r>
        <w:rPr>
          <w:b/>
          <w:bCs/>
          <w:i w:val="false"/>
          <w:iCs w:val="false"/>
          <w:sz w:val="22"/>
          <w:szCs w:val="22"/>
        </w:rPr>
        <w:t xml:space="preserve">Sanu Corp, C.A. y Has Higiene, Agua y Saneamiento, C.A.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 — Reestructuración societaria, financiamiento corporativo y diseño de políticas de gobierno corporativo, con Federica Mena como lead partner.</w:t>
      </w:r>
    </w:p>
    <w:p>
      <w:pPr>
        <w:spacing w:after="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7. </w:t>
      </w:r>
      <w:r>
        <w:rPr>
          <w:b/>
          <w:bCs/>
          <w:i w:val="false"/>
          <w:iCs w:val="false"/>
          <w:sz w:val="22"/>
          <w:szCs w:val="22"/>
        </w:rPr>
        <w:t xml:space="preserve">Instituto de Estudios Superiores de Administración (IESA: estructura EE.UU.)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 — Diseño societario para registro y operación en Estados Unidos, análisis contractual y evaluación bajo el régimen de sanciones internacionales.</w:t>
      </w:r>
    </w:p>
    <w:p>
      <w:pPr>
        <w:spacing w:after="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8. </w:t>
      </w:r>
      <w:r>
        <w:rPr>
          <w:b/>
          <w:bCs/>
          <w:i w:val="false"/>
          <w:iCs w:val="false"/>
          <w:sz w:val="22"/>
          <w:szCs w:val="22"/>
        </w:rPr>
        <w:t xml:space="preserve">BDO Colombia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 — Establecimiento y estructuración accionarial en Venezuela; culminación exitosa de las fases de constitución y establecimiento corporativo en el país.</w:t>
      </w:r>
    </w:p>
    <w:p>
      <w:pPr>
        <w:spacing w:after="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9. </w:t>
      </w:r>
      <w:r>
        <w:rPr>
          <w:b/>
          <w:bCs/>
          <w:i w:val="false"/>
          <w:iCs w:val="false"/>
          <w:sz w:val="22"/>
          <w:szCs w:val="22"/>
        </w:rPr>
        <w:t xml:space="preserve">SUMMUS, S.A.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 — Asesoría en entrada al mercado venezolano, estructuración y negociación de operaciones comerciales transfronterizas y contratos operativos.</w:t>
      </w:r>
    </w:p>
    <w:p>
      <w:pPr>
        <w:spacing w:after="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10. </w:t>
      </w:r>
      <w:r>
        <w:rPr>
          <w:b/>
          <w:bCs/>
          <w:i w:val="false"/>
          <w:iCs w:val="false"/>
          <w:sz w:val="22"/>
          <w:szCs w:val="22"/>
        </w:rPr>
        <w:t xml:space="preserve">The Gold Stone, C.A.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 — Reestructuración y acuerdos corporativos; mediación estratégica entre accionistas que produjo acuerdos vinculantes para la continuidad operativa.</w:t>
      </w:r>
    </w:p>
    <w:p>
      <w:pPr>
        <w:spacing w:after="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11. </w:t>
      </w:r>
      <w:r>
        <w:rPr>
          <w:b/>
          <w:bCs/>
          <w:i w:val="false"/>
          <w:iCs w:val="false"/>
          <w:sz w:val="22"/>
          <w:szCs w:val="22"/>
        </w:rPr>
        <w:t xml:space="preserve">Kyndryl Venezuela, S.C.A.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 — Reorganización societaria y rediseño de gobierno corporativo en el marco de una reestructuración de operaciones en Venezuela.</w:t>
      </w:r>
    </w:p>
    <w:p>
      <w:pPr>
        <w:spacing w:after="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12. </w:t>
      </w:r>
      <w:r>
        <w:rPr>
          <w:b/>
          <w:bCs/>
          <w:i w:val="false"/>
          <w:iCs w:val="false"/>
          <w:sz w:val="22"/>
          <w:szCs w:val="22"/>
        </w:rPr>
        <w:t xml:space="preserve">GMAC de Venezuela, C.A.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 — Proceso de wind-down corporativo, financiamiento de vehículos y venta de activos inmobiliarios.</w:t>
      </w:r>
    </w:p>
    <w:p>
      <w:pPr>
        <w:spacing w:after="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13. </w:t>
      </w:r>
      <w:r>
        <w:rPr>
          <w:b/>
          <w:bCs/>
          <w:i w:val="false"/>
          <w:iCs w:val="false"/>
          <w:sz w:val="22"/>
          <w:szCs w:val="22"/>
        </w:rPr>
        <w:t xml:space="preserve">Instituto de Estudios Superiores de Administración (IESA: regional)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 — Diseño de arquitectura societaria para filiales regionales y negociación de alianzas estratégicas internacionales.</w:t>
      </w:r>
    </w:p>
    <w:p>
      <w:pPr>
        <w:spacing w:after="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14. </w:t>
      </w:r>
      <w:r>
        <w:rPr>
          <w:b/>
          <w:bCs/>
          <w:i w:val="false"/>
          <w:iCs w:val="false"/>
          <w:sz w:val="22"/>
          <w:szCs w:val="22"/>
        </w:rPr>
        <w:t xml:space="preserve">Domi Investment Inc.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 — Negociación de participación en la compañía titular de la master franchise de Domino’s Pizza en Santa Lucía.</w:t>
      </w:r>
    </w:p>
    <w:p>
      <w:pPr>
        <w:spacing w:after="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15. </w:t>
      </w:r>
      <w:r>
        <w:rPr>
          <w:b/>
          <w:bCs/>
          <w:i w:val="false"/>
          <w:iCs w:val="false"/>
          <w:sz w:val="22"/>
          <w:szCs w:val="22"/>
        </w:rPr>
        <w:t xml:space="preserve">Maute LLC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 — Negociación continuada entre propietarios y acuerdos para el uso conjunto y protección de la marca “La Llanada”.</w:t>
      </w:r>
    </w:p>
    <w:p>
      <w:pPr>
        <w:spacing w:after="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16. </w:t>
      </w:r>
      <w:r>
        <w:rPr>
          <w:b/>
          <w:bCs/>
          <w:i w:val="false"/>
          <w:iCs w:val="false"/>
          <w:sz w:val="22"/>
          <w:szCs w:val="22"/>
        </w:rPr>
        <w:t xml:space="preserve">Sedgwick International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 — Proceso de wind-down venezolano: terminaciones contractuales, laborales y gestiones de cierre ante la Superintendencia de la Actividad Aseguradora.</w:t>
      </w:r>
    </w:p>
    <w:p>
      <w:pPr>
        <w:spacing w:after="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17. </w:t>
      </w:r>
      <w:r>
        <w:rPr>
          <w:b/>
          <w:bCs/>
          <w:i w:val="false"/>
          <w:iCs w:val="false"/>
          <w:sz w:val="22"/>
          <w:szCs w:val="22"/>
        </w:rPr>
        <w:t xml:space="preserve">Tomás Sanabria y Ricardo Sanabria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 — Creación de sociedad especializada en gestión de aeronaves privadas y redacción de acuerdo de accionistas con reglas de gobernanza, capital y salidas obligatorias.</w:t>
      </w:r>
    </w:p>
    <w:p>
      <w:pPr>
        <w:spacing w:after="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18. </w:t>
      </w:r>
      <w:r>
        <w:rPr>
          <w:b/>
          <w:bCs/>
          <w:i w:val="false"/>
          <w:iCs w:val="false"/>
          <w:sz w:val="22"/>
          <w:szCs w:val="22"/>
        </w:rPr>
        <w:t xml:space="preserve">Tomás Sanabria (Alianza de Telemedicina)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 — Asesoría en la negociación estratégica de un acuerdo de alianza con Fe y Alegría para la prestación de servicios de telemedicina en zonas remotas de Venezuela y América Latina; negociación liderada por Juan José Figueroa.</w:t>
      </w:r>
    </w:p>
    <w:p>
      <w:pPr>
        <w:spacing w:after="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La cartera seleccionada de 18 asuntos conforma una única fuente de verdad, estructurando un equilibrio entre transacciones cerradas, implementaciones en curso y gobierno corporativo.</w:t>
      </w:r>
    </w:p>
    <w:p>
      <w:pPr>
        <w:keepNext/>
        <w:pBdr>
          <w:bottom w:val="single" w:color="1B365D" w:sz="6"/>
        </w:pBdr>
        <w:spacing w:after="180" w:before="360"/>
      </w:pPr>
      <w:r>
        <w:rPr>
          <w:b/>
          <w:bCs/>
          <w:color w:val="1B365D"/>
          <w:sz w:val="26"/>
          <w:szCs w:val="26"/>
        </w:rPr>
        <w:t xml:space="preserve">3. Individual Ranking Strategy</w:t>
      </w:r>
    </w:p>
    <w:p>
      <w:pPr>
        <w:spacing w:after="60"/>
      </w:pPr>
      <w:r>
        <w:rPr>
          <w:b/>
          <w:bCs/>
          <w:i w:val="false"/>
          <w:iCs w:val="false"/>
          <w:sz w:val="22"/>
          <w:szCs w:val="22"/>
        </w:rPr>
        <w:t xml:space="preserve">Liderazgo y Estrategia Individual.</w:t>
      </w:r>
    </w:p>
    <w:p>
      <w:pPr>
        <w:spacing w:after="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La evaluación individual se fundamenta estrictamente en la especialización profesional y la atribución personal en los mandatos seleccionados de Corporate/M&amp;A:</w:t>
      </w:r>
    </w:p>
    <w:p>
      <w:pPr>
        <w:spacing w:after="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1. </w:t>
      </w:r>
      <w:r>
        <w:rPr>
          <w:b/>
          <w:bCs/>
          <w:i w:val="false"/>
          <w:iCs w:val="false"/>
          <w:sz w:val="22"/>
          <w:szCs w:val="22"/>
        </w:rPr>
        <w:t xml:space="preserve">Pedro I. Sosa Mendoza (Partner - Corporate/M&amp;A)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: Socio líder indiscutido del departamento y director del Hero Matter (Aceros Arequipa). Lidera adquisiciones mayoritarias transfronterizas, reorganizaciones de capital y gobierno societario. Debe presentarse con el máximo respaldo institucional para consolidar su banda individual.</w:t>
      </w:r>
    </w:p>
    <w:p>
      <w:pPr>
        <w:spacing w:after="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2. </w:t>
      </w:r>
      <w:r>
        <w:rPr>
          <w:b/>
          <w:bCs/>
          <w:i w:val="false"/>
          <w:iCs w:val="false"/>
          <w:sz w:val="22"/>
          <w:szCs w:val="22"/>
        </w:rPr>
        <w:t xml:space="preserve">Manuel Reyna (Partner - Corporate/M&amp;A)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: Socio de amplia trayectoria, líder en la adquisición de Pampero y en el programa de desinversión de Dragados. Su perfil combina experiencia transaccional internacional con ejecución corporativa local.</w:t>
      </w:r>
    </w:p>
    <w:p>
      <w:pPr>
        <w:spacing w:after="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3. </w:t>
      </w:r>
      <w:r>
        <w:rPr>
          <w:b/>
          <w:bCs/>
          <w:i w:val="false"/>
          <w:iCs w:val="false"/>
          <w:sz w:val="22"/>
          <w:szCs w:val="22"/>
        </w:rPr>
        <w:t xml:space="preserve">Gustavo J. Reyna (Partner - Corporate/M&amp;A)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: Socio clave en reestructuraciones accionarias complejas y operaciones transfronterizas.</w:t>
      </w:r>
    </w:p>
    <w:p>
      <w:pPr>
        <w:spacing w:after="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4. </w:t>
      </w:r>
      <w:r>
        <w:rPr>
          <w:b/>
          <w:bCs/>
          <w:i w:val="false"/>
          <w:iCs w:val="false"/>
          <w:sz w:val="22"/>
          <w:szCs w:val="22"/>
        </w:rPr>
        <w:t xml:space="preserve">Juan José Figueroa (Senior Partner - Corporate/M&amp;A)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: Candidato prioritario para fortalecimiento y reconocimiento individual (Banda 3 / Up and Coming). Lidera mandatos de alta sofisticación societaria: acuerdos de accionistas (Tomás Sanabria), resolución de conflictos entre socios (The Gold Stone, Maute LLC), venta regulada ante SUNAVAL (Bursagro) y la alianza de telemedicina con Fe y Alegría.</w:t>
      </w:r>
    </w:p>
    <w:p>
      <w:pPr>
        <w:spacing w:after="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5. </w:t>
      </w:r>
      <w:r>
        <w:rPr>
          <w:b/>
          <w:bCs/>
          <w:i w:val="false"/>
          <w:iCs w:val="false"/>
          <w:sz w:val="22"/>
          <w:szCs w:val="22"/>
        </w:rPr>
        <w:t xml:space="preserve">Federica Mena (Partner - Corporate/M&amp;A)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: Socia en ascenso de alto impacto (candidata a Up and Coming). Demuestra liderazgo directo y personal en financiamientos societarios (Sanu Corp / HAS), reestructuraciones corporativas y procesos de wind-down regulado (Sedgwick), además del diseño de franquicias (Bitesccs).</w:t>
      </w:r>
    </w:p>
    <w:p>
      <w:pPr>
        <w:spacing w:after="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6. </w:t>
      </w:r>
      <w:r>
        <w:rPr>
          <w:b/>
          <w:bCs/>
          <w:i w:val="false"/>
          <w:iCs w:val="false"/>
          <w:sz w:val="22"/>
          <w:szCs w:val="22"/>
        </w:rPr>
        <w:t xml:space="preserve">María Carolina Cano (Partner - Especialista en Tax / Derecho Tributario)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b/>
          <w:bCs/>
          <w:i w:val="false"/>
          <w:iCs w:val="false"/>
          <w:sz w:val="22"/>
          <w:szCs w:val="22"/>
        </w:rPr>
        <w:t xml:space="preserve">Distinción Editorial Clave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: María Carolina es una socia de primer nivel en Derecho Tributario. Su participación en mandatos corporativos (adquisición de Pampero, entrada al mercado y estructuración de capital) constituye soporte fiscal multidisciplinario especializado en M&amp;A. No califica ni debe postularse para un ranking individual en Corporate/M&amp;A, debiendo canalizarse su postulación individual en la práctica de Tax para garantizar su competitividad y evitar objeciones técnicas de los investigadores de Chambers.</w:t>
      </w:r>
    </w:p>
    <w:p>
      <w:pPr>
        <w:spacing w:after="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7. </w:t>
      </w:r>
      <w:r>
        <w:rPr>
          <w:b/>
          <w:bCs/>
          <w:i w:val="false"/>
          <w:iCs w:val="false"/>
          <w:sz w:val="22"/>
          <w:szCs w:val="22"/>
        </w:rPr>
        <w:t xml:space="preserve">Loriane Damian y Estefanía Lizardo (Associates)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: Asociadas con sólida participación en equipos de ejecución (due diligence, constituciones, contratos y autorizaciones regulatorias), en etapa de desarrollo profesional para futuras postulaciones.</w:t>
      </w:r>
    </w:p>
    <w:p>
      <w:pPr>
        <w:keepNext/>
        <w:pBdr>
          <w:bottom w:val="single" w:color="1B365D" w:sz="6"/>
        </w:pBdr>
        <w:spacing w:after="180" w:before="360"/>
      </w:pPr>
      <w:r>
        <w:rPr>
          <w:b/>
          <w:bCs/>
          <w:color w:val="1B365D"/>
          <w:sz w:val="26"/>
          <w:szCs w:val="26"/>
        </w:rPr>
        <w:t xml:space="preserve">4. Key Exclusions / Reserves</w:t>
      </w:r>
    </w:p>
    <w:p>
      <w:pPr>
        <w:spacing w:after="60"/>
      </w:pPr>
      <w:r>
        <w:rPr>
          <w:b/>
          <w:bCs/>
          <w:i w:val="false"/>
          <w:iCs w:val="false"/>
          <w:sz w:val="22"/>
          <w:szCs w:val="22"/>
        </w:rPr>
        <w:t xml:space="preserve">Reservas y exclusiones comparativas.</w:t>
      </w:r>
    </w:p>
    <w:p>
      <w:pPr>
        <w:spacing w:after="60"/>
      </w:pPr>
      <w:r>
        <w:rPr>
          <w:b/>
          <w:bCs/>
          <w:i w:val="false"/>
          <w:iCs w:val="false"/>
          <w:sz w:val="22"/>
          <w:szCs w:val="22"/>
        </w:rPr>
        <w:t xml:space="preserve">Asuntos en Reserva Condicional (Reincorporables con información adicional):</w:t>
      </w:r>
    </w:p>
    <w:p>
      <w:pPr>
        <w:spacing w:after="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1. </w:t>
      </w:r>
      <w:r>
        <w:rPr>
          <w:b/>
          <w:bCs/>
          <w:i w:val="false"/>
          <w:iCs w:val="false"/>
          <w:sz w:val="22"/>
          <w:szCs w:val="22"/>
        </w:rPr>
        <w:t xml:space="preserve">Bitesccs, C.A.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: Principal alternativa transaccional. Aporta a Federica Mena un liderazgo directo y la redacción de un franchise agreement para futuras franquicias; queda en reserva frente a la cartera principal por su menor complejidad transaccional relativa. Podrá reincorporarse si el cliente aporta evidencia de cierres efectivos de franquicias o montos asociados.</w:t>
      </w:r>
    </w:p>
    <w:p>
      <w:pPr>
        <w:spacing w:after="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2. </w:t>
      </w:r>
      <w:r>
        <w:rPr>
          <w:b/>
          <w:bCs/>
          <w:i w:val="false"/>
          <w:iCs w:val="false"/>
          <w:sz w:val="22"/>
          <w:szCs w:val="22"/>
        </w:rPr>
        <w:t xml:space="preserve">Aeromed Servicios Aéreos, C.A. y Aitheras Aviation Group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: Queda en reserva frente al mandato aeronáutico seleccionado de Tomás y Ricardo Sanabria. Mientras Aeromed se concentra en housekeeping societario, estados financieros y cumplimiento ante el INAC, el mandato seleccionado contiene una arquitectura de gobierno societario sustantivamente más definida (pacto de accionistas, reglas de capital y mecanismos de salida). Podrá reincorporarse si se documentan adquisiciones de aeronaves o eventos transaccionales discretos.</w:t>
      </w:r>
    </w:p>
    <w:p>
      <w:pPr>
        <w:spacing w:after="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3. </w:t>
      </w:r>
      <w:r>
        <w:rPr>
          <w:b/>
          <w:bCs/>
          <w:i w:val="false"/>
          <w:iCs w:val="false"/>
          <w:sz w:val="22"/>
          <w:szCs w:val="22"/>
        </w:rPr>
        <w:t xml:space="preserve">Dragados–Hidrocapital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: Asunto con resultado positivo (settlement y mutual release por €1.0M en junio de 2024), pero su objeto central es la resolución de una controversia contractual de obra pública con un ente estatal, no una transacción corporativa de M&amp;A. Podrá reincorporarse si se enfatiza el impacto corporativo patrimonial del acuerdo para la filial venezolana.</w:t>
      </w:r>
    </w:p>
    <w:p>
      <w:pPr>
        <w:spacing w:after="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4. </w:t>
      </w:r>
      <w:r>
        <w:rPr>
          <w:b/>
          <w:bCs/>
          <w:i w:val="false"/>
          <w:iCs w:val="false"/>
          <w:sz w:val="22"/>
          <w:szCs w:val="22"/>
        </w:rPr>
        <w:t xml:space="preserve">Dragados, S.A. (Mandato con Cuatrecasas)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: Mandato confidencial reservado por su carácter predominantemente contencioso-estratégico y por contener una restricción expresa de confidencialidad estricta ("Strictly confidential"). Podrá reincorporarse si el cliente autoriza un resumen anonimizado de sus implicaciones corporativas transfronterizas.</w:t>
      </w:r>
    </w:p>
    <w:p>
      <w:pPr>
        <w:spacing w:after="60"/>
      </w:pPr>
      <w:r>
        <w:rPr>
          <w:b/>
          <w:bCs/>
          <w:i w:val="false"/>
          <w:iCs w:val="false"/>
          <w:sz w:val="22"/>
          <w:szCs w:val="22"/>
        </w:rPr>
        <w:t xml:space="preserve">Asuntos Definitivamente Excluidos (Fuera de la categoría Corporate/M&amp;A):</w:t>
      </w:r>
    </w:p>
    <w:p>
      <w:pPr>
        <w:spacing w:after="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1. </w:t>
      </w:r>
      <w:r>
        <w:rPr>
          <w:b/>
          <w:bCs/>
          <w:i w:val="false"/>
          <w:iCs w:val="false"/>
          <w:sz w:val="22"/>
          <w:szCs w:val="22"/>
        </w:rPr>
        <w:t xml:space="preserve">Financorp Consulting, C.A. y Grupo Financorp, C.A.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: Excluido de forma definitiva por ser materialmente laboral (estrategia de retención y terminación de personal) sin contener un mecanismo societario, reorganización o transacción de M&amp;A. Corresponde a la práctica de Labour &amp; Employment.</w:t>
      </w:r>
    </w:p>
    <w:p>
      <w:pPr>
        <w:spacing w:after="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2. </w:t>
      </w:r>
      <w:r>
        <w:rPr>
          <w:b/>
          <w:bCs/>
          <w:i w:val="false"/>
          <w:iCs w:val="false"/>
          <w:sz w:val="22"/>
          <w:szCs w:val="22"/>
        </w:rPr>
        <w:t xml:space="preserve">Simmons &amp; Simmons Solutions Limited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: Excluido de forma definitiva por tratarse de un retainer de asesoría corporativa general sin una operación discreta de adquisición, venta, reorganización o gobierno corporativo.</w:t>
      </w:r>
    </w:p>
    <w:p>
      <w:pPr>
        <w:spacing w:after="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3. </w:t>
      </w:r>
      <w:r>
        <w:rPr>
          <w:b/>
          <w:bCs/>
          <w:i w:val="false"/>
          <w:iCs w:val="false"/>
          <w:sz w:val="22"/>
          <w:szCs w:val="22"/>
        </w:rPr>
        <w:t xml:space="preserve">Cámara Venezolana de la Construcción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: Excluido de forma definitiva al constituir asesoría gremial, institucional y de cumplimiento normativo general, ajena a la práctica transaccional de Corporate/M&amp;A.</w:t>
      </w:r>
    </w:p>
    <w:p>
      <w:pPr>
        <w:keepNext/>
        <w:pBdr>
          <w:bottom w:val="single" w:color="1B365D" w:sz="6"/>
        </w:pBdr>
        <w:spacing w:after="180" w:before="360"/>
      </w:pPr>
      <w:r>
        <w:rPr>
          <w:b/>
          <w:bCs/>
          <w:color w:val="1B365D"/>
          <w:sz w:val="26"/>
          <w:szCs w:val="26"/>
        </w:rPr>
        <w:t xml:space="preserve">5. Actions Before Filing</w:t>
      </w:r>
    </w:p>
    <w:p>
      <w:pPr>
        <w:spacing w:after="60"/>
      </w:pPr>
      <w:r>
        <w:rPr>
          <w:b/>
          <w:bCs/>
          <w:i w:val="false"/>
          <w:iCs w:val="false"/>
          <w:sz w:val="22"/>
          <w:szCs w:val="22"/>
        </w:rPr>
        <w:t xml:space="preserve">Próximos Pasos y Preguntas Adaptativas Específicas.</w:t>
      </w:r>
    </w:p>
    <w:p>
      <w:pPr>
        <w:spacing w:after="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Para transformar la información preliminar en narrativas de máxima solidez probatoria, se formulan las siguientes 5 preguntas específicas adaptadas a los asuntos clave:</w:t>
      </w:r>
    </w:p>
    <w:p>
      <w:pPr>
        <w:spacing w:after="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1. </w:t>
      </w:r>
      <w:r>
        <w:rPr>
          <w:b/>
          <w:bCs/>
          <w:i w:val="false"/>
          <w:iCs w:val="false"/>
          <w:sz w:val="22"/>
          <w:szCs w:val="22"/>
        </w:rPr>
        <w:t xml:space="preserve">Corporación de Aceros Arequipa (Hero Matter)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:</w:t>
      </w:r>
    </w:p>
    <w:p>
      <w:pPr>
        <w:spacing w:after="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   - </w:t>
      </w:r>
      <w:r>
        <w:rPr>
          <w:b w:val="false"/>
          <w:bCs w:val="false"/>
          <w:i/>
          <w:iCs/>
          <w:sz w:val="22"/>
          <w:szCs w:val="22"/>
        </w:rPr>
        <w:t xml:space="preserve">Objetivo y Estado Formal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: ¿Qué hito formal representó agosto de 2024 (cierre definitivo, firma del SPA o cumplimiento de condiciones precedentes)? ¿Cuál fue el mecanismo societario concreto mediante el cual se resolvió la fusión en curso de la filial venezolana para permitir la adquisición del 80%?</w:t>
      </w:r>
    </w:p>
    <w:p>
      <w:pPr>
        <w:spacing w:after="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2. </w:t>
      </w:r>
      <w:r>
        <w:rPr>
          <w:b/>
          <w:bCs/>
          <w:i w:val="false"/>
          <w:iCs w:val="false"/>
          <w:sz w:val="22"/>
          <w:szCs w:val="22"/>
        </w:rPr>
        <w:t xml:space="preserve">Gruppo Montenegro (Adquisición de Pampero)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:</w:t>
      </w:r>
    </w:p>
    <w:p>
      <w:pPr>
        <w:spacing w:after="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   - </w:t>
      </w:r>
      <w:r>
        <w:rPr>
          <w:b w:val="false"/>
          <w:bCs w:val="false"/>
          <w:i/>
          <w:iCs/>
          <w:sz w:val="22"/>
          <w:szCs w:val="22"/>
        </w:rPr>
        <w:t xml:space="preserve">Complejidad y Solución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: ¿Qué obstáculos regulatorios o societarios específicos enfrentó AraqueReyna para la incorporación de la nueva entidad venezolana y la transferencia de licencias de producción y distribución de licores? ¿Cómo se coordinó la distribución de trabajo con DLA Piper Italia?</w:t>
      </w:r>
    </w:p>
    <w:p>
      <w:pPr>
        <w:spacing w:after="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3. </w:t>
      </w:r>
      <w:r>
        <w:rPr>
          <w:b/>
          <w:bCs/>
          <w:i w:val="false"/>
          <w:iCs w:val="false"/>
          <w:sz w:val="22"/>
          <w:szCs w:val="22"/>
        </w:rPr>
        <w:t xml:space="preserve">BDO Colombia (Establecimiento en Venezuela)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:</w:t>
      </w:r>
    </w:p>
    <w:p>
      <w:pPr>
        <w:spacing w:after="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   - </w:t>
      </w:r>
      <w:r>
        <w:rPr>
          <w:b w:val="false"/>
          <w:bCs w:val="false"/>
          <w:i/>
          <w:iCs/>
          <w:sz w:val="22"/>
          <w:szCs w:val="22"/>
        </w:rPr>
        <w:t xml:space="preserve">Mecanismo Societario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: ¿Qué arquitectura corporativa y de mitigación de contingencias transfronterizas se diseñó para el establecimiento del negocio en Venezuela, y qué pasos adicionales restan para el cierre total del mandato?</w:t>
      </w:r>
    </w:p>
    <w:p>
      <w:pPr>
        <w:spacing w:after="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4. </w:t>
      </w:r>
      <w:r>
        <w:rPr>
          <w:b/>
          <w:bCs/>
          <w:i w:val="false"/>
          <w:iCs w:val="false"/>
          <w:sz w:val="22"/>
          <w:szCs w:val="22"/>
        </w:rPr>
        <w:t xml:space="preserve">Tomás Sanabria (Alianza de Telemedicina con Fe y Alegría)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:</w:t>
      </w:r>
    </w:p>
    <w:p>
      <w:pPr>
        <w:spacing w:after="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   - </w:t>
      </w:r>
      <w:r>
        <w:rPr>
          <w:b w:val="false"/>
          <w:bCs w:val="false"/>
          <w:i/>
          <w:iCs/>
          <w:sz w:val="22"/>
          <w:szCs w:val="22"/>
        </w:rPr>
        <w:t xml:space="preserve">Estructura y Resultados 2024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: ¿Qué compromisos de gobernanza y prestación de servicios se acordaron con Fe y Alegría y qué avance formal se alcanzó durante las negociaciones de 2024?</w:t>
      </w:r>
    </w:p>
    <w:p>
      <w:pPr>
        <w:spacing w:after="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5. </w:t>
      </w:r>
      <w:r>
        <w:rPr>
          <w:b/>
          <w:bCs/>
          <w:i w:val="false"/>
          <w:iCs w:val="false"/>
          <w:sz w:val="22"/>
          <w:szCs w:val="22"/>
        </w:rPr>
        <w:t xml:space="preserve">Bursagro Casa de Bolsa Agrícola (Venta Regulada)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:</w:t>
      </w:r>
    </w:p>
    <w:p>
      <w:pPr>
        <w:spacing w:after="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   - </w:t>
      </w:r>
      <w:r>
        <w:rPr>
          <w:b w:val="false"/>
          <w:bCs w:val="false"/>
          <w:i/>
          <w:iCs/>
          <w:sz w:val="22"/>
          <w:szCs w:val="22"/>
        </w:rPr>
        <w:t xml:space="preserve">Regulación y Escrow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: ¿Cuáles son los requerimientos normativos clave pendientes ante SUNAVAL y qué contingencias comerciales motivaron la constitución del fideicomiso/escrow sobre el precio de venta?</w:t>
      </w:r>
    </w:p>
    <w:p>
      <w:pPr>
        <w:spacing w:after="60"/>
      </w:pPr>
      <w:r>
        <w:rPr>
          <w:b/>
          <w:bCs/>
          <w:i w:val="false"/>
          <w:iCs w:val="false"/>
          <w:sz w:val="22"/>
          <w:szCs w:val="22"/>
        </w:rPr>
        <w:t xml:space="preserve">Acción Institucional en Abogados:</w:t>
      </w:r>
    </w:p>
    <w:p>
      <w:pPr>
        <w:spacing w:after="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Confirmar la postulación individual en Corporate/M&amp;A para Juan José Figueroa y Federica Mena, recabando referencias de clientes que puedan testificar sobre su liderazgo directo. Excluir a María Carolina Cano de la postulación individual de Corporate/M&amp;A y coordinar su presentación en la sección de Tax.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RankPilot Strategic Audit - ARAQUEREYNA</dc:title>
  <dc:creator>RankPilot</dc:creator>
  <cp:lastModifiedBy>Un-named</cp:lastModifiedBy>
  <cp:revision>1</cp:revision>
  <dcterms:created xsi:type="dcterms:W3CDTF">2026-10-20T23:16:34.250Z</dcterms:created>
  <dcterms:modified xsi:type="dcterms:W3CDTF">2026-10-20T23:16:34.250Z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