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no debe limitarse a identificar “quién aparece en el submission”. Debe evaluar si cada abogado/a tiene suficiente evidencia para sostener una candidatura individual, mantener su posición, subir, bajar o simplemente aparecer como parte relevante del equipo.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además —y esto es extremadamente importante— el sistema debe entender que los rankings individuales afectan directamente el ranking institucional de la firma.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firmas NO son evaluadas aisladas de sus abogados.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firmas SON la suma de sus abogados.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Chambers, Legal 500, IFLR y Leaders League utilizan la fortaleza individual del equipo (“bench strength”) como una de las señales más importantes para determinar: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promociones,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mantenimiento,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degradaciones,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estabilidad,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sofisticación,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 institucional,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sostenibilidad de la práctica.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cambia muchísimo la lógica del producto.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basta con detectar: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buenos matters,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buenos clientes,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buen lenguaje.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entender: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se distribuye el liderazgo,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genera capital reputacional,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existe profundidad de equipo,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segunda línea,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asociados/counsels visibles,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existe sucesión,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si la práctica parece institucionalmente sólida.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firma con: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solo socio estrella,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pero sin bench depth,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asociados visibles,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liderazgo distribuido,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nueva generación,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verse MÁS débil que una firma con: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varios socios sólidos,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counsel visibles,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stars,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narrativa de equipo consistente.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la segunda parece una plataforma institucional real.</w:t>
        <w:br w:type="textWrapping"/>
        <w:t xml:space="preserve">La primera parece un “one-man show”.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eso afecta muchísimo la percepción del researcher.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RankPilot debe pensar simultáneamente en dos capas: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candidatura institucional de la firma;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candidatura individual de sus abogados.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debe ser distinta según la guía, pero hay criterios comunes.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Chambers evalúa abogados con base en elementos como capacidad técnica, conducta profesional, servicio al cliente, visión comercial, diligencia, compromiso y otros factores relevantes para los clientes. Legal 500 combina análisis cualitativo y cuantitativo, con información aportada por firmas, trabajo reciente y feedback de clientes. IFLR1000 se enfoca principalmente en trabajo financiero y corporativo transaccional. Leaders League valora naturaleza, complejidad, tamaño, volumen, innovación y calidad de los matters, además de reputación, equipo, trayectoria de socios y prestigio/diversidad de clientes.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CRITERIO BASE PARA CUALQUIER RANKING INDIVIDUAL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evaluar a cada abogado/a bajo cinco dimensiones: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Evidencia transaccional o técnica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abogado debe estar asociado a matters concretos y relevantes. No basta decir que “tiene experiencia”. El sistema debe detectar: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cuántos matters aparece;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rol tuvo;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lideró, estructuró, negoció, coordinó o solo participó;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los asuntos son sofisticados;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los clientes son relevantes;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evidencia de complejidad técnica;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trabajo corresponde realmente al área de práctica.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RankPilot, esta es la capa más importante.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Rol real dentro del matter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abogados que aparecen en un asunto tienen el mismo peso.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distinguir entre: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partner: máxima relevancia.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Co-lead / strategic partner: muy relevante.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supporting partner: relevante si hay evidencia concreta.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associate / counsel con rol sustantivo: potencial para Associate to Watch, Rising Star o Next Generation.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listado sin rol claro: baja evidencia.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descripción del matter debe reforzar la candidatura individual.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“Fernando Eraña led the structuring of the collateral package…”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mucho más útil que: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team advised…”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además del ranking individual, esto fortalece el bench strength institucional de la práctica.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Reputación y validación externa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valorar si el abogado tiene: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actual;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rankings;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menciones en directorios;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premios;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de clientes;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reconocimiento de pares;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publicaciones o visibilidad técnica;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liderazgo institucional.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esto no debe sustituir la evidencia de trabajo. Debe complementarla.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Coherencia entre perfil y matters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verificar que el perfil del abogado dialogue con los asuntos.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Jorge Labastida se presenta como experto en structured finance, asset-backed lending y collateral packages, el sistema debe asignarle matters que prueben exactamente eso.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Fernando Eraña se presenta como fuerte en fintech, venture finance, secured lending o innovative debt structures, los matters seleccionados deben reforzar esa narrativa.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Emilio Carrillo aparece como banking/finance + regulatory + restructuring, debe tener asuntos que prueben esa combinación.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Eduardo Yrigoyen es candidato a Associate to Watch, el sistema debe mostrar que tuvo intervención sustantiva y recurrente, no meramente administrativa.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Seniority y categoría posible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sugerir una categoría realista: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Band ranking: socios con liderazgo probado, matters relevantes y reputación.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and Coming / Next Generation / Rising Star: abogados más jóvenes o en ascenso con evidencia fuerte.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to Watch / Rising Star Associate: asociados sénior o counsel con participación visible en matters relevantes.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candidate yet: si hay poca evidencia o si el rol no está claro.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CHAMBERS: LÓGICA ESPECÍFICA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Chambers suele ser la guía donde el ranking individual pesa más.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Chambers, RankPilot debe evaluar: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liderazgo real en matters;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reputación de mercado;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de clientes/referees;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técnica;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service;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awareness;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anual;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los clientes;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posición frente a competidores;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abogado es reconocido como referente en esa práctica.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clave no es solo: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“¿Este abogado trabajó en buenos matters?”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Sino: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“¿Hay suficiente evidencia para que un researcher pueda defender que esta persona merece ser reconocida individualmente?”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simultáneamente: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“¿Qué dice este abogado sobre la profundidad y estabilidad institucional de la práctica?”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Chambers mira muchísimo:</w:t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bench depth,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succession planning,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breadth,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of delivery.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práctica fuerte no puede parecer: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frágil,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dependiente de una sola persona,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sin segunda línea visible.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Chambers, RankPilot debería penalizar perfiles con: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pocos matters;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ambiguo;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referee strategy;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matters que no corresponden al área;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narrativa demasiado biográfica;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liderazgo claro.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debería promover perfiles con: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varios matters fuertes;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claro;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institucionales;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complejidad técnica;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liderazgo repetido;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 fit con la categoría;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potencial de validación por clientes.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LEGAL 500: LÓGICA ESPECÍFICA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es más editorial y permite más matices de equipo.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RankPilot debe evaluar: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el abogado lidera un área o subárea;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tiene client following;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aparece en matters estratégicos;</w:t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tiene reputación técnica;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evidencia para Leading Individual, Next Generation Partner, Rising Star o Key Lawyer.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permite destacar más abogados dentro del texto editorial, incluso si no todos son rankeables al máximo nivel.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RankPilot debería distinguir: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abogados que merecen candidatura formal;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abogados que deben aparecer como key lawyers;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abogados que deben ser reforzados en la narrativa del equipo;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abogados que todavía no tienen suficiente evidencia.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valora muchísimo la narrativa colectiva del equipo.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categorías: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Hall of Fame,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 Individuals,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Generation Partners,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Stars,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Lawyers,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ayudan a construir la percepción institucional de la práctica.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IFLR1000: LÓGICA ESPECÍFICA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IFLR es más transaccional y financiero.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ser más estricto: solo tiene sentido promover abogados cuando hay evidencia fuerte en áreas como: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Markets;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M&amp;A;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Finance;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Restructuring;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Equity;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Services Regulatory, cuando aplique.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IFLR, el abogado debe estar vinculado a operaciones: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alto valor;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complejas;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cross-border;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innovadoras;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clientes sofisticados;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rol transaccional claro.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perfil muy regulatorio, laboral, litigioso o generalista no debería ser promovido agresivamente en IFLR salvo que la categoría lo permita.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de RankPilot para IFLR debería ser: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“¿Este abogado lideró transacciones financieras/corporativas suficientemente sofisticadas como para justificar una mención individual?”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también:</w:t>
        <w:br w:type="textWrapping"/>
        <w:t xml:space="preserve">“¿Este equipo parece tener capacidad institucional real para ejecutar transacciones sofisticadas de forma consistente?”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LEADERS LEAGUE: LÓGICA ESPECÍFICA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tiende a valorar más la combinación entre: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equipo;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reputación;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volumen;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complejidad;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clientes;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trayectoria de socios;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expansión del área;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visibilidad en el mercado.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ranking individual suele estar más conectado con la posición del equipo.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debería identificar: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socios líderes;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socios emergentes;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especialistas técnicos;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abogados con client relationship importante;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abogados que fortalecen la percepción de profundidad del equipo.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Leaders League, no todo se trata del “superstar partner”.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importa muchísimo demostrar: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bench strength,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estructura,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continuidad,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profundidad institucional.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REGLA FUNCIONAL PARA RANKPILOT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debería construir para cada abogado/a una ficha interna con este scoring: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Ranking Readiness Score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Matter strength</w:t>
        <w:br w:type="textWrapping"/>
        <w:t xml:space="preserve">Qué tan fuertes son los asuntos asociados.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clarity</w:t>
        <w:br w:type="textWrapping"/>
        <w:t xml:space="preserve">Qué tan claro es su papel en cada matter.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fit</w:t>
        <w:br w:type="textWrapping"/>
        <w:t xml:space="preserve">Qué tan alineado está su trabajo con la categoría.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prestige</w:t>
        <w:br w:type="textWrapping"/>
        <w:t xml:space="preserve">Qué tan relevantes son los clientes.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sophistication</w:t>
        <w:br w:type="textWrapping"/>
        <w:t xml:space="preserve">Qué tan sofisticada es la labor jurídica.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visibility</w:t>
        <w:br w:type="textWrapping"/>
        <w:t xml:space="preserve">Si hay rankings previos, menciones, premios, publicaciones o reconocimiento.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potential</w:t>
        <w:br w:type="textWrapping"/>
        <w:t xml:space="preserve">Si hay clientes que puedan validar su trabajo.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consistency</w:t>
        <w:br w:type="textWrapping"/>
        <w:t xml:space="preserve">Si el perfil, los matters y la candidatura cuentan una historia coherente.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position</w:t>
        <w:br w:type="textWrapping"/>
        <w:t xml:space="preserve">Si, frente al mercado, tiene una candidatura realista.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overclaiming</w:t>
        <w:br w:type="textWrapping"/>
        <w:t xml:space="preserve">Si la candidatura parece demasiado agresiva para la evidencia disponible.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contribution</w:t>
        <w:br w:type="textWrapping"/>
        <w:t xml:space="preserve">Qué tanto fortalece este abogado la percepción institucional y el bench strength de la práctica.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QUÉ DEBE PRODUCIR RANKPILOT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Idealmente, el sistema debería entregar una recomendación así: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Jorge Labastida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action:</w:t>
        <w:br w:type="textWrapping"/>
        <w:t xml:space="preserve">Promote cautiously / Band 5 candidate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Rationale:</w:t>
        <w:br w:type="textWrapping"/>
        <w:t xml:space="preserve">Strong evidence in secured lending, structured finance and collateral-heavy transactions. Appears repeatedly in high-value Banking matters. Needs clearer leadership language and stronger client/referee support. Institutional value: reinforces senior structured finance capability and transactional depth within the practice.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Fernando Eraña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action:</w:t>
        <w:br w:type="textWrapping"/>
        <w:t xml:space="preserve">Strong candidate, but refine category positioning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Rationale:</w:t>
        <w:br w:type="textWrapping"/>
        <w:t xml:space="preserve">Good evidence in fintech, secured lending, venture finance and impact finance. Needs careful positioning to avoid looking too broad or insufficiently banking-focused. Institutional value: adds differentiation through fintech, impact finance and innovative financing structures.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Emilio Carrillo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action:</w:t>
        <w:br w:type="textWrapping"/>
        <w:t xml:space="preserve">Support as key partner / possible lower-band candidate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Rationale:</w:t>
        <w:br w:type="textWrapping"/>
        <w:t xml:space="preserve">Senior profile and regulatory/restructuring credentials, but needs stronger matter evidence directly tied to Banking &amp; Finance. Institutional value: contributes seniority, restructuring depth and regulatory sophistication to the broader practice.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Eduardo Yrigoyen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action:</w:t>
        <w:br w:type="textWrapping"/>
        <w:t xml:space="preserve">Associate to Watch / Rising Star style candidate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Rationale:</w:t>
        <w:br w:type="textWrapping"/>
        <w:t xml:space="preserve">Appears consistently across matters, but the submission must describe his role more actively and specifically. Institutional value: strengthens succession narrative and demonstrates emerging bench depth.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REGLA CRÍTICA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debe evitar que los abogados desaparezcan dentro de la narrativa institucional.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matter debería responder: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¿Quién lideró?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hizo exactamente?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prueba este matter sobre esa persona?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¿A qué candidatura individual ayuda?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fortalece el bench strength del equipo?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¿Debe este matter reforzar a un socio, a un asociado, o a ambos?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Porque si el sistema solo mejora los matters pero no construye capital individual y profundidad institucional:</w:t>
        <w:br w:type="textWrapping"/>
        <w:t xml:space="preserve">→ está dejando fuera una parte esencial del valor de Chambers, Legal 500, IFLR y Leaders League.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resumen: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debe pensar cada submission en dos capas simultáneas: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candidatura institucional de la firma;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la candidatura individual de sus abogados.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Porque, al final del día, el ranking institucional depende directamente de la calidad, profundidad y visibilidad del equipo que compone esa práctica.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