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ubjmwjknh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RAG —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e3g9a9hj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 clave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kxtnflu43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</w:t>
      </w:r>
      <w:r w:rsidDel="00000000" w:rsidR="00000000" w:rsidRPr="00000000">
        <w:rPr>
          <w:b w:val="1"/>
          <w:bCs w:val="1"/>
          <w:rtl w:val="0"/>
        </w:rPr>
        <w:t xml:space="preserve">ranking competitiveness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on9vnkx4b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500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</w:t>
      </w:r>
      <w:r w:rsidDel="00000000" w:rsidR="00000000" w:rsidRPr="00000000">
        <w:rPr>
          <w:b w:val="1"/>
          <w:bCs w:val="1"/>
          <w:rtl w:val="0"/>
        </w:rPr>
        <w:t xml:space="preserve">editorial defensibility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4bxc68h8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 League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</w:t>
      </w:r>
      <w:r w:rsidDel="00000000" w:rsidR="00000000" w:rsidRPr="00000000">
        <w:rPr>
          <w:b w:val="1"/>
          <w:bCs w:val="1"/>
          <w:rtl w:val="0"/>
        </w:rPr>
        <w:t xml:space="preserve">market mapping + reputational positioning por práctica/industria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dice que su research usa un ciclo de cuatro meses, con tres meses de recolección de datos y un mes para procesarlos, y se basa en varias fuentes y criterios para crear o actualizar rankings.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n9rzk0rxj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Competition RAG — lógica base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mcih92tt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¿La firma está suficientemente bien posicionada dentro del mapa competitivo de Leaders League para su práctica, país y categoría?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submission está bien armado?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fehoeqjyb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Capas del RAG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n187p4x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Practice Scope Layer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Competition/Antitrust, Leaders League lo define de forma amplia: carteles, abuso de dominancia, investigaciones internacionales, compliance y litigation support en investigaciones por prácticas anticompetitivas.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"directory": "Leaders League",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"practice": "Competition &amp; Antitrust",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"scope":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"Cartels",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"Abuse of dominance",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"International investigations",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"Compliance",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"Antitrust litigation support",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"Regulatory investigations"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svzfyt16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Ranking Table Layer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no piensa solo en “ranked / unranked”.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</w:t>
      </w:r>
      <w:r w:rsidDel="00000000" w:rsidR="00000000" w:rsidRPr="00000000">
        <w:rPr>
          <w:b w:val="1"/>
          <w:bCs w:val="1"/>
          <w:rtl w:val="0"/>
        </w:rPr>
        <w:t xml:space="preserve">clusters de mercado</w:t>
      </w:r>
      <w:r w:rsidDel="00000000" w:rsidR="00000000" w:rsidRPr="00000000">
        <w:rPr>
          <w:rtl w:val="0"/>
        </w:rPr>
        <w:t xml:space="preserve">, por ejemplo: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"ranking_bands":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"Leading",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"Excellent",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"Highly Recommended",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"Recommended",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"Valuable Practice"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RAG debe evaluar: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¿La evidencia presentada sostiene el cluster actual o permite aspirar al siguiente?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e01sz7xbm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Presence Layer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importa mucho: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visibilidad de la firma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pública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de asuntos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representativos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 de socios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sectorial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 el mercado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comparabilidad con firmas del mismo cluster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60uzuegy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Submission Evidence Layer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debe mirar si la firma prueba: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asuntos recientes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relevantes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intervención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 los socios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diferenciador de práctica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del equipo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mwpdblqa5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Positioning Diagnosis Layer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output debería decir algo como: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 firma muestra una práctica sólida en merger control y compliance, pero todavía no demuestra suficiente enforcement exposure para justificar una posición superior en Competition &amp; Antitrust frente a firmas con mayor visibilidad en carteles, abuso de dominancia e investigaciones regulatorias.”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x6xyuuazq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Leaders League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Identify country + practice + ranking table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Retrieve Leaders League scope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Map current cluster / target cluster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Classify matters by competition signal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Assess market visibility + team credibility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Compare against expected cluster strength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Generate positioning diagnosis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tqiolpjqp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Nombre interno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1ihin8tn1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RAG V1 — Market Positioning RAG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Determinar si la evidencia de la firma sostiene su posición dentro del mapa competitivo de Leaders League y qué señales faltan para subir de cluster.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