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qql7i6gi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RAG Legal 500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como copia del de Chambers.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 clave es esta: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avs7m41c6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Chambers = ranking por percepción de mercado + referencias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phr3jopza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 500 = evidencia editorial más granular + client feedback + work highlights + team depth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el RAG para Legal 500 debe tener otra lógica.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k4qyisaog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Legal 500 RAG — V1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x3fffejbv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Evaluar si una submission responde a lo que Legal 500 suele valorar: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profundidad del equipo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experiencia reciente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 representativos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highlights claros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diferenciadores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liderazgo de socios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generation / rising stars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 útiles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por práctica y jurisdicción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yoq0kzpsj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Diferencia estructural con Chambers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Chambers, RankPilot debe preguntar: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¿Esta firma merece subir o mantenerse en el ranking?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Legal 500 debe preguntar: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¿Esta firma le está dando suficiente evidencia editorial al researcher para escribir una reseña convincente y justificar el tier?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gqlzcukgq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Legal 500 RAG necesita 5 capas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sjio4ja6j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Practice Area Scope Layer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cubre cada práctica según jurisdicción.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"directory": "Legal 500",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"jurisdiction": "Mexico",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"practice_area": "Competition/Antitrust",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"scope": [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"merger control",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"cartel investigations",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"abuse of dominance",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"regulatory investigations",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"competition litigation"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n40mlyqn8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Editorial Evidence Layer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necesita el researcher para escribir bien: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"evidence_signals": [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"representative clients",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"recent mandates",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"deal/matter significance",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"team roles",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"partner leadership",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"sector expertise",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"cross-border work",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"client testimonials"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bf8ya15zz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Team Depth Layer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suele mirar mucho: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partners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generation partners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rising stars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associates destacados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de equipo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lateral hires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promociones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sucesión generacional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3kunrn0gu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Testimonial Intelligence Layer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el RAG debe evaluar si los quotes: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son específicos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respaldan diferenciadores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hablan de servicio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hablan de expertise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nombran abogados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son genéricos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ovotthr89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Editorial Output Layer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produce reseñas narrativas. Entonces el RAG debe preguntar: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¿Con esta información se puede escribir una reseña fuerte?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v8qzio6w8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Legal 500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Identify jurisdiction + practice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Retrieve Legal 500 scope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Classify work highlights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Assess editorial evidence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Assess team depth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Assess testimonial strength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Generate tier-readiness diagnosis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8xv54o2tv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 gran cambio de lógica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Chambers: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Ranking competitiveness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Legal 500: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Editorial defensibility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es la frase clave.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9wnf92fd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Legal 500 RAG V1 — nombre interno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ayinzafm0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Editorial Evidence RAG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Función: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Determinar si la submission contiene suficiente evidencia concreta, diferenciada y editorialmente útil para sostener o mejorar un tier en Legal 500.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