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7gkked2l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RankPilot — Corporate/M&amp;A RAG Matrix v0.1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6pbpozr4c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PRACTICE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Corporate/M&amp;A covers: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acquisitions;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dispositions;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mergers;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ventures;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capitalisations;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formation;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operating/shareholder agreements;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matters;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restructurings;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reorganisations;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commercial expansion;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financing arrangements tied to the transaction.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matter may appear across multiple practice areas if the editorial focus changes materially.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Corporate/M&amp;A analysis focuses primarily on: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transaction execution;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buyer/seller representation;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complexity;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architecture;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implications;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strategy;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positioning;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sophistication.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i18fws87g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CORE EDITORIAL PRINCIPLE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Corporate/M&amp;A rankings do NOT reward volume alone.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prioritize: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relevance;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sophistication;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visibility;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perception;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complexity;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prestige;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leadership;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competitive impact.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psk2vcbe0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DEAL SOPHISTICATION MODEL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2joxf92v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highly rankable deal typically combines: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economically significant transaction;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or strategic client;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counterparties;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market expansion;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or technically complex industry;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risk;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possibility of deal failure;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uncertainty;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coordination;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negotiation structure;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legal engineering;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or highly specialised legal team;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star partners;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associate coordination.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st22l2bq7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lower-tier / routine deal typically involves: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value;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execution risk;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straightforward due diligence;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structure;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execution timeline;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negotiation complexity;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legal teams;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regulatory exposure;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 strategic market impact.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h8uqbnudl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DEAL WEIGHTING HIERARCHY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prioritize Corporate/M&amp;A matters in this order: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u82rl1f5t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Client profile &amp; market visibility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leadership;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reputation;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importance;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relevance;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regional/global visibility.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q47rb36t5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of the firm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counsel;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buyer-side;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seller-side;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architect;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leadership;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leadership.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16ruptpyw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Complexity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regulatory;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structural;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governance;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political;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institutional;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cross-border;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financing-related;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difficulty.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yagsd82zz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Economic value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size;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accumulated value band;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market significance.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 Deal value alone should never determine sophistication.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bywpuua9x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JURISDICTIONAL SOPHISTICATION RULE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Cross-border capability is an important sophistication signal, but sophistication must be evaluated relative to market context.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domestic deal may still qualify as highly sophisticated if it involves: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regulatory environments;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complexity;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negotiation;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ownership structures;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distressed assets;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reorganisations;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entry barriers;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 structures;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regulation;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execution environments.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xainwejwv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MID-MARKET PREMIUM RULE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mid-market matter may deserve premium positioning if it includes: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sophisticated regulatory issues;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market entry;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licensing complexity;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industries;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 or distressed acquisitions;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processes;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execution risk;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negotiations;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governance structures;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financing architecture.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prioritize:</w:t>
        <w:br w:type="textWrapping"/>
        <w:t xml:space="preserve"> “complexity narrative”</w:t>
        <w:br w:type="textWrapping"/>
        <w:t xml:space="preserve"> over:</w:t>
        <w:br w:type="textWrapping"/>
        <w:t xml:space="preserve"> “deal size narrative”</w:t>
        <w:br w:type="textWrapping"/>
        <w:t xml:space="preserve"> when appropriate.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0fstnjd2i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CROSS-PRACTICE REUSABILITY RULE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matter may appear in multiple submissions.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changes is: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framing;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prioritization;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interpretation;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visibility;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 lens.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zys0od8vf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Corporate/M&amp;A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execution;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acquisition/disposition;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expansion.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h7399tmsz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&amp; Finance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financing structure;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architecture;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lenders/borrowers;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syndication;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collateral;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refinancing.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n93df37a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merger clearance;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concentration;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antitrust approval;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review.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0mq5icegz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/ Infrastructure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sector transformation;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assets;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concessions;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framework.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752u18l9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Disputes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shareholder disputes;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post-M&amp;A conflict;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indemnities;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rfi2l9hq0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INDIVIDUAL RANKING LAYER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Corporate/M&amp;A is NOT only an institutional ranking exercise.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identify: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partner;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partner;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partner;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negotiators;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senior lawyers;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next-generation talent.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submission must connect matters to identifiable lawyer leadership.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signal:</w:t>
        <w:br w:type="textWrapping"/>
        <w:t xml:space="preserve"> “the firm advised…”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signal:</w:t>
        <w:br w:type="textWrapping"/>
        <w:t xml:space="preserve"> Named lawyers with visible strategic ownership.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cc40fc7q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FIRM ARCHETYPE MODEL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qwje8ozhf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High-End Firm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 partners;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market perception;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institutional clients;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sophisticated matters;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transactions;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succession generation;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leadership;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market-defining work.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mv1xzguqf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Mid-Market Firm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ex-elite lawyers;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but lower-ticket matters;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structures;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growth potential;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pricing;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niche positioning.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9vywxzyrc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Emerging Boutique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specialist ex-biglaw founders;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premium expertise;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single-practice dominance;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market momentum;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technical sophistication in narrow fields.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5xq7j917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Generalist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 service capability;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weaker differentiation;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client base;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strategic positioning;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tangential deal roles;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visibility;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market leadership.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59izxrvs8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STRATEGIC TRAJECTORY MODEL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uix0mx2l9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Strategy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strongest matters only;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recognisable clients;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credibility;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differentiation;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leadership.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f7w7p6qoj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 Strategy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 from previous years;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 increase;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market position;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matters;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lawyer visibility.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og3gtix6d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Consolidation Strategy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consistency;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continuity;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client trust;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sophistication;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leadership.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87khv8snj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Strategy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retained capability;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clients;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rebuilding narrative;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resilience;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repositioning.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wu0tx60qb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COMPETITIVE SHIFT EVENTS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identify: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lateral hires;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acquisitions;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mergers;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integrations;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expansions;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launches;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migrations.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simple “team updates”.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6f8ibke6d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repositioning events.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submission should: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amplify them;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them to matters;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immediate impact;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reposition market perception.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yljbgp6mo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XII. CONFIDENTIAL MATTER RULES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name;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value;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counterparties;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advisers</w:t>
        <w:br w:type="textWrapping"/>
        <w:t xml:space="preserve"> cannot be disclosed,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submission must compensate with: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significance;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profile description;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value band;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importance;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explanation;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impact;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challenges;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description;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leadership visibility.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Confidentiality cannot eliminate context.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1tk1l84rn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XIII. COMMON SUBMISSION FAILURES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detect: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differentiation;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internal information;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political/internal bias in matter selection;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documentation;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strategic positioning;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visibility strategy;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matter descriptions;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of matters without narrative;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overreliance on volume;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individual lawyer visibility;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ambiguity;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adjectives without evidence.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ov03rcpox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XIV. DIRECTORY-SPECIFIC REASONING OVERLAYS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wrjtxvr3y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Overlay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prestige;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sophistication;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standing;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referees;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matters;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visibility;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iupp714yz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Overlay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taxonomy precision;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purity;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segmentation;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 qualification;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discipline.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s3tpf6or4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Overlay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engineering;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sophistication;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architecture;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innovation;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structures;</w:t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financing;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finance logic.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tojckd3zn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Overlay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ecosystem visibility;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influence;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expansion;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differentiation;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ecosystem reputation;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validation;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perception.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sn1d2pyum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XV. CORE RAG PHILOSOPHY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not behave like: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summarizer;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drafting assistant;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generic legal AI.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behave like: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qncff43ng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strategic editorial ranking intelligence engine.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only to generate text.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is: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w44rbyoal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 operationalize expert editorial judgment into reusable contextual logic.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