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96tgqkdm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Multi-ranking intelligence layer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500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 League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IFLR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…leen disputes de forma distinta.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es oro para RankPilot.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01qzrhjuc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PRINCIPIO FUNDAMENTAL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matter puede ser: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excelente para Chambers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😐 mediocre para Legal 500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irrelevante para IFLR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muy fuerte para Leaders League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kupk7z03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Entonces: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82r9ih6vc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RAG debe tener una capa: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Ranking Body Logic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guide = Chambers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apply Chambers weighting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guide = Legal 500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apply Legal 500 logic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guide = IFLR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prioritize finance-linked disputes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guide = Leaders League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prioritize visibility / market perception / sector reputation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bq5ume2ak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DISPUTES RAG — LEGAL 500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b99s7w2dx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 clave vs Chambers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500 suele ser: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narrativa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inclusiva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rígida en taxonomía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receptiva a “full service disputes”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abierta a mixed submissions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Chambers: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segmenta más agresivamente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penaliza category mismatch más fuerte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sqcwf4l0k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RAG Legal 500 debe: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7b4krmgm2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 MENOS excluyente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gn7cicae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Arbitration in Commercial Litigation = weighting risk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tyjkmsyps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500: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Arbitration may still reinforce broader disputes capability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t334o9nhl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privilegia más: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k4n6c0hs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Breadth of practice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disputes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…pueden convivir mejor.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klhiv91jw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privilegia: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1go7d84d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Client relationship depth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d9fax5snm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Team depth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mdsi7tydy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Responsiveness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xy3cwx19x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Commerciality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3a4k3zazm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Sector integration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 más que Chambers.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im5fib1y9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RAG debe detectar: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client intimacy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cross-practice collaboration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long-term client mandates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responsiveness indicators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practical/commercial approach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gwyn4n2wt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 — lógica disputes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yv4m36yo8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Más flexible: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dispute work is commercially coherent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may still strengthen general disputes positioning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ifwfe4vqc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Pero igual necesita exclusiones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Pure employment litigation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should still go to Employment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71wvfvm55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DISPUTES RAG — LEADERS LEAGUE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cambia TODO.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Leaders League es muchísimo más: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eaug35ux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Market perception driven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mdimjfmdl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Privilegian: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notoriety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mandates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dominance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footprint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among peers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taxonomía hiper estricta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od48d9qmk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RAG debe detectar: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nrsj4s68y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Market signals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high-profile disputes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visibility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clients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landmark mandates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leadership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institutional clients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influence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tbordmy3g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 tolera mucho más: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mixed disputes portfolios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madq5v363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Entonces: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jrximyc77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pregunta: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Does this belong here?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j1cs6klt7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 League pregunta: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Does this firm dominate this market?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ymywfhmbh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Esto es ENORME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significa que: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nngj8t6s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mismo submission debe evaluarse distinto.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8tqe1364d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REAL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ilpnpa2a7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Mixed disputes practice: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fraud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disputes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nbq9pmlng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Chambers: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“too diffuse”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z0x1ja8rtz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500: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“full-service disputes capability”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4priwq9ssc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Leaders League: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“market-leading disputes platform”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zoed57v6x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DISPUTES RAG — IFLR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cambio es MÁS radical aún.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IFLR NO es realmente “general disputes”.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IFLR vive alrededor de: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wr5wxh7vm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Financial &amp; corporate transactional sophistication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disputes solo importa cuando toca: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markets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insolvency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shareholder/corporate governance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finance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finance disputes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fraud exposure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e644vu5yq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Entonces: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fda7k6crm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commercial dispute normal: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probablemente irrelevante para IFLR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pcf2ezbo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Pero esto: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restructuring litigation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shareholder governance dispute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enforcement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bondholder litigation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fraud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insolvency disputes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sí puede importar muchísimo.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r4trlw1o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RAG IFLR debe: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g0b6gknw3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Penalizar: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commercial litigation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claimant work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disputes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litigation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disputes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court disputes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727oqqeny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privilegiar: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8m65srgv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Financial complexity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finance disputes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restructuring conflicts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litigation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securities disputes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distressed asset disputes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banking exposure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insolvency proceedings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financial enforcement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wake1m1ry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ENTONCES: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ldpnnmvg5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misma disputa cambia completamente según la guía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lyqcz849b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tzcjpwjl0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Shareholder dispute after failed acquisition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sxt3mq5a4c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Chambers: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Commercial Litigation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1yfj237bi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500: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Commercial Disputes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nzng26e42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 League: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High-profile corporate dispute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zcus7o7rr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IFLR: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ONLY if linked to governance / capital markets / financial structure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z9tbz53tw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Arquitectura recomendada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RAG debería tener: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fpcn3sh50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1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3ajxb2921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taxonomy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white collar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dcwqjcnapd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2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dxvnn8x1q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Ranking-body logic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Chambers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Legal500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LeadersLeague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IFLR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vp7vjiilf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3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2mdjijwh7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Jurisdiction logic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LatAm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g7ujlsmvm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4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d5dicpq1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Weighting engine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peripheral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misclassified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q13kg384m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5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q4sciy05h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Narrative intelligence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coherent practice story?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market leadership?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specialisation?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cross-border capability?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financial sophistication?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